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93D48">
      <w:pPr>
        <w:pageBreakBefore w:val="0"/>
        <w:wordWrap/>
        <w:topLinePunct w:val="0"/>
        <w:bidi w:val="0"/>
        <w:adjustRightInd w:val="0"/>
        <w:snapToGrid w:val="0"/>
        <w:ind w:left="0" w:leftChars="0" w:right="0" w:firstLine="1044"/>
        <w:jc w:val="right"/>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 xml:space="preserve"> </w:t>
      </w:r>
    </w:p>
    <w:p w14:paraId="242FDFAA">
      <w:pPr>
        <w:pageBreakBefore w:val="0"/>
        <w:wordWrap/>
        <w:topLinePunct w:val="0"/>
        <w:bidi w:val="0"/>
        <w:adjustRightInd w:val="0"/>
        <w:snapToGrid w:val="0"/>
        <w:ind w:left="0" w:leftChars="0" w:right="0" w:firstLine="883"/>
        <w:jc w:val="center"/>
        <w:rPr>
          <w:rFonts w:hint="default" w:ascii="Times New Roman" w:hAnsi="Times New Roman" w:cs="Times New Roman"/>
          <w:b/>
          <w:color w:val="auto"/>
          <w:sz w:val="44"/>
          <w:szCs w:val="44"/>
          <w:highlight w:val="none"/>
        </w:rPr>
      </w:pPr>
    </w:p>
    <w:p w14:paraId="58367E89">
      <w:pPr>
        <w:pageBreakBefore w:val="0"/>
        <w:wordWrap/>
        <w:topLinePunct w:val="0"/>
        <w:bidi w:val="0"/>
        <w:adjustRightInd w:val="0"/>
        <w:snapToGrid w:val="0"/>
        <w:ind w:left="0" w:leftChars="0" w:right="0" w:firstLine="0" w:firstLineChars="0"/>
        <w:jc w:val="center"/>
        <w:rPr>
          <w:rFonts w:hint="default" w:ascii="Times New Roman" w:hAnsi="Times New Roman" w:cs="Times New Roman"/>
          <w:b/>
          <w:color w:val="auto"/>
          <w:sz w:val="52"/>
          <w:szCs w:val="52"/>
          <w:highlight w:val="none"/>
        </w:rPr>
      </w:pPr>
      <w:bookmarkStart w:id="0" w:name="_Toc232236371"/>
      <w:bookmarkStart w:id="1" w:name="_Toc223753705"/>
      <w:bookmarkStart w:id="2" w:name="_Toc227548622"/>
      <w:bookmarkStart w:id="3" w:name="_Toc225577820"/>
      <w:bookmarkStart w:id="4" w:name="_Toc223921693"/>
      <w:bookmarkStart w:id="5" w:name="_Toc225250887"/>
      <w:bookmarkStart w:id="6" w:name="_Toc226511158"/>
      <w:bookmarkStart w:id="7" w:name="_Toc225251084"/>
      <w:bookmarkStart w:id="8" w:name="_Toc224959305"/>
      <w:bookmarkStart w:id="9" w:name="_Toc227669457"/>
      <w:bookmarkStart w:id="10" w:name="_Toc225251285"/>
      <w:bookmarkStart w:id="11" w:name="_Toc232237847"/>
      <w:bookmarkStart w:id="12" w:name="_Toc223945742"/>
      <w:r>
        <w:rPr>
          <w:rFonts w:hint="default" w:ascii="Times New Roman" w:hAnsi="Times New Roman" w:cs="Times New Roman"/>
          <w:b/>
          <w:color w:val="auto"/>
          <w:sz w:val="52"/>
          <w:szCs w:val="52"/>
          <w:highlight w:val="none"/>
        </w:rPr>
        <w:t>鄯善县厚旺铜矿有限责任公司</w:t>
      </w:r>
    </w:p>
    <w:p w14:paraId="34F8BC35">
      <w:pPr>
        <w:pageBreakBefore w:val="0"/>
        <w:wordWrap/>
        <w:topLinePunct w:val="0"/>
        <w:bidi w:val="0"/>
        <w:adjustRightInd w:val="0"/>
        <w:snapToGrid w:val="0"/>
        <w:ind w:left="0" w:leftChars="0" w:right="0" w:firstLine="0" w:firstLineChars="0"/>
        <w:jc w:val="center"/>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年产3000吨阴极铜技术改造项目</w:t>
      </w:r>
      <w:bookmarkEnd w:id="0"/>
      <w:bookmarkEnd w:id="1"/>
      <w:bookmarkEnd w:id="2"/>
      <w:bookmarkEnd w:id="3"/>
      <w:bookmarkEnd w:id="4"/>
      <w:bookmarkEnd w:id="5"/>
      <w:bookmarkEnd w:id="6"/>
      <w:bookmarkEnd w:id="7"/>
      <w:bookmarkEnd w:id="8"/>
      <w:bookmarkEnd w:id="9"/>
      <w:bookmarkEnd w:id="10"/>
      <w:bookmarkEnd w:id="11"/>
      <w:bookmarkEnd w:id="12"/>
    </w:p>
    <w:p w14:paraId="0F53B482">
      <w:pPr>
        <w:pageBreakBefore w:val="0"/>
        <w:wordWrap/>
        <w:topLinePunct w:val="0"/>
        <w:bidi w:val="0"/>
        <w:adjustRightInd w:val="0"/>
        <w:snapToGrid w:val="0"/>
        <w:ind w:left="0" w:leftChars="0" w:right="0" w:firstLine="0" w:firstLineChars="0"/>
        <w:jc w:val="center"/>
        <w:rPr>
          <w:rFonts w:hint="default" w:ascii="Times New Roman" w:hAnsi="Times New Roman" w:cs="Times New Roman"/>
          <w:b/>
          <w:color w:val="auto"/>
          <w:sz w:val="52"/>
          <w:szCs w:val="52"/>
          <w:highlight w:val="none"/>
        </w:rPr>
      </w:pPr>
      <w:bookmarkStart w:id="13" w:name="_Toc225250888"/>
      <w:bookmarkStart w:id="14" w:name="_Toc224959306"/>
      <w:bookmarkStart w:id="15" w:name="_Toc225251085"/>
      <w:bookmarkStart w:id="16" w:name="_Toc227548623"/>
      <w:bookmarkStart w:id="17" w:name="_Toc225577821"/>
      <w:bookmarkStart w:id="18" w:name="_Toc227669458"/>
      <w:bookmarkStart w:id="19" w:name="_Toc232237848"/>
      <w:bookmarkStart w:id="20" w:name="_Toc232236372"/>
      <w:bookmarkStart w:id="21" w:name="_Toc226511159"/>
      <w:bookmarkStart w:id="22" w:name="_Toc223753706"/>
      <w:bookmarkStart w:id="23" w:name="_Toc223945743"/>
      <w:bookmarkStart w:id="24" w:name="_Toc225251286"/>
      <w:bookmarkStart w:id="25" w:name="_Toc223921694"/>
      <w:r>
        <w:rPr>
          <w:rFonts w:hint="default" w:ascii="Times New Roman" w:hAnsi="Times New Roman" w:cs="Times New Roman"/>
          <w:b/>
          <w:color w:val="auto"/>
          <w:sz w:val="52"/>
          <w:szCs w:val="52"/>
          <w:highlight w:val="none"/>
        </w:rPr>
        <w:t>环境影响报告书</w:t>
      </w:r>
      <w:bookmarkEnd w:id="13"/>
      <w:bookmarkEnd w:id="14"/>
      <w:bookmarkEnd w:id="15"/>
      <w:bookmarkEnd w:id="16"/>
      <w:bookmarkEnd w:id="17"/>
      <w:bookmarkEnd w:id="18"/>
      <w:bookmarkEnd w:id="19"/>
      <w:bookmarkEnd w:id="20"/>
      <w:bookmarkEnd w:id="21"/>
      <w:bookmarkEnd w:id="22"/>
      <w:bookmarkEnd w:id="23"/>
      <w:bookmarkEnd w:id="24"/>
      <w:bookmarkEnd w:id="25"/>
    </w:p>
    <w:p w14:paraId="335B2E22">
      <w:pPr>
        <w:pageBreakBefore w:val="0"/>
        <w:wordWrap/>
        <w:topLinePunct w:val="0"/>
        <w:bidi w:val="0"/>
        <w:adjustRightInd w:val="0"/>
        <w:snapToGrid w:val="0"/>
        <w:ind w:left="0" w:leftChars="0" w:right="0" w:firstLine="562"/>
        <w:jc w:val="center"/>
        <w:rPr>
          <w:rFonts w:hint="default" w:ascii="Times New Roman" w:hAnsi="Times New Roman" w:cs="Times New Roman"/>
          <w:b/>
          <w:color w:val="auto"/>
          <w:sz w:val="28"/>
          <w:szCs w:val="28"/>
          <w:highlight w:val="none"/>
        </w:rPr>
      </w:pPr>
    </w:p>
    <w:p w14:paraId="64FA0D4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6D0A65B4">
      <w:pPr>
        <w:pageBreakBefore w:val="0"/>
        <w:wordWrap/>
        <w:topLinePunct w:val="0"/>
        <w:bidi w:val="0"/>
        <w:adjustRightInd w:val="0"/>
        <w:snapToGrid w:val="0"/>
        <w:ind w:right="0"/>
        <w:rPr>
          <w:rFonts w:hint="default" w:ascii="Times New Roman" w:hAnsi="Times New Roman" w:cs="Times New Roman"/>
          <w:color w:val="auto"/>
          <w:highlight w:val="none"/>
        </w:rPr>
      </w:pPr>
    </w:p>
    <w:p w14:paraId="5C8FCE6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0F82E0D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7527F6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692A0B2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7895CA8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4EF0803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C93872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9461B0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4546BE1D">
      <w:pPr>
        <w:pageBreakBefore w:val="0"/>
        <w:wordWrap/>
        <w:topLinePunct w:val="0"/>
        <w:bidi w:val="0"/>
        <w:adjustRightInd w:val="0"/>
        <w:snapToGrid w:val="0"/>
        <w:ind w:left="0" w:leftChars="0" w:right="0" w:firstLine="480"/>
        <w:jc w:val="center"/>
        <w:rPr>
          <w:rFonts w:hint="default" w:ascii="Times New Roman" w:hAnsi="Times New Roman" w:cs="Times New Roman"/>
          <w:color w:val="auto"/>
          <w:highlight w:val="none"/>
        </w:rPr>
      </w:pPr>
    </w:p>
    <w:p w14:paraId="47EB8DDF">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eastAsia="宋体" w:cs="Times New Roman"/>
          <w:b/>
          <w:color w:val="auto"/>
          <w:kern w:val="0"/>
          <w:sz w:val="28"/>
          <w:szCs w:val="28"/>
          <w:highlight w:val="none"/>
          <w:lang w:eastAsia="zh-CN"/>
        </w:rPr>
      </w:pPr>
      <w:r>
        <w:rPr>
          <w:rFonts w:hint="default" w:ascii="Times New Roman" w:hAnsi="Times New Roman" w:cs="Times New Roman"/>
          <w:b/>
          <w:color w:val="auto"/>
          <w:kern w:val="0"/>
          <w:sz w:val="28"/>
          <w:szCs w:val="28"/>
          <w:highlight w:val="none"/>
        </w:rPr>
        <w:t>建设单位：</w:t>
      </w:r>
      <w:r>
        <w:rPr>
          <w:rFonts w:hint="default" w:ascii="Times New Roman" w:hAnsi="Times New Roman" w:cs="Times New Roman"/>
          <w:b/>
          <w:color w:val="auto"/>
          <w:kern w:val="0"/>
          <w:sz w:val="28"/>
          <w:szCs w:val="28"/>
          <w:highlight w:val="none"/>
          <w:lang w:eastAsia="zh-CN"/>
        </w:rPr>
        <w:t>鄯善县厚旺铜矿有限责任公司</w:t>
      </w:r>
    </w:p>
    <w:p w14:paraId="759B5370">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eastAsia="宋体" w:cs="Times New Roman"/>
          <w:b/>
          <w:color w:val="auto"/>
          <w:kern w:val="0"/>
          <w:sz w:val="28"/>
          <w:szCs w:val="28"/>
          <w:highlight w:val="none"/>
          <w:lang w:eastAsia="zh-CN"/>
        </w:rPr>
      </w:pPr>
      <w:r>
        <w:rPr>
          <w:rFonts w:hint="default" w:ascii="Times New Roman" w:hAnsi="Times New Roman" w:cs="Times New Roman"/>
          <w:b/>
          <w:color w:val="auto"/>
          <w:kern w:val="0"/>
          <w:sz w:val="28"/>
          <w:szCs w:val="28"/>
          <w:highlight w:val="none"/>
        </w:rPr>
        <w:t>编制单位：</w:t>
      </w:r>
      <w:r>
        <w:rPr>
          <w:rFonts w:hint="default" w:ascii="Times New Roman" w:hAnsi="Times New Roman" w:cs="Times New Roman"/>
          <w:b/>
          <w:color w:val="auto"/>
          <w:kern w:val="0"/>
          <w:sz w:val="28"/>
          <w:szCs w:val="28"/>
          <w:highlight w:val="none"/>
          <w:lang w:eastAsia="zh-CN"/>
        </w:rPr>
        <w:t>乌鲁木齐湘永丽景环保科技有限公司</w:t>
      </w:r>
    </w:p>
    <w:p w14:paraId="1B3BA5D1">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编制日期：二〇二</w:t>
      </w:r>
      <w:r>
        <w:rPr>
          <w:rFonts w:hint="default" w:ascii="Times New Roman" w:hAnsi="Times New Roman" w:cs="Times New Roman"/>
          <w:b/>
          <w:color w:val="auto"/>
          <w:kern w:val="0"/>
          <w:sz w:val="28"/>
          <w:szCs w:val="28"/>
          <w:highlight w:val="none"/>
          <w:lang w:val="en-US" w:eastAsia="zh-CN"/>
        </w:rPr>
        <w:t>五</w:t>
      </w:r>
      <w:r>
        <w:rPr>
          <w:rFonts w:hint="default" w:ascii="Times New Roman" w:hAnsi="Times New Roman" w:cs="Times New Roman"/>
          <w:b/>
          <w:color w:val="auto"/>
          <w:kern w:val="0"/>
          <w:sz w:val="28"/>
          <w:szCs w:val="28"/>
          <w:highlight w:val="none"/>
        </w:rPr>
        <w:t>年</w:t>
      </w:r>
      <w:r>
        <w:rPr>
          <w:rFonts w:hint="eastAsia" w:cs="Times New Roman"/>
          <w:b/>
          <w:color w:val="auto"/>
          <w:kern w:val="0"/>
          <w:sz w:val="28"/>
          <w:szCs w:val="28"/>
          <w:highlight w:val="none"/>
          <w:lang w:val="en-US" w:eastAsia="zh-CN"/>
        </w:rPr>
        <w:t>十一</w:t>
      </w:r>
      <w:r>
        <w:rPr>
          <w:rFonts w:hint="default" w:ascii="Times New Roman" w:hAnsi="Times New Roman" w:cs="Times New Roman"/>
          <w:b/>
          <w:color w:val="auto"/>
          <w:kern w:val="0"/>
          <w:sz w:val="28"/>
          <w:szCs w:val="28"/>
          <w:highlight w:val="none"/>
        </w:rPr>
        <w:t>月</w:t>
      </w:r>
    </w:p>
    <w:p w14:paraId="24698C05">
      <w:pPr>
        <w:pStyle w:val="53"/>
        <w:pageBreakBefore w:val="0"/>
        <w:wordWrap/>
        <w:topLinePunct w:val="0"/>
        <w:bidi w:val="0"/>
        <w:adjustRightInd w:val="0"/>
        <w:snapToGrid w:val="0"/>
        <w:ind w:left="0" w:leftChars="0" w:right="0" w:firstLine="0" w:firstLineChars="0"/>
        <w:rPr>
          <w:rFonts w:hint="default" w:ascii="Times New Roman" w:hAnsi="Times New Roman" w:cs="Times New Roman"/>
          <w:b/>
          <w:color w:val="auto"/>
          <w:kern w:val="0"/>
          <w:sz w:val="28"/>
          <w:szCs w:val="28"/>
          <w:highlight w:val="none"/>
        </w:rPr>
        <w:sectPr>
          <w:headerReference r:id="rId6" w:type="first"/>
          <w:footerReference r:id="rId9" w:type="first"/>
          <w:footerReference r:id="rId7" w:type="default"/>
          <w:headerReference r:id="rId5" w:type="even"/>
          <w:footerReference r:id="rId8" w:type="even"/>
          <w:pgSz w:w="11906" w:h="16838"/>
          <w:pgMar w:top="1587" w:right="1587" w:bottom="1587" w:left="1587" w:header="1134" w:footer="1134" w:gutter="0"/>
          <w:pgBorders>
            <w:top w:val="none" w:sz="0" w:space="0"/>
            <w:left w:val="none" w:sz="0" w:space="0"/>
            <w:bottom w:val="none" w:sz="0" w:space="0"/>
            <w:right w:val="none" w:sz="0" w:space="0"/>
          </w:pgBorders>
          <w:pgNumType w:start="1"/>
          <w:cols w:space="425" w:num="1"/>
          <w:docGrid w:type="lines" w:linePitch="312" w:charSpace="0"/>
        </w:sectPr>
      </w:pPr>
    </w:p>
    <w:sdt>
      <w:sdtPr>
        <w:rPr>
          <w:rFonts w:hint="default" w:ascii="Times New Roman" w:hAnsi="Times New Roman" w:eastAsia="黑体" w:cs="Times New Roman"/>
          <w:b/>
          <w:color w:val="auto"/>
          <w:sz w:val="21"/>
          <w:szCs w:val="28"/>
          <w:highlight w:val="none"/>
        </w:rPr>
        <w:id w:val="147480257"/>
        <w15:color w:val="DBDBDB"/>
      </w:sdtPr>
      <w:sdtEndPr>
        <w:rPr>
          <w:rFonts w:hint="default" w:ascii="Times New Roman" w:hAnsi="Times New Roman" w:eastAsia="宋体" w:cs="Times New Roman"/>
          <w:b w:val="0"/>
          <w:color w:val="auto"/>
          <w:sz w:val="24"/>
          <w:szCs w:val="24"/>
          <w:highlight w:val="none"/>
        </w:rPr>
      </w:sdtEndPr>
      <w:sdtContent>
        <w:p w14:paraId="1FCDCEB7">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Style w:val="59"/>
              <w:rFonts w:hint="default" w:ascii="Times New Roman" w:hAnsi="Times New Roman" w:eastAsia="宋体" w:cs="Times New Roman"/>
              <w:color w:val="auto"/>
              <w:sz w:val="24"/>
              <w:szCs w:val="24"/>
              <w:highlight w:val="none"/>
            </w:rPr>
          </w:pPr>
          <w:r>
            <w:rPr>
              <w:rStyle w:val="59"/>
              <w:rFonts w:hint="default" w:ascii="Times New Roman" w:hAnsi="Times New Roman" w:eastAsia="宋体" w:cs="Times New Roman"/>
              <w:color w:val="auto"/>
              <w:sz w:val="24"/>
              <w:szCs w:val="24"/>
              <w:highlight w:val="none"/>
            </w:rPr>
            <w:t>目录</w:t>
          </w:r>
        </w:p>
        <w:p w14:paraId="4B526846">
          <w:pPr>
            <w:pStyle w:val="21"/>
            <w:tabs>
              <w:tab w:val="right" w:leader="dot" w:pos="8732"/>
            </w:tabs>
            <w:rPr>
              <w:color w:val="auto"/>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color w:val="auto"/>
              <w:highlight w:val="none"/>
            </w:rPr>
            <w:instrText xml:space="preserve"> HYPERLINK \l _Toc6751 </w:instrText>
          </w:r>
          <w:r>
            <w:rPr>
              <w:color w:val="auto"/>
              <w:highlight w:val="none"/>
            </w:rPr>
            <w:fldChar w:fldCharType="separate"/>
          </w:r>
          <w:r>
            <w:rPr>
              <w:rFonts w:hint="default" w:ascii="Times New Roman" w:hAnsi="Times New Roman" w:eastAsia="宋体" w:cs="Times New Roman"/>
              <w:color w:val="auto"/>
              <w:highlight w:val="none"/>
            </w:rPr>
            <w:t>1 概述</w:t>
          </w:r>
          <w:r>
            <w:rPr>
              <w:color w:val="auto"/>
            </w:rPr>
            <w:tab/>
          </w:r>
          <w:r>
            <w:rPr>
              <w:color w:val="auto"/>
            </w:rPr>
            <w:fldChar w:fldCharType="begin"/>
          </w:r>
          <w:r>
            <w:rPr>
              <w:color w:val="auto"/>
            </w:rPr>
            <w:instrText xml:space="preserve"> PAGEREF _Toc6751 \h </w:instrText>
          </w:r>
          <w:r>
            <w:rPr>
              <w:color w:val="auto"/>
            </w:rPr>
            <w:fldChar w:fldCharType="separate"/>
          </w:r>
          <w:r>
            <w:rPr>
              <w:color w:val="auto"/>
            </w:rPr>
            <w:t>1</w:t>
          </w:r>
          <w:r>
            <w:rPr>
              <w:color w:val="auto"/>
            </w:rPr>
            <w:fldChar w:fldCharType="end"/>
          </w:r>
          <w:r>
            <w:rPr>
              <w:color w:val="auto"/>
              <w:highlight w:val="none"/>
            </w:rPr>
            <w:fldChar w:fldCharType="end"/>
          </w:r>
        </w:p>
        <w:p w14:paraId="522912C7">
          <w:pPr>
            <w:pStyle w:val="26"/>
            <w:tabs>
              <w:tab w:val="right" w:leader="dot" w:pos="8732"/>
            </w:tabs>
            <w:rPr>
              <w:color w:val="auto"/>
            </w:rPr>
          </w:pPr>
          <w:r>
            <w:rPr>
              <w:color w:val="auto"/>
              <w:highlight w:val="none"/>
            </w:rPr>
            <w:fldChar w:fldCharType="begin"/>
          </w:r>
          <w:r>
            <w:rPr>
              <w:color w:val="auto"/>
              <w:highlight w:val="none"/>
            </w:rPr>
            <w:instrText xml:space="preserve"> HYPERLINK \l _Toc11180 </w:instrText>
          </w:r>
          <w:r>
            <w:rPr>
              <w:color w:val="auto"/>
              <w:highlight w:val="none"/>
            </w:rPr>
            <w:fldChar w:fldCharType="separate"/>
          </w:r>
          <w:r>
            <w:rPr>
              <w:rFonts w:hint="default" w:ascii="Times New Roman" w:hAnsi="Times New Roman" w:eastAsia="宋体" w:cs="Times New Roman"/>
              <w:color w:val="auto"/>
            </w:rPr>
            <w:t xml:space="preserve">1.1 </w:t>
          </w:r>
          <w:r>
            <w:rPr>
              <w:rFonts w:hint="default" w:ascii="Times New Roman" w:hAnsi="Times New Roman" w:eastAsia="宋体" w:cs="Times New Roman"/>
              <w:color w:val="auto"/>
              <w:highlight w:val="none"/>
            </w:rPr>
            <w:t>项目背景及建设项目特点</w:t>
          </w:r>
          <w:r>
            <w:rPr>
              <w:color w:val="auto"/>
            </w:rPr>
            <w:tab/>
          </w:r>
          <w:r>
            <w:rPr>
              <w:color w:val="auto"/>
            </w:rPr>
            <w:fldChar w:fldCharType="begin"/>
          </w:r>
          <w:r>
            <w:rPr>
              <w:color w:val="auto"/>
            </w:rPr>
            <w:instrText xml:space="preserve"> PAGEREF _Toc11180 \h </w:instrText>
          </w:r>
          <w:r>
            <w:rPr>
              <w:color w:val="auto"/>
            </w:rPr>
            <w:fldChar w:fldCharType="separate"/>
          </w:r>
          <w:r>
            <w:rPr>
              <w:color w:val="auto"/>
            </w:rPr>
            <w:t>1</w:t>
          </w:r>
          <w:r>
            <w:rPr>
              <w:color w:val="auto"/>
            </w:rPr>
            <w:fldChar w:fldCharType="end"/>
          </w:r>
          <w:r>
            <w:rPr>
              <w:color w:val="auto"/>
              <w:highlight w:val="none"/>
            </w:rPr>
            <w:fldChar w:fldCharType="end"/>
          </w:r>
        </w:p>
        <w:p w14:paraId="0C9DBCA1">
          <w:pPr>
            <w:pStyle w:val="26"/>
            <w:tabs>
              <w:tab w:val="right" w:leader="dot" w:pos="8732"/>
            </w:tabs>
            <w:rPr>
              <w:color w:val="auto"/>
            </w:rPr>
          </w:pPr>
          <w:r>
            <w:rPr>
              <w:color w:val="auto"/>
              <w:highlight w:val="none"/>
            </w:rPr>
            <w:fldChar w:fldCharType="begin"/>
          </w:r>
          <w:r>
            <w:rPr>
              <w:color w:val="auto"/>
              <w:highlight w:val="none"/>
            </w:rPr>
            <w:instrText xml:space="preserve"> HYPERLINK \l _Toc583 </w:instrText>
          </w:r>
          <w:r>
            <w:rPr>
              <w:color w:val="auto"/>
              <w:highlight w:val="none"/>
            </w:rPr>
            <w:fldChar w:fldCharType="separate"/>
          </w:r>
          <w:r>
            <w:rPr>
              <w:rFonts w:hint="default" w:ascii="Times New Roman" w:hAnsi="Times New Roman" w:eastAsia="宋体" w:cs="Times New Roman"/>
              <w:color w:val="auto"/>
              <w:highlight w:val="none"/>
            </w:rPr>
            <w:t>1.2 环境影响评价工作过程</w:t>
          </w:r>
          <w:r>
            <w:rPr>
              <w:color w:val="auto"/>
            </w:rPr>
            <w:tab/>
          </w:r>
          <w:r>
            <w:rPr>
              <w:color w:val="auto"/>
            </w:rPr>
            <w:fldChar w:fldCharType="begin"/>
          </w:r>
          <w:r>
            <w:rPr>
              <w:color w:val="auto"/>
            </w:rPr>
            <w:instrText xml:space="preserve"> PAGEREF _Toc583 \h </w:instrText>
          </w:r>
          <w:r>
            <w:rPr>
              <w:color w:val="auto"/>
            </w:rPr>
            <w:fldChar w:fldCharType="separate"/>
          </w:r>
          <w:r>
            <w:rPr>
              <w:color w:val="auto"/>
            </w:rPr>
            <w:t>2</w:t>
          </w:r>
          <w:r>
            <w:rPr>
              <w:color w:val="auto"/>
            </w:rPr>
            <w:fldChar w:fldCharType="end"/>
          </w:r>
          <w:r>
            <w:rPr>
              <w:color w:val="auto"/>
              <w:highlight w:val="none"/>
            </w:rPr>
            <w:fldChar w:fldCharType="end"/>
          </w:r>
        </w:p>
        <w:p w14:paraId="0FD1D0E9">
          <w:pPr>
            <w:pStyle w:val="26"/>
            <w:tabs>
              <w:tab w:val="right" w:leader="dot" w:pos="8732"/>
            </w:tabs>
            <w:rPr>
              <w:color w:val="auto"/>
            </w:rPr>
          </w:pPr>
          <w:r>
            <w:rPr>
              <w:color w:val="auto"/>
              <w:highlight w:val="none"/>
            </w:rPr>
            <w:fldChar w:fldCharType="begin"/>
          </w:r>
          <w:r>
            <w:rPr>
              <w:color w:val="auto"/>
              <w:highlight w:val="none"/>
            </w:rPr>
            <w:instrText xml:space="preserve"> HYPERLINK \l _Toc28325 </w:instrText>
          </w:r>
          <w:r>
            <w:rPr>
              <w:color w:val="auto"/>
              <w:highlight w:val="none"/>
            </w:rPr>
            <w:fldChar w:fldCharType="separate"/>
          </w:r>
          <w:r>
            <w:rPr>
              <w:rFonts w:hint="default" w:ascii="Times New Roman" w:hAnsi="Times New Roman" w:eastAsia="宋体" w:cs="Times New Roman"/>
              <w:color w:val="auto"/>
              <w:highlight w:val="none"/>
            </w:rPr>
            <w:t>1.3 分析判定相关情况</w:t>
          </w:r>
          <w:r>
            <w:rPr>
              <w:color w:val="auto"/>
            </w:rPr>
            <w:tab/>
          </w:r>
          <w:r>
            <w:rPr>
              <w:color w:val="auto"/>
            </w:rPr>
            <w:fldChar w:fldCharType="begin"/>
          </w:r>
          <w:r>
            <w:rPr>
              <w:color w:val="auto"/>
            </w:rPr>
            <w:instrText xml:space="preserve"> PAGEREF _Toc28325 \h </w:instrText>
          </w:r>
          <w:r>
            <w:rPr>
              <w:color w:val="auto"/>
            </w:rPr>
            <w:fldChar w:fldCharType="separate"/>
          </w:r>
          <w:r>
            <w:rPr>
              <w:color w:val="auto"/>
            </w:rPr>
            <w:t>3</w:t>
          </w:r>
          <w:r>
            <w:rPr>
              <w:color w:val="auto"/>
            </w:rPr>
            <w:fldChar w:fldCharType="end"/>
          </w:r>
          <w:r>
            <w:rPr>
              <w:color w:val="auto"/>
              <w:highlight w:val="none"/>
            </w:rPr>
            <w:fldChar w:fldCharType="end"/>
          </w:r>
        </w:p>
        <w:p w14:paraId="49C7975B">
          <w:pPr>
            <w:pStyle w:val="26"/>
            <w:tabs>
              <w:tab w:val="right" w:leader="dot" w:pos="8732"/>
            </w:tabs>
            <w:rPr>
              <w:color w:val="auto"/>
            </w:rPr>
          </w:pPr>
          <w:r>
            <w:rPr>
              <w:color w:val="auto"/>
              <w:highlight w:val="none"/>
            </w:rPr>
            <w:fldChar w:fldCharType="begin"/>
          </w:r>
          <w:r>
            <w:rPr>
              <w:color w:val="auto"/>
              <w:highlight w:val="none"/>
            </w:rPr>
            <w:instrText xml:space="preserve"> HYPERLINK \l _Toc27115 </w:instrText>
          </w:r>
          <w:r>
            <w:rPr>
              <w:color w:val="auto"/>
              <w:highlight w:val="none"/>
            </w:rPr>
            <w:fldChar w:fldCharType="separate"/>
          </w:r>
          <w:r>
            <w:rPr>
              <w:rFonts w:hint="default" w:ascii="Times New Roman" w:hAnsi="Times New Roman" w:eastAsia="宋体" w:cs="Times New Roman"/>
              <w:color w:val="auto"/>
              <w:highlight w:val="none"/>
            </w:rPr>
            <w:t>1.4 关注的主要环境问题及环境影响</w:t>
          </w:r>
          <w:r>
            <w:rPr>
              <w:color w:val="auto"/>
            </w:rPr>
            <w:tab/>
          </w:r>
          <w:r>
            <w:rPr>
              <w:color w:val="auto"/>
            </w:rPr>
            <w:fldChar w:fldCharType="begin"/>
          </w:r>
          <w:r>
            <w:rPr>
              <w:color w:val="auto"/>
            </w:rPr>
            <w:instrText xml:space="preserve"> PAGEREF _Toc27115 \h </w:instrText>
          </w:r>
          <w:r>
            <w:rPr>
              <w:color w:val="auto"/>
            </w:rPr>
            <w:fldChar w:fldCharType="separate"/>
          </w:r>
          <w:r>
            <w:rPr>
              <w:color w:val="auto"/>
            </w:rPr>
            <w:t>18</w:t>
          </w:r>
          <w:r>
            <w:rPr>
              <w:color w:val="auto"/>
            </w:rPr>
            <w:fldChar w:fldCharType="end"/>
          </w:r>
          <w:r>
            <w:rPr>
              <w:color w:val="auto"/>
              <w:highlight w:val="none"/>
            </w:rPr>
            <w:fldChar w:fldCharType="end"/>
          </w:r>
        </w:p>
        <w:p w14:paraId="23CE6E47">
          <w:pPr>
            <w:pStyle w:val="26"/>
            <w:tabs>
              <w:tab w:val="right" w:leader="dot" w:pos="8732"/>
            </w:tabs>
            <w:rPr>
              <w:color w:val="auto"/>
            </w:rPr>
          </w:pPr>
          <w:r>
            <w:rPr>
              <w:color w:val="auto"/>
              <w:highlight w:val="none"/>
            </w:rPr>
            <w:fldChar w:fldCharType="begin"/>
          </w:r>
          <w:r>
            <w:rPr>
              <w:color w:val="auto"/>
              <w:highlight w:val="none"/>
            </w:rPr>
            <w:instrText xml:space="preserve"> HYPERLINK \l _Toc17446 </w:instrText>
          </w:r>
          <w:r>
            <w:rPr>
              <w:color w:val="auto"/>
              <w:highlight w:val="none"/>
            </w:rPr>
            <w:fldChar w:fldCharType="separate"/>
          </w:r>
          <w:r>
            <w:rPr>
              <w:rFonts w:hint="default" w:ascii="Times New Roman" w:hAnsi="Times New Roman" w:eastAsia="宋体" w:cs="Times New Roman"/>
              <w:color w:val="auto"/>
              <w:highlight w:val="none"/>
            </w:rPr>
            <w:t>1.5 环境影响评价的主要结论</w:t>
          </w:r>
          <w:r>
            <w:rPr>
              <w:color w:val="auto"/>
            </w:rPr>
            <w:tab/>
          </w:r>
          <w:r>
            <w:rPr>
              <w:color w:val="auto"/>
            </w:rPr>
            <w:fldChar w:fldCharType="begin"/>
          </w:r>
          <w:r>
            <w:rPr>
              <w:color w:val="auto"/>
            </w:rPr>
            <w:instrText xml:space="preserve"> PAGEREF _Toc17446 \h </w:instrText>
          </w:r>
          <w:r>
            <w:rPr>
              <w:color w:val="auto"/>
            </w:rPr>
            <w:fldChar w:fldCharType="separate"/>
          </w:r>
          <w:r>
            <w:rPr>
              <w:color w:val="auto"/>
            </w:rPr>
            <w:t>18</w:t>
          </w:r>
          <w:r>
            <w:rPr>
              <w:color w:val="auto"/>
            </w:rPr>
            <w:fldChar w:fldCharType="end"/>
          </w:r>
          <w:r>
            <w:rPr>
              <w:color w:val="auto"/>
              <w:highlight w:val="none"/>
            </w:rPr>
            <w:fldChar w:fldCharType="end"/>
          </w:r>
        </w:p>
        <w:p w14:paraId="76640237">
          <w:pPr>
            <w:pStyle w:val="21"/>
            <w:tabs>
              <w:tab w:val="right" w:leader="dot" w:pos="8732"/>
            </w:tabs>
            <w:rPr>
              <w:color w:val="auto"/>
            </w:rPr>
          </w:pPr>
          <w:r>
            <w:rPr>
              <w:color w:val="auto"/>
              <w:highlight w:val="none"/>
            </w:rPr>
            <w:fldChar w:fldCharType="begin"/>
          </w:r>
          <w:r>
            <w:rPr>
              <w:color w:val="auto"/>
              <w:highlight w:val="none"/>
            </w:rPr>
            <w:instrText xml:space="preserve"> HYPERLINK \l _Toc27075 </w:instrText>
          </w:r>
          <w:r>
            <w:rPr>
              <w:color w:val="auto"/>
              <w:highlight w:val="none"/>
            </w:rPr>
            <w:fldChar w:fldCharType="separate"/>
          </w:r>
          <w:r>
            <w:rPr>
              <w:rFonts w:hint="default" w:ascii="Times New Roman" w:hAnsi="Times New Roman" w:eastAsia="宋体" w:cs="Times New Roman"/>
              <w:color w:val="auto"/>
              <w:highlight w:val="none"/>
            </w:rPr>
            <w:t>2 总则</w:t>
          </w:r>
          <w:r>
            <w:rPr>
              <w:color w:val="auto"/>
            </w:rPr>
            <w:tab/>
          </w:r>
          <w:r>
            <w:rPr>
              <w:color w:val="auto"/>
            </w:rPr>
            <w:fldChar w:fldCharType="begin"/>
          </w:r>
          <w:r>
            <w:rPr>
              <w:color w:val="auto"/>
            </w:rPr>
            <w:instrText xml:space="preserve"> PAGEREF _Toc27075 \h </w:instrText>
          </w:r>
          <w:r>
            <w:rPr>
              <w:color w:val="auto"/>
            </w:rPr>
            <w:fldChar w:fldCharType="separate"/>
          </w:r>
          <w:r>
            <w:rPr>
              <w:color w:val="auto"/>
            </w:rPr>
            <w:t>19</w:t>
          </w:r>
          <w:r>
            <w:rPr>
              <w:color w:val="auto"/>
            </w:rPr>
            <w:fldChar w:fldCharType="end"/>
          </w:r>
          <w:r>
            <w:rPr>
              <w:color w:val="auto"/>
              <w:highlight w:val="none"/>
            </w:rPr>
            <w:fldChar w:fldCharType="end"/>
          </w:r>
        </w:p>
        <w:p w14:paraId="76C6F7F8">
          <w:pPr>
            <w:pStyle w:val="26"/>
            <w:tabs>
              <w:tab w:val="right" w:leader="dot" w:pos="8732"/>
            </w:tabs>
            <w:rPr>
              <w:color w:val="auto"/>
            </w:rPr>
          </w:pPr>
          <w:r>
            <w:rPr>
              <w:color w:val="auto"/>
              <w:highlight w:val="none"/>
            </w:rPr>
            <w:fldChar w:fldCharType="begin"/>
          </w:r>
          <w:r>
            <w:rPr>
              <w:color w:val="auto"/>
              <w:highlight w:val="none"/>
            </w:rPr>
            <w:instrText xml:space="preserve"> HYPERLINK \l _Toc21170 </w:instrText>
          </w:r>
          <w:r>
            <w:rPr>
              <w:color w:val="auto"/>
              <w:highlight w:val="none"/>
            </w:rPr>
            <w:fldChar w:fldCharType="separate"/>
          </w:r>
          <w:r>
            <w:rPr>
              <w:rFonts w:hint="default" w:ascii="Times New Roman" w:hAnsi="Times New Roman" w:eastAsia="宋体" w:cs="Times New Roman"/>
              <w:color w:val="auto"/>
              <w:highlight w:val="none"/>
            </w:rPr>
            <w:t>2.1 评价目的与评价原则</w:t>
          </w:r>
          <w:r>
            <w:rPr>
              <w:color w:val="auto"/>
            </w:rPr>
            <w:tab/>
          </w:r>
          <w:r>
            <w:rPr>
              <w:color w:val="auto"/>
            </w:rPr>
            <w:fldChar w:fldCharType="begin"/>
          </w:r>
          <w:r>
            <w:rPr>
              <w:color w:val="auto"/>
            </w:rPr>
            <w:instrText xml:space="preserve"> PAGEREF _Toc21170 \h </w:instrText>
          </w:r>
          <w:r>
            <w:rPr>
              <w:color w:val="auto"/>
            </w:rPr>
            <w:fldChar w:fldCharType="separate"/>
          </w:r>
          <w:r>
            <w:rPr>
              <w:color w:val="auto"/>
            </w:rPr>
            <w:t>19</w:t>
          </w:r>
          <w:r>
            <w:rPr>
              <w:color w:val="auto"/>
            </w:rPr>
            <w:fldChar w:fldCharType="end"/>
          </w:r>
          <w:r>
            <w:rPr>
              <w:color w:val="auto"/>
              <w:highlight w:val="none"/>
            </w:rPr>
            <w:fldChar w:fldCharType="end"/>
          </w:r>
        </w:p>
        <w:p w14:paraId="4CA24157">
          <w:pPr>
            <w:pStyle w:val="26"/>
            <w:tabs>
              <w:tab w:val="right" w:leader="dot" w:pos="8732"/>
            </w:tabs>
            <w:rPr>
              <w:color w:val="auto"/>
            </w:rPr>
          </w:pPr>
          <w:r>
            <w:rPr>
              <w:color w:val="auto"/>
              <w:highlight w:val="none"/>
            </w:rPr>
            <w:fldChar w:fldCharType="begin"/>
          </w:r>
          <w:r>
            <w:rPr>
              <w:color w:val="auto"/>
              <w:highlight w:val="none"/>
            </w:rPr>
            <w:instrText xml:space="preserve"> HYPERLINK \l _Toc26241 </w:instrText>
          </w:r>
          <w:r>
            <w:rPr>
              <w:color w:val="auto"/>
              <w:highlight w:val="none"/>
            </w:rPr>
            <w:fldChar w:fldCharType="separate"/>
          </w:r>
          <w:r>
            <w:rPr>
              <w:rFonts w:hint="default" w:ascii="Times New Roman" w:hAnsi="Times New Roman" w:eastAsia="宋体" w:cs="Times New Roman"/>
              <w:color w:val="auto"/>
              <w:highlight w:val="none"/>
            </w:rPr>
            <w:t>2.2 编制依据</w:t>
          </w:r>
          <w:r>
            <w:rPr>
              <w:color w:val="auto"/>
            </w:rPr>
            <w:tab/>
          </w:r>
          <w:r>
            <w:rPr>
              <w:color w:val="auto"/>
            </w:rPr>
            <w:fldChar w:fldCharType="begin"/>
          </w:r>
          <w:r>
            <w:rPr>
              <w:color w:val="auto"/>
            </w:rPr>
            <w:instrText xml:space="preserve"> PAGEREF _Toc26241 \h </w:instrText>
          </w:r>
          <w:r>
            <w:rPr>
              <w:color w:val="auto"/>
            </w:rPr>
            <w:fldChar w:fldCharType="separate"/>
          </w:r>
          <w:r>
            <w:rPr>
              <w:color w:val="auto"/>
            </w:rPr>
            <w:t>20</w:t>
          </w:r>
          <w:r>
            <w:rPr>
              <w:color w:val="auto"/>
            </w:rPr>
            <w:fldChar w:fldCharType="end"/>
          </w:r>
          <w:r>
            <w:rPr>
              <w:color w:val="auto"/>
              <w:highlight w:val="none"/>
            </w:rPr>
            <w:fldChar w:fldCharType="end"/>
          </w:r>
        </w:p>
        <w:p w14:paraId="037F544F">
          <w:pPr>
            <w:pStyle w:val="26"/>
            <w:tabs>
              <w:tab w:val="right" w:leader="dot" w:pos="8732"/>
            </w:tabs>
            <w:rPr>
              <w:color w:val="auto"/>
            </w:rPr>
          </w:pPr>
          <w:r>
            <w:rPr>
              <w:color w:val="auto"/>
              <w:highlight w:val="none"/>
            </w:rPr>
            <w:fldChar w:fldCharType="begin"/>
          </w:r>
          <w:r>
            <w:rPr>
              <w:color w:val="auto"/>
              <w:highlight w:val="none"/>
            </w:rPr>
            <w:instrText xml:space="preserve"> HYPERLINK \l _Toc27501 </w:instrText>
          </w:r>
          <w:r>
            <w:rPr>
              <w:color w:val="auto"/>
              <w:highlight w:val="none"/>
            </w:rPr>
            <w:fldChar w:fldCharType="separate"/>
          </w:r>
          <w:r>
            <w:rPr>
              <w:rFonts w:hint="default" w:ascii="Times New Roman" w:hAnsi="Times New Roman" w:eastAsia="宋体" w:cs="Times New Roman"/>
              <w:color w:val="auto"/>
              <w:highlight w:val="none"/>
            </w:rPr>
            <w:t>2.3 环境影响因素识别及评价因子筛选</w:t>
          </w:r>
          <w:r>
            <w:rPr>
              <w:color w:val="auto"/>
            </w:rPr>
            <w:tab/>
          </w:r>
          <w:r>
            <w:rPr>
              <w:color w:val="auto"/>
            </w:rPr>
            <w:fldChar w:fldCharType="begin"/>
          </w:r>
          <w:r>
            <w:rPr>
              <w:color w:val="auto"/>
            </w:rPr>
            <w:instrText xml:space="preserve"> PAGEREF _Toc27501 \h </w:instrText>
          </w:r>
          <w:r>
            <w:rPr>
              <w:color w:val="auto"/>
            </w:rPr>
            <w:fldChar w:fldCharType="separate"/>
          </w:r>
          <w:r>
            <w:rPr>
              <w:color w:val="auto"/>
            </w:rPr>
            <w:t>23</w:t>
          </w:r>
          <w:r>
            <w:rPr>
              <w:color w:val="auto"/>
            </w:rPr>
            <w:fldChar w:fldCharType="end"/>
          </w:r>
          <w:r>
            <w:rPr>
              <w:color w:val="auto"/>
              <w:highlight w:val="none"/>
            </w:rPr>
            <w:fldChar w:fldCharType="end"/>
          </w:r>
        </w:p>
        <w:p w14:paraId="479889FE">
          <w:pPr>
            <w:pStyle w:val="26"/>
            <w:tabs>
              <w:tab w:val="right" w:leader="dot" w:pos="8732"/>
            </w:tabs>
            <w:rPr>
              <w:color w:val="auto"/>
            </w:rPr>
          </w:pPr>
          <w:r>
            <w:rPr>
              <w:color w:val="auto"/>
              <w:highlight w:val="none"/>
            </w:rPr>
            <w:fldChar w:fldCharType="begin"/>
          </w:r>
          <w:r>
            <w:rPr>
              <w:color w:val="auto"/>
              <w:highlight w:val="none"/>
            </w:rPr>
            <w:instrText xml:space="preserve"> HYPERLINK \l _Toc22288 </w:instrText>
          </w:r>
          <w:r>
            <w:rPr>
              <w:color w:val="auto"/>
              <w:highlight w:val="none"/>
            </w:rPr>
            <w:fldChar w:fldCharType="separate"/>
          </w:r>
          <w:r>
            <w:rPr>
              <w:rFonts w:hint="default" w:ascii="Times New Roman" w:hAnsi="Times New Roman" w:eastAsia="宋体" w:cs="Times New Roman"/>
              <w:color w:val="auto"/>
              <w:highlight w:val="none"/>
            </w:rPr>
            <w:t>2.4 环境功能区划及评价标准</w:t>
          </w:r>
          <w:r>
            <w:rPr>
              <w:color w:val="auto"/>
            </w:rPr>
            <w:tab/>
          </w:r>
          <w:r>
            <w:rPr>
              <w:color w:val="auto"/>
            </w:rPr>
            <w:fldChar w:fldCharType="begin"/>
          </w:r>
          <w:r>
            <w:rPr>
              <w:color w:val="auto"/>
            </w:rPr>
            <w:instrText xml:space="preserve"> PAGEREF _Toc22288 \h </w:instrText>
          </w:r>
          <w:r>
            <w:rPr>
              <w:color w:val="auto"/>
            </w:rPr>
            <w:fldChar w:fldCharType="separate"/>
          </w:r>
          <w:r>
            <w:rPr>
              <w:color w:val="auto"/>
            </w:rPr>
            <w:t>25</w:t>
          </w:r>
          <w:r>
            <w:rPr>
              <w:color w:val="auto"/>
            </w:rPr>
            <w:fldChar w:fldCharType="end"/>
          </w:r>
          <w:r>
            <w:rPr>
              <w:color w:val="auto"/>
              <w:highlight w:val="none"/>
            </w:rPr>
            <w:fldChar w:fldCharType="end"/>
          </w:r>
        </w:p>
        <w:p w14:paraId="487E768A">
          <w:pPr>
            <w:pStyle w:val="26"/>
            <w:tabs>
              <w:tab w:val="right" w:leader="dot" w:pos="8732"/>
            </w:tabs>
            <w:rPr>
              <w:color w:val="auto"/>
            </w:rPr>
          </w:pPr>
          <w:r>
            <w:rPr>
              <w:color w:val="auto"/>
              <w:highlight w:val="none"/>
            </w:rPr>
            <w:fldChar w:fldCharType="begin"/>
          </w:r>
          <w:r>
            <w:rPr>
              <w:color w:val="auto"/>
              <w:highlight w:val="none"/>
            </w:rPr>
            <w:instrText xml:space="preserve"> HYPERLINK \l _Toc12960 </w:instrText>
          </w:r>
          <w:r>
            <w:rPr>
              <w:color w:val="auto"/>
              <w:highlight w:val="none"/>
            </w:rPr>
            <w:fldChar w:fldCharType="separate"/>
          </w:r>
          <w:r>
            <w:rPr>
              <w:rFonts w:hint="default" w:ascii="Times New Roman" w:hAnsi="Times New Roman" w:eastAsia="宋体" w:cs="Times New Roman"/>
              <w:color w:val="auto"/>
              <w:highlight w:val="none"/>
            </w:rPr>
            <w:t>2.5 评价等级及评价范围</w:t>
          </w:r>
          <w:r>
            <w:rPr>
              <w:color w:val="auto"/>
            </w:rPr>
            <w:tab/>
          </w:r>
          <w:r>
            <w:rPr>
              <w:color w:val="auto"/>
            </w:rPr>
            <w:fldChar w:fldCharType="begin"/>
          </w:r>
          <w:r>
            <w:rPr>
              <w:color w:val="auto"/>
            </w:rPr>
            <w:instrText xml:space="preserve"> PAGEREF _Toc12960 \h </w:instrText>
          </w:r>
          <w:r>
            <w:rPr>
              <w:color w:val="auto"/>
            </w:rPr>
            <w:fldChar w:fldCharType="separate"/>
          </w:r>
          <w:r>
            <w:rPr>
              <w:color w:val="auto"/>
            </w:rPr>
            <w:t>28</w:t>
          </w:r>
          <w:r>
            <w:rPr>
              <w:color w:val="auto"/>
            </w:rPr>
            <w:fldChar w:fldCharType="end"/>
          </w:r>
          <w:r>
            <w:rPr>
              <w:color w:val="auto"/>
              <w:highlight w:val="none"/>
            </w:rPr>
            <w:fldChar w:fldCharType="end"/>
          </w:r>
        </w:p>
        <w:p w14:paraId="5F4B9EED">
          <w:pPr>
            <w:pStyle w:val="26"/>
            <w:tabs>
              <w:tab w:val="right" w:leader="dot" w:pos="8732"/>
            </w:tabs>
            <w:rPr>
              <w:color w:val="auto"/>
            </w:rPr>
          </w:pPr>
          <w:r>
            <w:rPr>
              <w:color w:val="auto"/>
              <w:highlight w:val="none"/>
            </w:rPr>
            <w:fldChar w:fldCharType="begin"/>
          </w:r>
          <w:r>
            <w:rPr>
              <w:color w:val="auto"/>
              <w:highlight w:val="none"/>
            </w:rPr>
            <w:instrText xml:space="preserve"> HYPERLINK \l _Toc23413 </w:instrText>
          </w:r>
          <w:r>
            <w:rPr>
              <w:color w:val="auto"/>
              <w:highlight w:val="none"/>
            </w:rPr>
            <w:fldChar w:fldCharType="separate"/>
          </w:r>
          <w:r>
            <w:rPr>
              <w:rFonts w:hint="default" w:ascii="Times New Roman" w:hAnsi="Times New Roman" w:eastAsia="宋体" w:cs="Times New Roman"/>
              <w:color w:val="auto"/>
              <w:highlight w:val="none"/>
            </w:rPr>
            <w:t>2.6 环境保护目标</w:t>
          </w:r>
          <w:r>
            <w:rPr>
              <w:color w:val="auto"/>
            </w:rPr>
            <w:tab/>
          </w:r>
          <w:r>
            <w:rPr>
              <w:color w:val="auto"/>
            </w:rPr>
            <w:fldChar w:fldCharType="begin"/>
          </w:r>
          <w:r>
            <w:rPr>
              <w:color w:val="auto"/>
            </w:rPr>
            <w:instrText xml:space="preserve"> PAGEREF _Toc23413 \h </w:instrText>
          </w:r>
          <w:r>
            <w:rPr>
              <w:color w:val="auto"/>
            </w:rPr>
            <w:fldChar w:fldCharType="separate"/>
          </w:r>
          <w:r>
            <w:rPr>
              <w:color w:val="auto"/>
            </w:rPr>
            <w:t>34</w:t>
          </w:r>
          <w:r>
            <w:rPr>
              <w:color w:val="auto"/>
            </w:rPr>
            <w:fldChar w:fldCharType="end"/>
          </w:r>
          <w:r>
            <w:rPr>
              <w:color w:val="auto"/>
              <w:highlight w:val="none"/>
            </w:rPr>
            <w:fldChar w:fldCharType="end"/>
          </w:r>
        </w:p>
        <w:p w14:paraId="3A42F6EB">
          <w:pPr>
            <w:pStyle w:val="21"/>
            <w:tabs>
              <w:tab w:val="right" w:leader="dot" w:pos="8732"/>
            </w:tabs>
            <w:rPr>
              <w:color w:val="auto"/>
            </w:rPr>
          </w:pPr>
          <w:r>
            <w:rPr>
              <w:color w:val="auto"/>
              <w:highlight w:val="none"/>
            </w:rPr>
            <w:fldChar w:fldCharType="begin"/>
          </w:r>
          <w:r>
            <w:rPr>
              <w:color w:val="auto"/>
              <w:highlight w:val="none"/>
            </w:rPr>
            <w:instrText xml:space="preserve"> HYPERLINK \l _Toc10648 </w:instrText>
          </w:r>
          <w:r>
            <w:rPr>
              <w:color w:val="auto"/>
              <w:highlight w:val="none"/>
            </w:rPr>
            <w:fldChar w:fldCharType="separate"/>
          </w:r>
          <w:r>
            <w:rPr>
              <w:rFonts w:hint="default" w:ascii="Times New Roman" w:hAnsi="Times New Roman" w:eastAsia="宋体" w:cs="Times New Roman"/>
              <w:color w:val="auto"/>
              <w:highlight w:val="none"/>
            </w:rPr>
            <w:t>3 建设项目工程分析</w:t>
          </w:r>
          <w:r>
            <w:rPr>
              <w:color w:val="auto"/>
            </w:rPr>
            <w:tab/>
          </w:r>
          <w:r>
            <w:rPr>
              <w:color w:val="auto"/>
            </w:rPr>
            <w:fldChar w:fldCharType="begin"/>
          </w:r>
          <w:r>
            <w:rPr>
              <w:color w:val="auto"/>
            </w:rPr>
            <w:instrText xml:space="preserve"> PAGEREF _Toc10648 \h </w:instrText>
          </w:r>
          <w:r>
            <w:rPr>
              <w:color w:val="auto"/>
            </w:rPr>
            <w:fldChar w:fldCharType="separate"/>
          </w:r>
          <w:r>
            <w:rPr>
              <w:color w:val="auto"/>
            </w:rPr>
            <w:t>36</w:t>
          </w:r>
          <w:r>
            <w:rPr>
              <w:color w:val="auto"/>
            </w:rPr>
            <w:fldChar w:fldCharType="end"/>
          </w:r>
          <w:r>
            <w:rPr>
              <w:color w:val="auto"/>
              <w:highlight w:val="none"/>
            </w:rPr>
            <w:fldChar w:fldCharType="end"/>
          </w:r>
        </w:p>
        <w:p w14:paraId="5BD2205F">
          <w:pPr>
            <w:pStyle w:val="26"/>
            <w:tabs>
              <w:tab w:val="right" w:leader="dot" w:pos="8732"/>
            </w:tabs>
            <w:rPr>
              <w:color w:val="auto"/>
            </w:rPr>
          </w:pPr>
          <w:r>
            <w:rPr>
              <w:color w:val="auto"/>
              <w:highlight w:val="none"/>
            </w:rPr>
            <w:fldChar w:fldCharType="begin"/>
          </w:r>
          <w:r>
            <w:rPr>
              <w:color w:val="auto"/>
              <w:highlight w:val="none"/>
            </w:rPr>
            <w:instrText xml:space="preserve"> HYPERLINK \l _Toc13244 </w:instrText>
          </w:r>
          <w:r>
            <w:rPr>
              <w:color w:val="auto"/>
              <w:highlight w:val="none"/>
            </w:rPr>
            <w:fldChar w:fldCharType="separate"/>
          </w:r>
          <w:r>
            <w:rPr>
              <w:rFonts w:hint="default" w:ascii="Times New Roman" w:hAnsi="Times New Roman" w:eastAsia="宋体" w:cs="Times New Roman"/>
              <w:color w:val="auto"/>
              <w:highlight w:val="none"/>
            </w:rPr>
            <w:t xml:space="preserve">3.1 </w:t>
          </w:r>
          <w:r>
            <w:rPr>
              <w:rFonts w:hint="default" w:ascii="Times New Roman" w:hAnsi="Times New Roman" w:eastAsia="宋体" w:cs="Times New Roman"/>
              <w:color w:val="auto"/>
              <w:highlight w:val="none"/>
              <w:lang w:val="en-US" w:eastAsia="zh-CN"/>
            </w:rPr>
            <w:t>原有</w:t>
          </w:r>
          <w:r>
            <w:rPr>
              <w:rFonts w:hint="eastAsia" w:eastAsia="宋体" w:cs="Times New Roman"/>
              <w:color w:val="auto"/>
              <w:highlight w:val="none"/>
              <w:lang w:val="en-US" w:eastAsia="zh-CN"/>
            </w:rPr>
            <w:t>项目</w:t>
          </w:r>
          <w:r>
            <w:rPr>
              <w:rFonts w:hint="default" w:ascii="Times New Roman" w:hAnsi="Times New Roman" w:eastAsia="宋体" w:cs="Times New Roman"/>
              <w:color w:val="auto"/>
              <w:highlight w:val="none"/>
            </w:rPr>
            <w:t>回顾</w:t>
          </w:r>
          <w:r>
            <w:rPr>
              <w:color w:val="auto"/>
            </w:rPr>
            <w:tab/>
          </w:r>
          <w:r>
            <w:rPr>
              <w:color w:val="auto"/>
            </w:rPr>
            <w:fldChar w:fldCharType="begin"/>
          </w:r>
          <w:r>
            <w:rPr>
              <w:color w:val="auto"/>
            </w:rPr>
            <w:instrText xml:space="preserve"> PAGEREF _Toc13244 \h </w:instrText>
          </w:r>
          <w:r>
            <w:rPr>
              <w:color w:val="auto"/>
            </w:rPr>
            <w:fldChar w:fldCharType="separate"/>
          </w:r>
          <w:r>
            <w:rPr>
              <w:color w:val="auto"/>
            </w:rPr>
            <w:t>36</w:t>
          </w:r>
          <w:r>
            <w:rPr>
              <w:color w:val="auto"/>
            </w:rPr>
            <w:fldChar w:fldCharType="end"/>
          </w:r>
          <w:r>
            <w:rPr>
              <w:color w:val="auto"/>
              <w:highlight w:val="none"/>
            </w:rPr>
            <w:fldChar w:fldCharType="end"/>
          </w:r>
        </w:p>
        <w:p w14:paraId="4189247B">
          <w:pPr>
            <w:pStyle w:val="26"/>
            <w:tabs>
              <w:tab w:val="right" w:leader="dot" w:pos="8732"/>
            </w:tabs>
            <w:rPr>
              <w:color w:val="auto"/>
            </w:rPr>
          </w:pPr>
          <w:r>
            <w:rPr>
              <w:color w:val="auto"/>
              <w:highlight w:val="none"/>
            </w:rPr>
            <w:fldChar w:fldCharType="begin"/>
          </w:r>
          <w:r>
            <w:rPr>
              <w:color w:val="auto"/>
              <w:highlight w:val="none"/>
            </w:rPr>
            <w:instrText xml:space="preserve"> HYPERLINK \l _Toc3159 </w:instrText>
          </w:r>
          <w:r>
            <w:rPr>
              <w:color w:val="auto"/>
              <w:highlight w:val="none"/>
            </w:rPr>
            <w:fldChar w:fldCharType="separate"/>
          </w:r>
          <w:r>
            <w:rPr>
              <w:rFonts w:hint="default" w:ascii="Times New Roman" w:hAnsi="Times New Roman" w:eastAsia="宋体" w:cs="Times New Roman"/>
              <w:color w:val="auto"/>
              <w:highlight w:val="none"/>
            </w:rPr>
            <w:t>3.2 建设项目概况</w:t>
          </w:r>
          <w:r>
            <w:rPr>
              <w:color w:val="auto"/>
            </w:rPr>
            <w:tab/>
          </w:r>
          <w:r>
            <w:rPr>
              <w:color w:val="auto"/>
            </w:rPr>
            <w:fldChar w:fldCharType="begin"/>
          </w:r>
          <w:r>
            <w:rPr>
              <w:color w:val="auto"/>
            </w:rPr>
            <w:instrText xml:space="preserve"> PAGEREF _Toc3159 \h </w:instrText>
          </w:r>
          <w:r>
            <w:rPr>
              <w:color w:val="auto"/>
            </w:rPr>
            <w:fldChar w:fldCharType="separate"/>
          </w:r>
          <w:r>
            <w:rPr>
              <w:color w:val="auto"/>
            </w:rPr>
            <w:t>40</w:t>
          </w:r>
          <w:r>
            <w:rPr>
              <w:color w:val="auto"/>
            </w:rPr>
            <w:fldChar w:fldCharType="end"/>
          </w:r>
          <w:r>
            <w:rPr>
              <w:color w:val="auto"/>
              <w:highlight w:val="none"/>
            </w:rPr>
            <w:fldChar w:fldCharType="end"/>
          </w:r>
        </w:p>
        <w:p w14:paraId="477A4975">
          <w:pPr>
            <w:pStyle w:val="26"/>
            <w:tabs>
              <w:tab w:val="right" w:leader="dot" w:pos="8732"/>
            </w:tabs>
            <w:rPr>
              <w:color w:val="auto"/>
            </w:rPr>
          </w:pPr>
          <w:r>
            <w:rPr>
              <w:color w:val="auto"/>
              <w:highlight w:val="none"/>
            </w:rPr>
            <w:fldChar w:fldCharType="begin"/>
          </w:r>
          <w:r>
            <w:rPr>
              <w:color w:val="auto"/>
              <w:highlight w:val="none"/>
            </w:rPr>
            <w:instrText xml:space="preserve"> HYPERLINK \l _Toc24415 </w:instrText>
          </w:r>
          <w:r>
            <w:rPr>
              <w:color w:val="auto"/>
              <w:highlight w:val="none"/>
            </w:rPr>
            <w:fldChar w:fldCharType="separate"/>
          </w:r>
          <w:r>
            <w:rPr>
              <w:rFonts w:hint="default" w:ascii="Times New Roman" w:hAnsi="Times New Roman" w:eastAsia="宋体" w:cs="Times New Roman"/>
              <w:color w:val="auto"/>
              <w:highlight w:val="none"/>
            </w:rPr>
            <w:t>3.3 工艺流程及产污环节</w:t>
          </w:r>
          <w:r>
            <w:rPr>
              <w:color w:val="auto"/>
            </w:rPr>
            <w:tab/>
          </w:r>
          <w:r>
            <w:rPr>
              <w:color w:val="auto"/>
            </w:rPr>
            <w:fldChar w:fldCharType="begin"/>
          </w:r>
          <w:r>
            <w:rPr>
              <w:color w:val="auto"/>
            </w:rPr>
            <w:instrText xml:space="preserve"> PAGEREF _Toc24415 \h </w:instrText>
          </w:r>
          <w:r>
            <w:rPr>
              <w:color w:val="auto"/>
            </w:rPr>
            <w:fldChar w:fldCharType="separate"/>
          </w:r>
          <w:r>
            <w:rPr>
              <w:color w:val="auto"/>
            </w:rPr>
            <w:t>47</w:t>
          </w:r>
          <w:r>
            <w:rPr>
              <w:color w:val="auto"/>
            </w:rPr>
            <w:fldChar w:fldCharType="end"/>
          </w:r>
          <w:r>
            <w:rPr>
              <w:color w:val="auto"/>
              <w:highlight w:val="none"/>
            </w:rPr>
            <w:fldChar w:fldCharType="end"/>
          </w:r>
        </w:p>
        <w:p w14:paraId="351E5E64">
          <w:pPr>
            <w:pStyle w:val="26"/>
            <w:tabs>
              <w:tab w:val="right" w:leader="dot" w:pos="8732"/>
            </w:tabs>
            <w:rPr>
              <w:color w:val="auto"/>
            </w:rPr>
          </w:pPr>
          <w:r>
            <w:rPr>
              <w:color w:val="auto"/>
              <w:highlight w:val="none"/>
            </w:rPr>
            <w:fldChar w:fldCharType="begin"/>
          </w:r>
          <w:r>
            <w:rPr>
              <w:color w:val="auto"/>
              <w:highlight w:val="none"/>
            </w:rPr>
            <w:instrText xml:space="preserve"> HYPERLINK \l _Toc18925 </w:instrText>
          </w:r>
          <w:r>
            <w:rPr>
              <w:color w:val="auto"/>
              <w:highlight w:val="none"/>
            </w:rPr>
            <w:fldChar w:fldCharType="separate"/>
          </w:r>
          <w:r>
            <w:rPr>
              <w:rFonts w:hint="default" w:ascii="Times New Roman" w:hAnsi="Times New Roman" w:eastAsia="宋体" w:cs="Times New Roman"/>
              <w:color w:val="auto"/>
              <w:highlight w:val="none"/>
              <w:lang w:val="en-US" w:eastAsia="zh-CN"/>
            </w:rPr>
            <w:t>3.4</w:t>
          </w:r>
          <w:r>
            <w:rPr>
              <w:rFonts w:hint="default" w:ascii="Times New Roman" w:hAnsi="Times New Roman" w:eastAsia="宋体" w:cs="Times New Roman"/>
              <w:color w:val="auto"/>
              <w:highlight w:val="none"/>
            </w:rPr>
            <w:t xml:space="preserve"> 污染源源强分析</w:t>
          </w:r>
          <w:r>
            <w:rPr>
              <w:color w:val="auto"/>
            </w:rPr>
            <w:tab/>
          </w:r>
          <w:r>
            <w:rPr>
              <w:color w:val="auto"/>
            </w:rPr>
            <w:fldChar w:fldCharType="begin"/>
          </w:r>
          <w:r>
            <w:rPr>
              <w:color w:val="auto"/>
            </w:rPr>
            <w:instrText xml:space="preserve"> PAGEREF _Toc18925 \h </w:instrText>
          </w:r>
          <w:r>
            <w:rPr>
              <w:color w:val="auto"/>
            </w:rPr>
            <w:fldChar w:fldCharType="separate"/>
          </w:r>
          <w:r>
            <w:rPr>
              <w:color w:val="auto"/>
            </w:rPr>
            <w:t>52</w:t>
          </w:r>
          <w:r>
            <w:rPr>
              <w:color w:val="auto"/>
            </w:rPr>
            <w:fldChar w:fldCharType="end"/>
          </w:r>
          <w:r>
            <w:rPr>
              <w:color w:val="auto"/>
              <w:highlight w:val="none"/>
            </w:rPr>
            <w:fldChar w:fldCharType="end"/>
          </w:r>
        </w:p>
        <w:p w14:paraId="5BE65A7C">
          <w:pPr>
            <w:pStyle w:val="26"/>
            <w:tabs>
              <w:tab w:val="right" w:leader="dot" w:pos="8732"/>
            </w:tabs>
            <w:rPr>
              <w:color w:val="auto"/>
            </w:rPr>
          </w:pPr>
          <w:r>
            <w:rPr>
              <w:color w:val="auto"/>
              <w:highlight w:val="none"/>
            </w:rPr>
            <w:fldChar w:fldCharType="begin"/>
          </w:r>
          <w:r>
            <w:rPr>
              <w:color w:val="auto"/>
              <w:highlight w:val="none"/>
            </w:rPr>
            <w:instrText xml:space="preserve"> HYPERLINK \l _Toc12484 </w:instrText>
          </w:r>
          <w:r>
            <w:rPr>
              <w:color w:val="auto"/>
              <w:highlight w:val="none"/>
            </w:rPr>
            <w:fldChar w:fldCharType="separate"/>
          </w:r>
          <w:r>
            <w:rPr>
              <w:rFonts w:hint="default" w:ascii="Times New Roman" w:hAnsi="Times New Roman" w:eastAsia="宋体" w:cs="Times New Roman"/>
              <w:color w:val="auto"/>
              <w:highlight w:val="none"/>
              <w:lang w:val="en-US" w:eastAsia="zh-CN"/>
            </w:rPr>
            <w:t>3.5总量控制指标</w:t>
          </w:r>
          <w:r>
            <w:rPr>
              <w:color w:val="auto"/>
            </w:rPr>
            <w:tab/>
          </w:r>
          <w:r>
            <w:rPr>
              <w:color w:val="auto"/>
            </w:rPr>
            <w:fldChar w:fldCharType="begin"/>
          </w:r>
          <w:r>
            <w:rPr>
              <w:color w:val="auto"/>
            </w:rPr>
            <w:instrText xml:space="preserve"> PAGEREF _Toc12484 \h </w:instrText>
          </w:r>
          <w:r>
            <w:rPr>
              <w:color w:val="auto"/>
            </w:rPr>
            <w:fldChar w:fldCharType="separate"/>
          </w:r>
          <w:r>
            <w:rPr>
              <w:color w:val="auto"/>
            </w:rPr>
            <w:t>62</w:t>
          </w:r>
          <w:r>
            <w:rPr>
              <w:color w:val="auto"/>
            </w:rPr>
            <w:fldChar w:fldCharType="end"/>
          </w:r>
          <w:r>
            <w:rPr>
              <w:color w:val="auto"/>
              <w:highlight w:val="none"/>
            </w:rPr>
            <w:fldChar w:fldCharType="end"/>
          </w:r>
        </w:p>
        <w:p w14:paraId="227B9E7C">
          <w:pPr>
            <w:pStyle w:val="26"/>
            <w:tabs>
              <w:tab w:val="right" w:leader="dot" w:pos="8732"/>
            </w:tabs>
            <w:rPr>
              <w:color w:val="auto"/>
            </w:rPr>
          </w:pPr>
          <w:r>
            <w:rPr>
              <w:color w:val="auto"/>
              <w:highlight w:val="none"/>
            </w:rPr>
            <w:fldChar w:fldCharType="begin"/>
          </w:r>
          <w:r>
            <w:rPr>
              <w:color w:val="auto"/>
              <w:highlight w:val="none"/>
            </w:rPr>
            <w:instrText xml:space="preserve"> HYPERLINK \l _Toc21617 </w:instrText>
          </w:r>
          <w:r>
            <w:rPr>
              <w:color w:val="auto"/>
              <w:highlight w:val="none"/>
            </w:rPr>
            <w:fldChar w:fldCharType="separate"/>
          </w:r>
          <w:r>
            <w:rPr>
              <w:rFonts w:hint="default" w:ascii="Times New Roman" w:hAnsi="Times New Roman" w:eastAsia="宋体" w:cs="Times New Roman"/>
              <w:color w:val="auto"/>
              <w:highlight w:val="none"/>
              <w:lang w:val="en-US" w:eastAsia="zh-CN"/>
            </w:rPr>
            <w:t>3.6 清洁生产</w:t>
          </w:r>
          <w:r>
            <w:rPr>
              <w:color w:val="auto"/>
            </w:rPr>
            <w:tab/>
          </w:r>
          <w:r>
            <w:rPr>
              <w:color w:val="auto"/>
            </w:rPr>
            <w:fldChar w:fldCharType="begin"/>
          </w:r>
          <w:r>
            <w:rPr>
              <w:color w:val="auto"/>
            </w:rPr>
            <w:instrText xml:space="preserve"> PAGEREF _Toc21617 \h </w:instrText>
          </w:r>
          <w:r>
            <w:rPr>
              <w:color w:val="auto"/>
            </w:rPr>
            <w:fldChar w:fldCharType="separate"/>
          </w:r>
          <w:r>
            <w:rPr>
              <w:color w:val="auto"/>
            </w:rPr>
            <w:t>62</w:t>
          </w:r>
          <w:r>
            <w:rPr>
              <w:color w:val="auto"/>
            </w:rPr>
            <w:fldChar w:fldCharType="end"/>
          </w:r>
          <w:r>
            <w:rPr>
              <w:color w:val="auto"/>
              <w:highlight w:val="none"/>
            </w:rPr>
            <w:fldChar w:fldCharType="end"/>
          </w:r>
        </w:p>
        <w:p w14:paraId="7864AFCB">
          <w:pPr>
            <w:pStyle w:val="21"/>
            <w:tabs>
              <w:tab w:val="right" w:leader="dot" w:pos="8732"/>
            </w:tabs>
            <w:rPr>
              <w:color w:val="auto"/>
            </w:rPr>
          </w:pPr>
          <w:r>
            <w:rPr>
              <w:color w:val="auto"/>
              <w:highlight w:val="none"/>
            </w:rPr>
            <w:fldChar w:fldCharType="begin"/>
          </w:r>
          <w:r>
            <w:rPr>
              <w:color w:val="auto"/>
              <w:highlight w:val="none"/>
            </w:rPr>
            <w:instrText xml:space="preserve"> HYPERLINK \l _Toc15810 </w:instrText>
          </w:r>
          <w:r>
            <w:rPr>
              <w:color w:val="auto"/>
              <w:highlight w:val="none"/>
            </w:rPr>
            <w:fldChar w:fldCharType="separate"/>
          </w:r>
          <w:r>
            <w:rPr>
              <w:rFonts w:hint="default" w:ascii="Times New Roman" w:hAnsi="Times New Roman" w:eastAsia="宋体" w:cs="Times New Roman"/>
              <w:color w:val="auto"/>
              <w:highlight w:val="none"/>
            </w:rPr>
            <w:t>4 环境质量现状调查与评价</w:t>
          </w:r>
          <w:r>
            <w:rPr>
              <w:color w:val="auto"/>
            </w:rPr>
            <w:tab/>
          </w:r>
          <w:r>
            <w:rPr>
              <w:color w:val="auto"/>
            </w:rPr>
            <w:fldChar w:fldCharType="begin"/>
          </w:r>
          <w:r>
            <w:rPr>
              <w:color w:val="auto"/>
            </w:rPr>
            <w:instrText xml:space="preserve"> PAGEREF _Toc15810 \h </w:instrText>
          </w:r>
          <w:r>
            <w:rPr>
              <w:color w:val="auto"/>
            </w:rPr>
            <w:fldChar w:fldCharType="separate"/>
          </w:r>
          <w:r>
            <w:rPr>
              <w:color w:val="auto"/>
            </w:rPr>
            <w:t>71</w:t>
          </w:r>
          <w:r>
            <w:rPr>
              <w:color w:val="auto"/>
            </w:rPr>
            <w:fldChar w:fldCharType="end"/>
          </w:r>
          <w:r>
            <w:rPr>
              <w:color w:val="auto"/>
              <w:highlight w:val="none"/>
            </w:rPr>
            <w:fldChar w:fldCharType="end"/>
          </w:r>
        </w:p>
        <w:p w14:paraId="72351141">
          <w:pPr>
            <w:pStyle w:val="26"/>
            <w:tabs>
              <w:tab w:val="right" w:leader="dot" w:pos="8732"/>
            </w:tabs>
            <w:rPr>
              <w:color w:val="auto"/>
            </w:rPr>
          </w:pPr>
          <w:r>
            <w:rPr>
              <w:color w:val="auto"/>
              <w:highlight w:val="none"/>
            </w:rPr>
            <w:fldChar w:fldCharType="begin"/>
          </w:r>
          <w:r>
            <w:rPr>
              <w:color w:val="auto"/>
              <w:highlight w:val="none"/>
            </w:rPr>
            <w:instrText xml:space="preserve"> HYPERLINK \l _Toc11766 </w:instrText>
          </w:r>
          <w:r>
            <w:rPr>
              <w:color w:val="auto"/>
              <w:highlight w:val="none"/>
            </w:rPr>
            <w:fldChar w:fldCharType="separate"/>
          </w:r>
          <w:r>
            <w:rPr>
              <w:rFonts w:hint="default" w:ascii="Times New Roman" w:hAnsi="Times New Roman" w:eastAsia="宋体" w:cs="Times New Roman"/>
              <w:color w:val="auto"/>
              <w:highlight w:val="none"/>
            </w:rPr>
            <w:t>4.1 自然环境概况</w:t>
          </w:r>
          <w:r>
            <w:rPr>
              <w:color w:val="auto"/>
            </w:rPr>
            <w:tab/>
          </w:r>
          <w:r>
            <w:rPr>
              <w:color w:val="auto"/>
            </w:rPr>
            <w:fldChar w:fldCharType="begin"/>
          </w:r>
          <w:r>
            <w:rPr>
              <w:color w:val="auto"/>
            </w:rPr>
            <w:instrText xml:space="preserve"> PAGEREF _Toc11766 \h </w:instrText>
          </w:r>
          <w:r>
            <w:rPr>
              <w:color w:val="auto"/>
            </w:rPr>
            <w:fldChar w:fldCharType="separate"/>
          </w:r>
          <w:r>
            <w:rPr>
              <w:color w:val="auto"/>
            </w:rPr>
            <w:t>71</w:t>
          </w:r>
          <w:r>
            <w:rPr>
              <w:color w:val="auto"/>
            </w:rPr>
            <w:fldChar w:fldCharType="end"/>
          </w:r>
          <w:r>
            <w:rPr>
              <w:color w:val="auto"/>
              <w:highlight w:val="none"/>
            </w:rPr>
            <w:fldChar w:fldCharType="end"/>
          </w:r>
        </w:p>
        <w:p w14:paraId="255D3FE6">
          <w:pPr>
            <w:pStyle w:val="26"/>
            <w:tabs>
              <w:tab w:val="right" w:leader="dot" w:pos="8732"/>
            </w:tabs>
            <w:rPr>
              <w:color w:val="auto"/>
            </w:rPr>
          </w:pPr>
          <w:r>
            <w:rPr>
              <w:color w:val="auto"/>
              <w:highlight w:val="none"/>
            </w:rPr>
            <w:fldChar w:fldCharType="begin"/>
          </w:r>
          <w:r>
            <w:rPr>
              <w:color w:val="auto"/>
              <w:highlight w:val="none"/>
            </w:rPr>
            <w:instrText xml:space="preserve"> HYPERLINK \l _Toc7510 </w:instrText>
          </w:r>
          <w:r>
            <w:rPr>
              <w:color w:val="auto"/>
              <w:highlight w:val="none"/>
            </w:rPr>
            <w:fldChar w:fldCharType="separate"/>
          </w:r>
          <w:r>
            <w:rPr>
              <w:rFonts w:hint="default" w:ascii="Times New Roman" w:hAnsi="Times New Roman" w:eastAsia="宋体" w:cs="Times New Roman"/>
              <w:color w:val="auto"/>
              <w:highlight w:val="none"/>
            </w:rPr>
            <w:t>4.2 环境质量现状</w:t>
          </w:r>
          <w:r>
            <w:rPr>
              <w:color w:val="auto"/>
            </w:rPr>
            <w:tab/>
          </w:r>
          <w:r>
            <w:rPr>
              <w:color w:val="auto"/>
            </w:rPr>
            <w:fldChar w:fldCharType="begin"/>
          </w:r>
          <w:r>
            <w:rPr>
              <w:color w:val="auto"/>
            </w:rPr>
            <w:instrText xml:space="preserve"> PAGEREF _Toc7510 \h </w:instrText>
          </w:r>
          <w:r>
            <w:rPr>
              <w:color w:val="auto"/>
            </w:rPr>
            <w:fldChar w:fldCharType="separate"/>
          </w:r>
          <w:r>
            <w:rPr>
              <w:color w:val="auto"/>
            </w:rPr>
            <w:t>77</w:t>
          </w:r>
          <w:r>
            <w:rPr>
              <w:color w:val="auto"/>
            </w:rPr>
            <w:fldChar w:fldCharType="end"/>
          </w:r>
          <w:r>
            <w:rPr>
              <w:color w:val="auto"/>
              <w:highlight w:val="none"/>
            </w:rPr>
            <w:fldChar w:fldCharType="end"/>
          </w:r>
        </w:p>
        <w:p w14:paraId="476A695C">
          <w:pPr>
            <w:pStyle w:val="26"/>
            <w:tabs>
              <w:tab w:val="right" w:leader="dot" w:pos="8732"/>
            </w:tabs>
            <w:rPr>
              <w:color w:val="auto"/>
            </w:rPr>
          </w:pPr>
          <w:r>
            <w:rPr>
              <w:color w:val="auto"/>
              <w:highlight w:val="none"/>
            </w:rPr>
            <w:fldChar w:fldCharType="begin"/>
          </w:r>
          <w:r>
            <w:rPr>
              <w:color w:val="auto"/>
              <w:highlight w:val="none"/>
            </w:rPr>
            <w:instrText xml:space="preserve"> HYPERLINK \l _Toc494 </w:instrText>
          </w:r>
          <w:r>
            <w:rPr>
              <w:color w:val="auto"/>
              <w:highlight w:val="none"/>
            </w:rPr>
            <w:fldChar w:fldCharType="separate"/>
          </w:r>
          <w:r>
            <w:rPr>
              <w:rFonts w:hint="default" w:ascii="Times New Roman" w:hAnsi="Times New Roman" w:eastAsia="宋体" w:cs="Times New Roman"/>
              <w:color w:val="auto"/>
              <w:highlight w:val="none"/>
            </w:rPr>
            <w:t>4.3 区域污染源调查</w:t>
          </w:r>
          <w:r>
            <w:rPr>
              <w:color w:val="auto"/>
            </w:rPr>
            <w:tab/>
          </w:r>
          <w:r>
            <w:rPr>
              <w:color w:val="auto"/>
            </w:rPr>
            <w:fldChar w:fldCharType="begin"/>
          </w:r>
          <w:r>
            <w:rPr>
              <w:color w:val="auto"/>
            </w:rPr>
            <w:instrText xml:space="preserve"> PAGEREF _Toc494 \h </w:instrText>
          </w:r>
          <w:r>
            <w:rPr>
              <w:color w:val="auto"/>
            </w:rPr>
            <w:fldChar w:fldCharType="separate"/>
          </w:r>
          <w:r>
            <w:rPr>
              <w:color w:val="auto"/>
            </w:rPr>
            <w:t>92</w:t>
          </w:r>
          <w:r>
            <w:rPr>
              <w:color w:val="auto"/>
            </w:rPr>
            <w:fldChar w:fldCharType="end"/>
          </w:r>
          <w:r>
            <w:rPr>
              <w:color w:val="auto"/>
              <w:highlight w:val="none"/>
            </w:rPr>
            <w:fldChar w:fldCharType="end"/>
          </w:r>
        </w:p>
        <w:p w14:paraId="0BB7E3A8">
          <w:pPr>
            <w:pStyle w:val="21"/>
            <w:tabs>
              <w:tab w:val="right" w:leader="dot" w:pos="8732"/>
            </w:tabs>
            <w:rPr>
              <w:color w:val="auto"/>
            </w:rPr>
          </w:pPr>
          <w:r>
            <w:rPr>
              <w:color w:val="auto"/>
              <w:highlight w:val="none"/>
            </w:rPr>
            <w:fldChar w:fldCharType="begin"/>
          </w:r>
          <w:r>
            <w:rPr>
              <w:color w:val="auto"/>
              <w:highlight w:val="none"/>
            </w:rPr>
            <w:instrText xml:space="preserve"> HYPERLINK \l _Toc9195 </w:instrText>
          </w:r>
          <w:r>
            <w:rPr>
              <w:color w:val="auto"/>
              <w:highlight w:val="none"/>
            </w:rPr>
            <w:fldChar w:fldCharType="separate"/>
          </w:r>
          <w:r>
            <w:rPr>
              <w:rFonts w:hint="default" w:ascii="Times New Roman" w:hAnsi="Times New Roman" w:eastAsia="宋体" w:cs="Times New Roman"/>
              <w:color w:val="auto"/>
              <w:highlight w:val="none"/>
            </w:rPr>
            <w:t>5  环境影响预测及评价</w:t>
          </w:r>
          <w:r>
            <w:rPr>
              <w:color w:val="auto"/>
            </w:rPr>
            <w:tab/>
          </w:r>
          <w:r>
            <w:rPr>
              <w:color w:val="auto"/>
            </w:rPr>
            <w:fldChar w:fldCharType="begin"/>
          </w:r>
          <w:r>
            <w:rPr>
              <w:color w:val="auto"/>
            </w:rPr>
            <w:instrText xml:space="preserve"> PAGEREF _Toc9195 \h </w:instrText>
          </w:r>
          <w:r>
            <w:rPr>
              <w:color w:val="auto"/>
            </w:rPr>
            <w:fldChar w:fldCharType="separate"/>
          </w:r>
          <w:r>
            <w:rPr>
              <w:color w:val="auto"/>
            </w:rPr>
            <w:t>93</w:t>
          </w:r>
          <w:r>
            <w:rPr>
              <w:color w:val="auto"/>
            </w:rPr>
            <w:fldChar w:fldCharType="end"/>
          </w:r>
          <w:r>
            <w:rPr>
              <w:color w:val="auto"/>
              <w:highlight w:val="none"/>
            </w:rPr>
            <w:fldChar w:fldCharType="end"/>
          </w:r>
        </w:p>
        <w:p w14:paraId="4154766C">
          <w:pPr>
            <w:pStyle w:val="26"/>
            <w:tabs>
              <w:tab w:val="right" w:leader="dot" w:pos="8732"/>
            </w:tabs>
            <w:rPr>
              <w:color w:val="auto"/>
            </w:rPr>
          </w:pPr>
          <w:r>
            <w:rPr>
              <w:color w:val="auto"/>
              <w:highlight w:val="none"/>
            </w:rPr>
            <w:fldChar w:fldCharType="begin"/>
          </w:r>
          <w:r>
            <w:rPr>
              <w:color w:val="auto"/>
              <w:highlight w:val="none"/>
            </w:rPr>
            <w:instrText xml:space="preserve"> HYPERLINK \l _Toc22231 </w:instrText>
          </w:r>
          <w:r>
            <w:rPr>
              <w:color w:val="auto"/>
              <w:highlight w:val="none"/>
            </w:rPr>
            <w:fldChar w:fldCharType="separate"/>
          </w:r>
          <w:r>
            <w:rPr>
              <w:rFonts w:hint="default" w:ascii="Times New Roman" w:hAnsi="Times New Roman" w:eastAsia="宋体" w:cs="Times New Roman"/>
              <w:color w:val="auto"/>
              <w:highlight w:val="none"/>
            </w:rPr>
            <w:t>5.1 施工期环境影响评价</w:t>
          </w:r>
          <w:r>
            <w:rPr>
              <w:color w:val="auto"/>
            </w:rPr>
            <w:tab/>
          </w:r>
          <w:r>
            <w:rPr>
              <w:color w:val="auto"/>
            </w:rPr>
            <w:fldChar w:fldCharType="begin"/>
          </w:r>
          <w:r>
            <w:rPr>
              <w:color w:val="auto"/>
            </w:rPr>
            <w:instrText xml:space="preserve"> PAGEREF _Toc22231 \h </w:instrText>
          </w:r>
          <w:r>
            <w:rPr>
              <w:color w:val="auto"/>
            </w:rPr>
            <w:fldChar w:fldCharType="separate"/>
          </w:r>
          <w:r>
            <w:rPr>
              <w:color w:val="auto"/>
            </w:rPr>
            <w:t>93</w:t>
          </w:r>
          <w:r>
            <w:rPr>
              <w:color w:val="auto"/>
            </w:rPr>
            <w:fldChar w:fldCharType="end"/>
          </w:r>
          <w:r>
            <w:rPr>
              <w:color w:val="auto"/>
              <w:highlight w:val="none"/>
            </w:rPr>
            <w:fldChar w:fldCharType="end"/>
          </w:r>
        </w:p>
        <w:p w14:paraId="0A4F1333">
          <w:pPr>
            <w:pStyle w:val="26"/>
            <w:tabs>
              <w:tab w:val="right" w:leader="dot" w:pos="8732"/>
            </w:tabs>
            <w:rPr>
              <w:color w:val="auto"/>
            </w:rPr>
          </w:pPr>
          <w:r>
            <w:rPr>
              <w:color w:val="auto"/>
              <w:highlight w:val="none"/>
            </w:rPr>
            <w:fldChar w:fldCharType="begin"/>
          </w:r>
          <w:r>
            <w:rPr>
              <w:color w:val="auto"/>
              <w:highlight w:val="none"/>
            </w:rPr>
            <w:instrText xml:space="preserve"> HYPERLINK \l _Toc6875 </w:instrText>
          </w:r>
          <w:r>
            <w:rPr>
              <w:color w:val="auto"/>
              <w:highlight w:val="none"/>
            </w:rPr>
            <w:fldChar w:fldCharType="separate"/>
          </w:r>
          <w:r>
            <w:rPr>
              <w:rFonts w:hint="default" w:ascii="Times New Roman" w:hAnsi="Times New Roman" w:eastAsia="宋体" w:cs="Times New Roman"/>
              <w:color w:val="auto"/>
              <w:highlight w:val="none"/>
            </w:rPr>
            <w:t xml:space="preserve">5.2 </w:t>
          </w:r>
          <w:r>
            <w:rPr>
              <w:rFonts w:hint="eastAsia" w:eastAsia="宋体" w:cs="Times New Roman"/>
              <w:color w:val="auto"/>
              <w:highlight w:val="none"/>
              <w:lang w:val="en-US" w:eastAsia="zh-CN"/>
            </w:rPr>
            <w:t>大气环境</w:t>
          </w:r>
          <w:r>
            <w:rPr>
              <w:rFonts w:hint="default" w:ascii="Times New Roman" w:hAnsi="Times New Roman" w:eastAsia="宋体" w:cs="Times New Roman"/>
              <w:color w:val="auto"/>
              <w:highlight w:val="none"/>
            </w:rPr>
            <w:t>影响预测及评价</w:t>
          </w:r>
          <w:r>
            <w:rPr>
              <w:color w:val="auto"/>
            </w:rPr>
            <w:tab/>
          </w:r>
          <w:r>
            <w:rPr>
              <w:color w:val="auto"/>
            </w:rPr>
            <w:fldChar w:fldCharType="begin"/>
          </w:r>
          <w:r>
            <w:rPr>
              <w:color w:val="auto"/>
            </w:rPr>
            <w:instrText xml:space="preserve"> PAGEREF _Toc6875 \h </w:instrText>
          </w:r>
          <w:r>
            <w:rPr>
              <w:color w:val="auto"/>
            </w:rPr>
            <w:fldChar w:fldCharType="separate"/>
          </w:r>
          <w:r>
            <w:rPr>
              <w:color w:val="auto"/>
            </w:rPr>
            <w:t>96</w:t>
          </w:r>
          <w:r>
            <w:rPr>
              <w:color w:val="auto"/>
            </w:rPr>
            <w:fldChar w:fldCharType="end"/>
          </w:r>
          <w:r>
            <w:rPr>
              <w:color w:val="auto"/>
              <w:highlight w:val="none"/>
            </w:rPr>
            <w:fldChar w:fldCharType="end"/>
          </w:r>
        </w:p>
        <w:p w14:paraId="73408A56">
          <w:pPr>
            <w:pStyle w:val="26"/>
            <w:tabs>
              <w:tab w:val="right" w:leader="dot" w:pos="8732"/>
            </w:tabs>
            <w:rPr>
              <w:color w:val="auto"/>
            </w:rPr>
          </w:pPr>
          <w:r>
            <w:rPr>
              <w:color w:val="auto"/>
              <w:highlight w:val="none"/>
            </w:rPr>
            <w:fldChar w:fldCharType="begin"/>
          </w:r>
          <w:r>
            <w:rPr>
              <w:color w:val="auto"/>
              <w:highlight w:val="none"/>
            </w:rPr>
            <w:instrText xml:space="preserve"> HYPERLINK \l _Toc553 </w:instrText>
          </w:r>
          <w:r>
            <w:rPr>
              <w:color w:val="auto"/>
              <w:highlight w:val="none"/>
            </w:rPr>
            <w:fldChar w:fldCharType="separate"/>
          </w:r>
          <w:r>
            <w:rPr>
              <w:rFonts w:hint="default" w:ascii="Times New Roman" w:hAnsi="Times New Roman" w:eastAsia="宋体" w:cs="Times New Roman"/>
              <w:color w:val="auto"/>
              <w:highlight w:val="none"/>
            </w:rPr>
            <w:t>5.3 地表水环境影响分析</w:t>
          </w:r>
          <w:r>
            <w:rPr>
              <w:color w:val="auto"/>
            </w:rPr>
            <w:tab/>
          </w:r>
          <w:r>
            <w:rPr>
              <w:color w:val="auto"/>
            </w:rPr>
            <w:fldChar w:fldCharType="begin"/>
          </w:r>
          <w:r>
            <w:rPr>
              <w:color w:val="auto"/>
            </w:rPr>
            <w:instrText xml:space="preserve"> PAGEREF _Toc553 \h </w:instrText>
          </w:r>
          <w:r>
            <w:rPr>
              <w:color w:val="auto"/>
            </w:rPr>
            <w:fldChar w:fldCharType="separate"/>
          </w:r>
          <w:r>
            <w:rPr>
              <w:color w:val="auto"/>
            </w:rPr>
            <w:t>117</w:t>
          </w:r>
          <w:r>
            <w:rPr>
              <w:color w:val="auto"/>
            </w:rPr>
            <w:fldChar w:fldCharType="end"/>
          </w:r>
          <w:r>
            <w:rPr>
              <w:color w:val="auto"/>
              <w:highlight w:val="none"/>
            </w:rPr>
            <w:fldChar w:fldCharType="end"/>
          </w:r>
        </w:p>
        <w:p w14:paraId="2362ADFE">
          <w:pPr>
            <w:pStyle w:val="26"/>
            <w:tabs>
              <w:tab w:val="right" w:leader="dot" w:pos="8732"/>
            </w:tabs>
            <w:rPr>
              <w:color w:val="auto"/>
            </w:rPr>
          </w:pPr>
          <w:r>
            <w:rPr>
              <w:color w:val="auto"/>
              <w:highlight w:val="none"/>
            </w:rPr>
            <w:fldChar w:fldCharType="begin"/>
          </w:r>
          <w:r>
            <w:rPr>
              <w:color w:val="auto"/>
              <w:highlight w:val="none"/>
            </w:rPr>
            <w:instrText xml:space="preserve"> HYPERLINK \l _Toc5404 </w:instrText>
          </w:r>
          <w:r>
            <w:rPr>
              <w:color w:val="auto"/>
              <w:highlight w:val="none"/>
            </w:rPr>
            <w:fldChar w:fldCharType="separate"/>
          </w:r>
          <w:r>
            <w:rPr>
              <w:rFonts w:hint="default" w:ascii="Times New Roman" w:hAnsi="Times New Roman" w:eastAsia="宋体" w:cs="Times New Roman"/>
              <w:color w:val="auto"/>
              <w:highlight w:val="none"/>
            </w:rPr>
            <w:t>5.4 噪声影响预测与评价</w:t>
          </w:r>
          <w:r>
            <w:rPr>
              <w:color w:val="auto"/>
            </w:rPr>
            <w:tab/>
          </w:r>
          <w:r>
            <w:rPr>
              <w:color w:val="auto"/>
            </w:rPr>
            <w:fldChar w:fldCharType="begin"/>
          </w:r>
          <w:r>
            <w:rPr>
              <w:color w:val="auto"/>
            </w:rPr>
            <w:instrText xml:space="preserve"> PAGEREF _Toc5404 \h </w:instrText>
          </w:r>
          <w:r>
            <w:rPr>
              <w:color w:val="auto"/>
            </w:rPr>
            <w:fldChar w:fldCharType="separate"/>
          </w:r>
          <w:r>
            <w:rPr>
              <w:color w:val="auto"/>
            </w:rPr>
            <w:t>117</w:t>
          </w:r>
          <w:r>
            <w:rPr>
              <w:color w:val="auto"/>
            </w:rPr>
            <w:fldChar w:fldCharType="end"/>
          </w:r>
          <w:r>
            <w:rPr>
              <w:color w:val="auto"/>
              <w:highlight w:val="none"/>
            </w:rPr>
            <w:fldChar w:fldCharType="end"/>
          </w:r>
        </w:p>
        <w:p w14:paraId="0C69AC19">
          <w:pPr>
            <w:pStyle w:val="26"/>
            <w:tabs>
              <w:tab w:val="right" w:leader="dot" w:pos="8732"/>
            </w:tabs>
            <w:rPr>
              <w:color w:val="auto"/>
            </w:rPr>
          </w:pPr>
          <w:r>
            <w:rPr>
              <w:color w:val="auto"/>
              <w:highlight w:val="none"/>
            </w:rPr>
            <w:fldChar w:fldCharType="begin"/>
          </w:r>
          <w:r>
            <w:rPr>
              <w:color w:val="auto"/>
              <w:highlight w:val="none"/>
            </w:rPr>
            <w:instrText xml:space="preserve"> HYPERLINK \l _Toc6366 </w:instrText>
          </w:r>
          <w:r>
            <w:rPr>
              <w:color w:val="auto"/>
              <w:highlight w:val="none"/>
            </w:rPr>
            <w:fldChar w:fldCharType="separate"/>
          </w:r>
          <w:r>
            <w:rPr>
              <w:rFonts w:hint="default" w:ascii="Times New Roman" w:hAnsi="Times New Roman" w:eastAsia="宋体" w:cs="Times New Roman"/>
              <w:color w:val="auto"/>
              <w:highlight w:val="none"/>
            </w:rPr>
            <w:t>5.5 固体废物影响分析</w:t>
          </w:r>
          <w:r>
            <w:rPr>
              <w:color w:val="auto"/>
            </w:rPr>
            <w:tab/>
          </w:r>
          <w:r>
            <w:rPr>
              <w:color w:val="auto"/>
            </w:rPr>
            <w:fldChar w:fldCharType="begin"/>
          </w:r>
          <w:r>
            <w:rPr>
              <w:color w:val="auto"/>
            </w:rPr>
            <w:instrText xml:space="preserve"> PAGEREF _Toc6366 \h </w:instrText>
          </w:r>
          <w:r>
            <w:rPr>
              <w:color w:val="auto"/>
            </w:rPr>
            <w:fldChar w:fldCharType="separate"/>
          </w:r>
          <w:r>
            <w:rPr>
              <w:color w:val="auto"/>
            </w:rPr>
            <w:t>122</w:t>
          </w:r>
          <w:r>
            <w:rPr>
              <w:color w:val="auto"/>
            </w:rPr>
            <w:fldChar w:fldCharType="end"/>
          </w:r>
          <w:r>
            <w:rPr>
              <w:color w:val="auto"/>
              <w:highlight w:val="none"/>
            </w:rPr>
            <w:fldChar w:fldCharType="end"/>
          </w:r>
        </w:p>
        <w:p w14:paraId="3D0449BB">
          <w:pPr>
            <w:pStyle w:val="26"/>
            <w:tabs>
              <w:tab w:val="right" w:leader="dot" w:pos="8732"/>
            </w:tabs>
            <w:rPr>
              <w:color w:val="auto"/>
            </w:rPr>
          </w:pPr>
          <w:r>
            <w:rPr>
              <w:color w:val="auto"/>
              <w:highlight w:val="none"/>
            </w:rPr>
            <w:fldChar w:fldCharType="begin"/>
          </w:r>
          <w:r>
            <w:rPr>
              <w:color w:val="auto"/>
              <w:highlight w:val="none"/>
            </w:rPr>
            <w:instrText xml:space="preserve"> HYPERLINK \l _Toc21045 </w:instrText>
          </w:r>
          <w:r>
            <w:rPr>
              <w:color w:val="auto"/>
              <w:highlight w:val="none"/>
            </w:rPr>
            <w:fldChar w:fldCharType="separate"/>
          </w:r>
          <w:r>
            <w:rPr>
              <w:rFonts w:hint="default" w:ascii="Times New Roman" w:hAnsi="Times New Roman" w:eastAsia="宋体" w:cs="Times New Roman"/>
              <w:color w:val="auto"/>
              <w:highlight w:val="none"/>
            </w:rPr>
            <w:t>5.6 地下水环境影响预测与</w:t>
          </w:r>
          <w:r>
            <w:rPr>
              <w:rFonts w:hint="eastAsia" w:eastAsia="宋体" w:cs="Times New Roman"/>
              <w:color w:val="auto"/>
              <w:highlight w:val="none"/>
              <w:lang w:val="en-US" w:eastAsia="zh-CN"/>
            </w:rPr>
            <w:t>评价</w:t>
          </w:r>
          <w:r>
            <w:rPr>
              <w:color w:val="auto"/>
            </w:rPr>
            <w:tab/>
          </w:r>
          <w:r>
            <w:rPr>
              <w:color w:val="auto"/>
            </w:rPr>
            <w:fldChar w:fldCharType="begin"/>
          </w:r>
          <w:r>
            <w:rPr>
              <w:color w:val="auto"/>
            </w:rPr>
            <w:instrText xml:space="preserve"> PAGEREF _Toc21045 \h </w:instrText>
          </w:r>
          <w:r>
            <w:rPr>
              <w:color w:val="auto"/>
            </w:rPr>
            <w:fldChar w:fldCharType="separate"/>
          </w:r>
          <w:r>
            <w:rPr>
              <w:color w:val="auto"/>
            </w:rPr>
            <w:t>125</w:t>
          </w:r>
          <w:r>
            <w:rPr>
              <w:color w:val="auto"/>
            </w:rPr>
            <w:fldChar w:fldCharType="end"/>
          </w:r>
          <w:r>
            <w:rPr>
              <w:color w:val="auto"/>
              <w:highlight w:val="none"/>
            </w:rPr>
            <w:fldChar w:fldCharType="end"/>
          </w:r>
        </w:p>
        <w:p w14:paraId="3D1DDF50">
          <w:pPr>
            <w:pStyle w:val="26"/>
            <w:tabs>
              <w:tab w:val="right" w:leader="dot" w:pos="8732"/>
            </w:tabs>
            <w:rPr>
              <w:color w:val="auto"/>
            </w:rPr>
          </w:pPr>
          <w:r>
            <w:rPr>
              <w:color w:val="auto"/>
              <w:highlight w:val="none"/>
            </w:rPr>
            <w:fldChar w:fldCharType="begin"/>
          </w:r>
          <w:r>
            <w:rPr>
              <w:color w:val="auto"/>
              <w:highlight w:val="none"/>
            </w:rPr>
            <w:instrText xml:space="preserve"> HYPERLINK \l _Toc10506 </w:instrText>
          </w:r>
          <w:r>
            <w:rPr>
              <w:color w:val="auto"/>
              <w:highlight w:val="none"/>
            </w:rPr>
            <w:fldChar w:fldCharType="separate"/>
          </w:r>
          <w:r>
            <w:rPr>
              <w:rFonts w:hint="default" w:ascii="Times New Roman" w:hAnsi="Times New Roman" w:eastAsia="宋体" w:cs="Times New Roman"/>
              <w:color w:val="auto"/>
              <w:highlight w:val="none"/>
            </w:rPr>
            <w:t>5.7 土壤环境影响预测与评价</w:t>
          </w:r>
          <w:r>
            <w:rPr>
              <w:color w:val="auto"/>
            </w:rPr>
            <w:tab/>
          </w:r>
          <w:r>
            <w:rPr>
              <w:color w:val="auto"/>
            </w:rPr>
            <w:fldChar w:fldCharType="begin"/>
          </w:r>
          <w:r>
            <w:rPr>
              <w:color w:val="auto"/>
            </w:rPr>
            <w:instrText xml:space="preserve"> PAGEREF _Toc10506 \h </w:instrText>
          </w:r>
          <w:r>
            <w:rPr>
              <w:color w:val="auto"/>
            </w:rPr>
            <w:fldChar w:fldCharType="separate"/>
          </w:r>
          <w:r>
            <w:rPr>
              <w:color w:val="auto"/>
            </w:rPr>
            <w:t>134</w:t>
          </w:r>
          <w:r>
            <w:rPr>
              <w:color w:val="auto"/>
            </w:rPr>
            <w:fldChar w:fldCharType="end"/>
          </w:r>
          <w:r>
            <w:rPr>
              <w:color w:val="auto"/>
              <w:highlight w:val="none"/>
            </w:rPr>
            <w:fldChar w:fldCharType="end"/>
          </w:r>
        </w:p>
        <w:p w14:paraId="20CD503C">
          <w:pPr>
            <w:pStyle w:val="26"/>
            <w:tabs>
              <w:tab w:val="right" w:leader="dot" w:pos="8732"/>
            </w:tabs>
            <w:rPr>
              <w:color w:val="auto"/>
            </w:rPr>
          </w:pPr>
          <w:r>
            <w:rPr>
              <w:color w:val="auto"/>
              <w:highlight w:val="none"/>
            </w:rPr>
            <w:fldChar w:fldCharType="begin"/>
          </w:r>
          <w:r>
            <w:rPr>
              <w:color w:val="auto"/>
              <w:highlight w:val="none"/>
            </w:rPr>
            <w:instrText xml:space="preserve"> HYPERLINK \l _Toc27114 </w:instrText>
          </w:r>
          <w:r>
            <w:rPr>
              <w:color w:val="auto"/>
              <w:highlight w:val="none"/>
            </w:rPr>
            <w:fldChar w:fldCharType="separate"/>
          </w:r>
          <w:r>
            <w:rPr>
              <w:rFonts w:hint="default" w:ascii="Times New Roman" w:hAnsi="Times New Roman" w:eastAsia="宋体" w:cs="Times New Roman"/>
              <w:color w:val="auto"/>
              <w:highlight w:val="none"/>
            </w:rPr>
            <w:t>5.8 环境风险评价</w:t>
          </w:r>
          <w:r>
            <w:rPr>
              <w:color w:val="auto"/>
            </w:rPr>
            <w:tab/>
          </w:r>
          <w:r>
            <w:rPr>
              <w:color w:val="auto"/>
            </w:rPr>
            <w:fldChar w:fldCharType="begin"/>
          </w:r>
          <w:r>
            <w:rPr>
              <w:color w:val="auto"/>
            </w:rPr>
            <w:instrText xml:space="preserve"> PAGEREF _Toc27114 \h </w:instrText>
          </w:r>
          <w:r>
            <w:rPr>
              <w:color w:val="auto"/>
            </w:rPr>
            <w:fldChar w:fldCharType="separate"/>
          </w:r>
          <w:r>
            <w:rPr>
              <w:color w:val="auto"/>
            </w:rPr>
            <w:t>138</w:t>
          </w:r>
          <w:r>
            <w:rPr>
              <w:color w:val="auto"/>
            </w:rPr>
            <w:fldChar w:fldCharType="end"/>
          </w:r>
          <w:r>
            <w:rPr>
              <w:color w:val="auto"/>
              <w:highlight w:val="none"/>
            </w:rPr>
            <w:fldChar w:fldCharType="end"/>
          </w:r>
        </w:p>
        <w:p w14:paraId="406EE2B3">
          <w:pPr>
            <w:pStyle w:val="26"/>
            <w:tabs>
              <w:tab w:val="right" w:leader="dot" w:pos="8732"/>
            </w:tabs>
            <w:rPr>
              <w:color w:val="auto"/>
            </w:rPr>
          </w:pPr>
          <w:r>
            <w:rPr>
              <w:color w:val="auto"/>
              <w:highlight w:val="none"/>
            </w:rPr>
            <w:fldChar w:fldCharType="begin"/>
          </w:r>
          <w:r>
            <w:rPr>
              <w:color w:val="auto"/>
              <w:highlight w:val="none"/>
            </w:rPr>
            <w:instrText xml:space="preserve"> HYPERLINK \l _Toc11612 </w:instrText>
          </w:r>
          <w:r>
            <w:rPr>
              <w:color w:val="auto"/>
              <w:highlight w:val="none"/>
            </w:rPr>
            <w:fldChar w:fldCharType="separate"/>
          </w:r>
          <w:r>
            <w:rPr>
              <w:rFonts w:hint="eastAsia" w:ascii="Times New Roman" w:hAnsi="Times New Roman" w:eastAsia="宋体" w:cs="Times New Roman"/>
              <w:color w:val="auto"/>
              <w:highlight w:val="none"/>
              <w:lang w:val="en-US" w:eastAsia="zh-CN"/>
            </w:rPr>
            <w:t>5.9</w:t>
          </w:r>
          <w:r>
            <w:rPr>
              <w:rFonts w:hint="eastAsia" w:ascii="Times New Roman" w:hAnsi="Times New Roman" w:eastAsia="宋体" w:cs="Times New Roman"/>
              <w:color w:val="auto"/>
              <w:highlight w:val="none"/>
            </w:rPr>
            <w:t>碳排放影响评价</w:t>
          </w:r>
          <w:r>
            <w:rPr>
              <w:color w:val="auto"/>
            </w:rPr>
            <w:tab/>
          </w:r>
          <w:r>
            <w:rPr>
              <w:color w:val="auto"/>
            </w:rPr>
            <w:fldChar w:fldCharType="begin"/>
          </w:r>
          <w:r>
            <w:rPr>
              <w:color w:val="auto"/>
            </w:rPr>
            <w:instrText xml:space="preserve"> PAGEREF _Toc11612 \h </w:instrText>
          </w:r>
          <w:r>
            <w:rPr>
              <w:color w:val="auto"/>
            </w:rPr>
            <w:fldChar w:fldCharType="separate"/>
          </w:r>
          <w:r>
            <w:rPr>
              <w:color w:val="auto"/>
            </w:rPr>
            <w:t>152</w:t>
          </w:r>
          <w:r>
            <w:rPr>
              <w:color w:val="auto"/>
            </w:rPr>
            <w:fldChar w:fldCharType="end"/>
          </w:r>
          <w:r>
            <w:rPr>
              <w:color w:val="auto"/>
              <w:highlight w:val="none"/>
            </w:rPr>
            <w:fldChar w:fldCharType="end"/>
          </w:r>
        </w:p>
        <w:p w14:paraId="70FE64D1">
          <w:pPr>
            <w:pStyle w:val="21"/>
            <w:tabs>
              <w:tab w:val="right" w:leader="dot" w:pos="8732"/>
            </w:tabs>
            <w:rPr>
              <w:color w:val="auto"/>
            </w:rPr>
          </w:pPr>
          <w:r>
            <w:rPr>
              <w:color w:val="auto"/>
              <w:highlight w:val="none"/>
            </w:rPr>
            <w:fldChar w:fldCharType="begin"/>
          </w:r>
          <w:r>
            <w:rPr>
              <w:color w:val="auto"/>
              <w:highlight w:val="none"/>
            </w:rPr>
            <w:instrText xml:space="preserve"> HYPERLINK \l _Toc3653 </w:instrText>
          </w:r>
          <w:r>
            <w:rPr>
              <w:color w:val="auto"/>
              <w:highlight w:val="none"/>
            </w:rPr>
            <w:fldChar w:fldCharType="separate"/>
          </w:r>
          <w:r>
            <w:rPr>
              <w:rFonts w:hint="default" w:ascii="Times New Roman" w:hAnsi="Times New Roman" w:eastAsia="宋体" w:cs="Times New Roman"/>
              <w:color w:val="auto"/>
              <w:highlight w:val="none"/>
            </w:rPr>
            <w:t>6 环境保护措施及其可行性论证</w:t>
          </w:r>
          <w:r>
            <w:rPr>
              <w:color w:val="auto"/>
            </w:rPr>
            <w:tab/>
          </w:r>
          <w:r>
            <w:rPr>
              <w:color w:val="auto"/>
            </w:rPr>
            <w:fldChar w:fldCharType="begin"/>
          </w:r>
          <w:r>
            <w:rPr>
              <w:color w:val="auto"/>
            </w:rPr>
            <w:instrText xml:space="preserve"> PAGEREF _Toc3653 \h </w:instrText>
          </w:r>
          <w:r>
            <w:rPr>
              <w:color w:val="auto"/>
            </w:rPr>
            <w:fldChar w:fldCharType="separate"/>
          </w:r>
          <w:r>
            <w:rPr>
              <w:color w:val="auto"/>
            </w:rPr>
            <w:t>155</w:t>
          </w:r>
          <w:r>
            <w:rPr>
              <w:color w:val="auto"/>
            </w:rPr>
            <w:fldChar w:fldCharType="end"/>
          </w:r>
          <w:r>
            <w:rPr>
              <w:color w:val="auto"/>
              <w:highlight w:val="none"/>
            </w:rPr>
            <w:fldChar w:fldCharType="end"/>
          </w:r>
        </w:p>
        <w:p w14:paraId="5F8B2795">
          <w:pPr>
            <w:pStyle w:val="26"/>
            <w:tabs>
              <w:tab w:val="right" w:leader="dot" w:pos="8732"/>
            </w:tabs>
            <w:rPr>
              <w:color w:val="auto"/>
            </w:rPr>
          </w:pPr>
          <w:r>
            <w:rPr>
              <w:color w:val="auto"/>
              <w:highlight w:val="none"/>
            </w:rPr>
            <w:fldChar w:fldCharType="begin"/>
          </w:r>
          <w:r>
            <w:rPr>
              <w:color w:val="auto"/>
              <w:highlight w:val="none"/>
            </w:rPr>
            <w:instrText xml:space="preserve"> HYPERLINK \l _Toc29054 </w:instrText>
          </w:r>
          <w:r>
            <w:rPr>
              <w:color w:val="auto"/>
              <w:highlight w:val="none"/>
            </w:rPr>
            <w:fldChar w:fldCharType="separate"/>
          </w:r>
          <w:r>
            <w:rPr>
              <w:rFonts w:hint="default" w:ascii="Times New Roman" w:hAnsi="Times New Roman" w:cs="Times New Roman"/>
              <w:color w:val="auto"/>
              <w:highlight w:val="none"/>
            </w:rPr>
            <w:t>6.1 施工期污染防治措施分析</w:t>
          </w:r>
          <w:r>
            <w:rPr>
              <w:color w:val="auto"/>
            </w:rPr>
            <w:tab/>
          </w:r>
          <w:r>
            <w:rPr>
              <w:color w:val="auto"/>
            </w:rPr>
            <w:fldChar w:fldCharType="begin"/>
          </w:r>
          <w:r>
            <w:rPr>
              <w:color w:val="auto"/>
            </w:rPr>
            <w:instrText xml:space="preserve"> PAGEREF _Toc29054 \h </w:instrText>
          </w:r>
          <w:r>
            <w:rPr>
              <w:color w:val="auto"/>
            </w:rPr>
            <w:fldChar w:fldCharType="separate"/>
          </w:r>
          <w:r>
            <w:rPr>
              <w:color w:val="auto"/>
            </w:rPr>
            <w:t>155</w:t>
          </w:r>
          <w:r>
            <w:rPr>
              <w:color w:val="auto"/>
            </w:rPr>
            <w:fldChar w:fldCharType="end"/>
          </w:r>
          <w:r>
            <w:rPr>
              <w:color w:val="auto"/>
              <w:highlight w:val="none"/>
            </w:rPr>
            <w:fldChar w:fldCharType="end"/>
          </w:r>
        </w:p>
        <w:p w14:paraId="58E4C370">
          <w:pPr>
            <w:pStyle w:val="26"/>
            <w:tabs>
              <w:tab w:val="right" w:leader="dot" w:pos="8732"/>
            </w:tabs>
            <w:rPr>
              <w:color w:val="auto"/>
            </w:rPr>
          </w:pPr>
          <w:r>
            <w:rPr>
              <w:color w:val="auto"/>
              <w:highlight w:val="none"/>
            </w:rPr>
            <w:fldChar w:fldCharType="begin"/>
          </w:r>
          <w:r>
            <w:rPr>
              <w:color w:val="auto"/>
              <w:highlight w:val="none"/>
            </w:rPr>
            <w:instrText xml:space="preserve"> HYPERLINK \l _Toc24292 </w:instrText>
          </w:r>
          <w:r>
            <w:rPr>
              <w:color w:val="auto"/>
              <w:highlight w:val="none"/>
            </w:rPr>
            <w:fldChar w:fldCharType="separate"/>
          </w:r>
          <w:r>
            <w:rPr>
              <w:rFonts w:hint="default" w:ascii="Times New Roman" w:hAnsi="Times New Roman" w:eastAsia="宋体" w:cs="Times New Roman"/>
              <w:color w:val="auto"/>
              <w:highlight w:val="none"/>
            </w:rPr>
            <w:t>6.2 运营期污染防治措施分析</w:t>
          </w:r>
          <w:r>
            <w:rPr>
              <w:color w:val="auto"/>
            </w:rPr>
            <w:tab/>
          </w:r>
          <w:r>
            <w:rPr>
              <w:color w:val="auto"/>
            </w:rPr>
            <w:fldChar w:fldCharType="begin"/>
          </w:r>
          <w:r>
            <w:rPr>
              <w:color w:val="auto"/>
            </w:rPr>
            <w:instrText xml:space="preserve"> PAGEREF _Toc24292 \h </w:instrText>
          </w:r>
          <w:r>
            <w:rPr>
              <w:color w:val="auto"/>
            </w:rPr>
            <w:fldChar w:fldCharType="separate"/>
          </w:r>
          <w:r>
            <w:rPr>
              <w:color w:val="auto"/>
            </w:rPr>
            <w:t>157</w:t>
          </w:r>
          <w:r>
            <w:rPr>
              <w:color w:val="auto"/>
            </w:rPr>
            <w:fldChar w:fldCharType="end"/>
          </w:r>
          <w:r>
            <w:rPr>
              <w:color w:val="auto"/>
              <w:highlight w:val="none"/>
            </w:rPr>
            <w:fldChar w:fldCharType="end"/>
          </w:r>
        </w:p>
        <w:p w14:paraId="17670169">
          <w:pPr>
            <w:pStyle w:val="21"/>
            <w:tabs>
              <w:tab w:val="right" w:leader="dot" w:pos="8732"/>
            </w:tabs>
            <w:rPr>
              <w:color w:val="auto"/>
            </w:rPr>
          </w:pPr>
          <w:r>
            <w:rPr>
              <w:color w:val="auto"/>
              <w:highlight w:val="none"/>
            </w:rPr>
            <w:fldChar w:fldCharType="begin"/>
          </w:r>
          <w:r>
            <w:rPr>
              <w:color w:val="auto"/>
              <w:highlight w:val="none"/>
            </w:rPr>
            <w:instrText xml:space="preserve"> HYPERLINK \l _Toc5811 </w:instrText>
          </w:r>
          <w:r>
            <w:rPr>
              <w:color w:val="auto"/>
              <w:highlight w:val="none"/>
            </w:rPr>
            <w:fldChar w:fldCharType="separate"/>
          </w:r>
          <w:r>
            <w:rPr>
              <w:rFonts w:hint="default" w:ascii="Times New Roman" w:hAnsi="Times New Roman" w:eastAsia="宋体" w:cs="Times New Roman"/>
              <w:color w:val="auto"/>
              <w:highlight w:val="none"/>
            </w:rPr>
            <w:t>7 环境影响经济损益分析</w:t>
          </w:r>
          <w:r>
            <w:rPr>
              <w:color w:val="auto"/>
            </w:rPr>
            <w:tab/>
          </w:r>
          <w:r>
            <w:rPr>
              <w:color w:val="auto"/>
            </w:rPr>
            <w:fldChar w:fldCharType="begin"/>
          </w:r>
          <w:r>
            <w:rPr>
              <w:color w:val="auto"/>
            </w:rPr>
            <w:instrText xml:space="preserve"> PAGEREF _Toc5811 \h </w:instrText>
          </w:r>
          <w:r>
            <w:rPr>
              <w:color w:val="auto"/>
            </w:rPr>
            <w:fldChar w:fldCharType="separate"/>
          </w:r>
          <w:r>
            <w:rPr>
              <w:color w:val="auto"/>
            </w:rPr>
            <w:t>172</w:t>
          </w:r>
          <w:r>
            <w:rPr>
              <w:color w:val="auto"/>
            </w:rPr>
            <w:fldChar w:fldCharType="end"/>
          </w:r>
          <w:r>
            <w:rPr>
              <w:color w:val="auto"/>
              <w:highlight w:val="none"/>
            </w:rPr>
            <w:fldChar w:fldCharType="end"/>
          </w:r>
        </w:p>
        <w:p w14:paraId="45195BBF">
          <w:pPr>
            <w:pStyle w:val="26"/>
            <w:tabs>
              <w:tab w:val="right" w:leader="dot" w:pos="8732"/>
            </w:tabs>
            <w:rPr>
              <w:color w:val="auto"/>
            </w:rPr>
          </w:pPr>
          <w:r>
            <w:rPr>
              <w:color w:val="auto"/>
              <w:highlight w:val="none"/>
            </w:rPr>
            <w:fldChar w:fldCharType="begin"/>
          </w:r>
          <w:r>
            <w:rPr>
              <w:color w:val="auto"/>
              <w:highlight w:val="none"/>
            </w:rPr>
            <w:instrText xml:space="preserve"> HYPERLINK \l _Toc24497 </w:instrText>
          </w:r>
          <w:r>
            <w:rPr>
              <w:color w:val="auto"/>
              <w:highlight w:val="none"/>
            </w:rPr>
            <w:fldChar w:fldCharType="separate"/>
          </w:r>
          <w:r>
            <w:rPr>
              <w:rFonts w:hint="default" w:ascii="Times New Roman" w:hAnsi="Times New Roman" w:eastAsia="宋体" w:cs="Times New Roman"/>
              <w:color w:val="auto"/>
              <w:highlight w:val="none"/>
            </w:rPr>
            <w:t>7.1社会效益分析</w:t>
          </w:r>
          <w:r>
            <w:rPr>
              <w:color w:val="auto"/>
            </w:rPr>
            <w:tab/>
          </w:r>
          <w:r>
            <w:rPr>
              <w:color w:val="auto"/>
            </w:rPr>
            <w:fldChar w:fldCharType="begin"/>
          </w:r>
          <w:r>
            <w:rPr>
              <w:color w:val="auto"/>
            </w:rPr>
            <w:instrText xml:space="preserve"> PAGEREF _Toc24497 \h </w:instrText>
          </w:r>
          <w:r>
            <w:rPr>
              <w:color w:val="auto"/>
            </w:rPr>
            <w:fldChar w:fldCharType="separate"/>
          </w:r>
          <w:r>
            <w:rPr>
              <w:color w:val="auto"/>
            </w:rPr>
            <w:t>172</w:t>
          </w:r>
          <w:r>
            <w:rPr>
              <w:color w:val="auto"/>
            </w:rPr>
            <w:fldChar w:fldCharType="end"/>
          </w:r>
          <w:r>
            <w:rPr>
              <w:color w:val="auto"/>
              <w:highlight w:val="none"/>
            </w:rPr>
            <w:fldChar w:fldCharType="end"/>
          </w:r>
        </w:p>
        <w:p w14:paraId="1DEA1300">
          <w:pPr>
            <w:pStyle w:val="26"/>
            <w:tabs>
              <w:tab w:val="right" w:leader="dot" w:pos="8732"/>
            </w:tabs>
            <w:rPr>
              <w:color w:val="auto"/>
            </w:rPr>
          </w:pPr>
          <w:r>
            <w:rPr>
              <w:color w:val="auto"/>
              <w:highlight w:val="none"/>
            </w:rPr>
            <w:fldChar w:fldCharType="begin"/>
          </w:r>
          <w:r>
            <w:rPr>
              <w:color w:val="auto"/>
              <w:highlight w:val="none"/>
            </w:rPr>
            <w:instrText xml:space="preserve"> HYPERLINK \l _Toc8740 </w:instrText>
          </w:r>
          <w:r>
            <w:rPr>
              <w:color w:val="auto"/>
              <w:highlight w:val="none"/>
            </w:rPr>
            <w:fldChar w:fldCharType="separate"/>
          </w:r>
          <w:r>
            <w:rPr>
              <w:rFonts w:hint="default" w:ascii="Times New Roman" w:hAnsi="Times New Roman" w:eastAsia="宋体" w:cs="Times New Roman"/>
              <w:color w:val="auto"/>
              <w:highlight w:val="none"/>
            </w:rPr>
            <w:t>7.2环境效益分析</w:t>
          </w:r>
          <w:r>
            <w:rPr>
              <w:color w:val="auto"/>
            </w:rPr>
            <w:tab/>
          </w:r>
          <w:r>
            <w:rPr>
              <w:color w:val="auto"/>
            </w:rPr>
            <w:fldChar w:fldCharType="begin"/>
          </w:r>
          <w:r>
            <w:rPr>
              <w:color w:val="auto"/>
            </w:rPr>
            <w:instrText xml:space="preserve"> PAGEREF _Toc8740 \h </w:instrText>
          </w:r>
          <w:r>
            <w:rPr>
              <w:color w:val="auto"/>
            </w:rPr>
            <w:fldChar w:fldCharType="separate"/>
          </w:r>
          <w:r>
            <w:rPr>
              <w:color w:val="auto"/>
            </w:rPr>
            <w:t>172</w:t>
          </w:r>
          <w:r>
            <w:rPr>
              <w:color w:val="auto"/>
            </w:rPr>
            <w:fldChar w:fldCharType="end"/>
          </w:r>
          <w:r>
            <w:rPr>
              <w:color w:val="auto"/>
              <w:highlight w:val="none"/>
            </w:rPr>
            <w:fldChar w:fldCharType="end"/>
          </w:r>
        </w:p>
        <w:p w14:paraId="3DA4F54F">
          <w:pPr>
            <w:pStyle w:val="21"/>
            <w:tabs>
              <w:tab w:val="right" w:leader="dot" w:pos="8732"/>
            </w:tabs>
            <w:rPr>
              <w:color w:val="auto"/>
            </w:rPr>
          </w:pPr>
          <w:r>
            <w:rPr>
              <w:color w:val="auto"/>
              <w:highlight w:val="none"/>
            </w:rPr>
            <w:fldChar w:fldCharType="begin"/>
          </w:r>
          <w:r>
            <w:rPr>
              <w:color w:val="auto"/>
              <w:highlight w:val="none"/>
            </w:rPr>
            <w:instrText xml:space="preserve"> HYPERLINK \l _Toc30325 </w:instrText>
          </w:r>
          <w:r>
            <w:rPr>
              <w:color w:val="auto"/>
              <w:highlight w:val="none"/>
            </w:rPr>
            <w:fldChar w:fldCharType="separate"/>
          </w:r>
          <w:r>
            <w:rPr>
              <w:rFonts w:hint="default" w:ascii="Times New Roman" w:hAnsi="Times New Roman" w:eastAsia="宋体" w:cs="Times New Roman"/>
              <w:color w:val="auto"/>
              <w:highlight w:val="none"/>
            </w:rPr>
            <w:t>8 环境管理与监测计划</w:t>
          </w:r>
          <w:r>
            <w:rPr>
              <w:color w:val="auto"/>
            </w:rPr>
            <w:tab/>
          </w:r>
          <w:r>
            <w:rPr>
              <w:color w:val="auto"/>
            </w:rPr>
            <w:fldChar w:fldCharType="begin"/>
          </w:r>
          <w:r>
            <w:rPr>
              <w:color w:val="auto"/>
            </w:rPr>
            <w:instrText xml:space="preserve"> PAGEREF _Toc30325 \h </w:instrText>
          </w:r>
          <w:r>
            <w:rPr>
              <w:color w:val="auto"/>
            </w:rPr>
            <w:fldChar w:fldCharType="separate"/>
          </w:r>
          <w:r>
            <w:rPr>
              <w:color w:val="auto"/>
            </w:rPr>
            <w:t>174</w:t>
          </w:r>
          <w:r>
            <w:rPr>
              <w:color w:val="auto"/>
            </w:rPr>
            <w:fldChar w:fldCharType="end"/>
          </w:r>
          <w:r>
            <w:rPr>
              <w:color w:val="auto"/>
              <w:highlight w:val="none"/>
            </w:rPr>
            <w:fldChar w:fldCharType="end"/>
          </w:r>
        </w:p>
        <w:p w14:paraId="65FA4D7D">
          <w:pPr>
            <w:pStyle w:val="26"/>
            <w:tabs>
              <w:tab w:val="right" w:leader="dot" w:pos="8732"/>
            </w:tabs>
            <w:rPr>
              <w:color w:val="auto"/>
            </w:rPr>
          </w:pPr>
          <w:r>
            <w:rPr>
              <w:color w:val="auto"/>
              <w:highlight w:val="none"/>
            </w:rPr>
            <w:fldChar w:fldCharType="begin"/>
          </w:r>
          <w:r>
            <w:rPr>
              <w:color w:val="auto"/>
              <w:highlight w:val="none"/>
            </w:rPr>
            <w:instrText xml:space="preserve"> HYPERLINK \l _Toc2737 </w:instrText>
          </w:r>
          <w:r>
            <w:rPr>
              <w:color w:val="auto"/>
              <w:highlight w:val="none"/>
            </w:rPr>
            <w:fldChar w:fldCharType="separate"/>
          </w:r>
          <w:r>
            <w:rPr>
              <w:rFonts w:hint="default" w:ascii="Times New Roman" w:hAnsi="Times New Roman" w:eastAsia="宋体" w:cs="Times New Roman"/>
              <w:color w:val="auto"/>
              <w:highlight w:val="none"/>
            </w:rPr>
            <w:t>8.1 环境管理</w:t>
          </w:r>
          <w:r>
            <w:rPr>
              <w:color w:val="auto"/>
            </w:rPr>
            <w:tab/>
          </w:r>
          <w:r>
            <w:rPr>
              <w:color w:val="auto"/>
            </w:rPr>
            <w:fldChar w:fldCharType="begin"/>
          </w:r>
          <w:r>
            <w:rPr>
              <w:color w:val="auto"/>
            </w:rPr>
            <w:instrText xml:space="preserve"> PAGEREF _Toc2737 \h </w:instrText>
          </w:r>
          <w:r>
            <w:rPr>
              <w:color w:val="auto"/>
            </w:rPr>
            <w:fldChar w:fldCharType="separate"/>
          </w:r>
          <w:r>
            <w:rPr>
              <w:color w:val="auto"/>
            </w:rPr>
            <w:t>174</w:t>
          </w:r>
          <w:r>
            <w:rPr>
              <w:color w:val="auto"/>
            </w:rPr>
            <w:fldChar w:fldCharType="end"/>
          </w:r>
          <w:r>
            <w:rPr>
              <w:color w:val="auto"/>
              <w:highlight w:val="none"/>
            </w:rPr>
            <w:fldChar w:fldCharType="end"/>
          </w:r>
        </w:p>
        <w:p w14:paraId="4A3B4CA0">
          <w:pPr>
            <w:pStyle w:val="26"/>
            <w:tabs>
              <w:tab w:val="right" w:leader="dot" w:pos="8732"/>
            </w:tabs>
            <w:rPr>
              <w:color w:val="auto"/>
            </w:rPr>
          </w:pPr>
          <w:r>
            <w:rPr>
              <w:color w:val="auto"/>
              <w:highlight w:val="none"/>
            </w:rPr>
            <w:fldChar w:fldCharType="begin"/>
          </w:r>
          <w:r>
            <w:rPr>
              <w:color w:val="auto"/>
              <w:highlight w:val="none"/>
            </w:rPr>
            <w:instrText xml:space="preserve"> HYPERLINK \l _Toc11748 </w:instrText>
          </w:r>
          <w:r>
            <w:rPr>
              <w:color w:val="auto"/>
              <w:highlight w:val="none"/>
            </w:rPr>
            <w:fldChar w:fldCharType="separate"/>
          </w:r>
          <w:r>
            <w:rPr>
              <w:rFonts w:hint="default" w:ascii="Times New Roman" w:hAnsi="Times New Roman" w:eastAsia="宋体" w:cs="Times New Roman"/>
              <w:color w:val="auto"/>
              <w:highlight w:val="none"/>
            </w:rPr>
            <w:t>8.2 监测计划</w:t>
          </w:r>
          <w:r>
            <w:rPr>
              <w:color w:val="auto"/>
            </w:rPr>
            <w:tab/>
          </w:r>
          <w:r>
            <w:rPr>
              <w:color w:val="auto"/>
            </w:rPr>
            <w:fldChar w:fldCharType="begin"/>
          </w:r>
          <w:r>
            <w:rPr>
              <w:color w:val="auto"/>
            </w:rPr>
            <w:instrText xml:space="preserve"> PAGEREF _Toc11748 \h </w:instrText>
          </w:r>
          <w:r>
            <w:rPr>
              <w:color w:val="auto"/>
            </w:rPr>
            <w:fldChar w:fldCharType="separate"/>
          </w:r>
          <w:r>
            <w:rPr>
              <w:color w:val="auto"/>
            </w:rPr>
            <w:t>186</w:t>
          </w:r>
          <w:r>
            <w:rPr>
              <w:color w:val="auto"/>
            </w:rPr>
            <w:fldChar w:fldCharType="end"/>
          </w:r>
          <w:r>
            <w:rPr>
              <w:color w:val="auto"/>
              <w:highlight w:val="none"/>
            </w:rPr>
            <w:fldChar w:fldCharType="end"/>
          </w:r>
        </w:p>
        <w:p w14:paraId="4845731A">
          <w:pPr>
            <w:pStyle w:val="26"/>
            <w:tabs>
              <w:tab w:val="right" w:leader="dot" w:pos="8732"/>
            </w:tabs>
            <w:rPr>
              <w:color w:val="auto"/>
            </w:rPr>
          </w:pPr>
          <w:r>
            <w:rPr>
              <w:color w:val="auto"/>
              <w:highlight w:val="none"/>
            </w:rPr>
            <w:fldChar w:fldCharType="begin"/>
          </w:r>
          <w:r>
            <w:rPr>
              <w:color w:val="auto"/>
              <w:highlight w:val="none"/>
            </w:rPr>
            <w:instrText xml:space="preserve"> HYPERLINK \l _Toc10826 </w:instrText>
          </w:r>
          <w:r>
            <w:rPr>
              <w:color w:val="auto"/>
              <w:highlight w:val="none"/>
            </w:rPr>
            <w:fldChar w:fldCharType="separate"/>
          </w:r>
          <w:r>
            <w:rPr>
              <w:rFonts w:hint="default" w:ascii="Times New Roman" w:hAnsi="Times New Roman" w:eastAsia="宋体" w:cs="Times New Roman"/>
              <w:color w:val="auto"/>
              <w:highlight w:val="none"/>
            </w:rPr>
            <w:t>8.3 污染物排放清单</w:t>
          </w:r>
          <w:r>
            <w:rPr>
              <w:color w:val="auto"/>
            </w:rPr>
            <w:tab/>
          </w:r>
          <w:r>
            <w:rPr>
              <w:color w:val="auto"/>
            </w:rPr>
            <w:fldChar w:fldCharType="begin"/>
          </w:r>
          <w:r>
            <w:rPr>
              <w:color w:val="auto"/>
            </w:rPr>
            <w:instrText xml:space="preserve"> PAGEREF _Toc10826 \h </w:instrText>
          </w:r>
          <w:r>
            <w:rPr>
              <w:color w:val="auto"/>
            </w:rPr>
            <w:fldChar w:fldCharType="separate"/>
          </w:r>
          <w:r>
            <w:rPr>
              <w:color w:val="auto"/>
            </w:rPr>
            <w:t>187</w:t>
          </w:r>
          <w:r>
            <w:rPr>
              <w:color w:val="auto"/>
            </w:rPr>
            <w:fldChar w:fldCharType="end"/>
          </w:r>
          <w:r>
            <w:rPr>
              <w:color w:val="auto"/>
              <w:highlight w:val="none"/>
            </w:rPr>
            <w:fldChar w:fldCharType="end"/>
          </w:r>
        </w:p>
        <w:p w14:paraId="0915803F">
          <w:pPr>
            <w:pStyle w:val="26"/>
            <w:tabs>
              <w:tab w:val="right" w:leader="dot" w:pos="8732"/>
            </w:tabs>
            <w:rPr>
              <w:color w:val="auto"/>
            </w:rPr>
          </w:pPr>
          <w:r>
            <w:rPr>
              <w:color w:val="auto"/>
              <w:highlight w:val="none"/>
            </w:rPr>
            <w:fldChar w:fldCharType="begin"/>
          </w:r>
          <w:r>
            <w:rPr>
              <w:color w:val="auto"/>
              <w:highlight w:val="none"/>
            </w:rPr>
            <w:instrText xml:space="preserve"> HYPERLINK \l _Toc12812 </w:instrText>
          </w:r>
          <w:r>
            <w:rPr>
              <w:color w:val="auto"/>
              <w:highlight w:val="none"/>
            </w:rPr>
            <w:fldChar w:fldCharType="separate"/>
          </w:r>
          <w:r>
            <w:rPr>
              <w:rFonts w:hint="default" w:ascii="Times New Roman" w:hAnsi="Times New Roman" w:cs="Times New Roman"/>
              <w:color w:val="auto"/>
              <w:highlight w:val="none"/>
            </w:rPr>
            <w:t>8.4 竣工环保验收</w:t>
          </w:r>
          <w:r>
            <w:rPr>
              <w:color w:val="auto"/>
            </w:rPr>
            <w:tab/>
          </w:r>
          <w:r>
            <w:rPr>
              <w:color w:val="auto"/>
            </w:rPr>
            <w:fldChar w:fldCharType="begin"/>
          </w:r>
          <w:r>
            <w:rPr>
              <w:color w:val="auto"/>
            </w:rPr>
            <w:instrText xml:space="preserve"> PAGEREF _Toc12812 \h </w:instrText>
          </w:r>
          <w:r>
            <w:rPr>
              <w:color w:val="auto"/>
            </w:rPr>
            <w:fldChar w:fldCharType="separate"/>
          </w:r>
          <w:r>
            <w:rPr>
              <w:color w:val="auto"/>
            </w:rPr>
            <w:t>187</w:t>
          </w:r>
          <w:r>
            <w:rPr>
              <w:color w:val="auto"/>
            </w:rPr>
            <w:fldChar w:fldCharType="end"/>
          </w:r>
          <w:r>
            <w:rPr>
              <w:color w:val="auto"/>
              <w:highlight w:val="none"/>
            </w:rPr>
            <w:fldChar w:fldCharType="end"/>
          </w:r>
        </w:p>
        <w:p w14:paraId="4D26246B">
          <w:pPr>
            <w:pStyle w:val="21"/>
            <w:tabs>
              <w:tab w:val="right" w:leader="dot" w:pos="8732"/>
            </w:tabs>
            <w:rPr>
              <w:color w:val="auto"/>
            </w:rPr>
          </w:pPr>
          <w:r>
            <w:rPr>
              <w:color w:val="auto"/>
              <w:highlight w:val="none"/>
            </w:rPr>
            <w:fldChar w:fldCharType="begin"/>
          </w:r>
          <w:r>
            <w:rPr>
              <w:color w:val="auto"/>
              <w:highlight w:val="none"/>
            </w:rPr>
            <w:instrText xml:space="preserve"> HYPERLINK \l _Toc22300 </w:instrText>
          </w:r>
          <w:r>
            <w:rPr>
              <w:color w:val="auto"/>
              <w:highlight w:val="none"/>
            </w:rPr>
            <w:fldChar w:fldCharType="separate"/>
          </w:r>
          <w:r>
            <w:rPr>
              <w:rFonts w:hint="default" w:ascii="Times New Roman" w:hAnsi="Times New Roman" w:eastAsia="宋体" w:cs="Times New Roman"/>
              <w:color w:val="auto"/>
              <w:highlight w:val="none"/>
            </w:rPr>
            <w:t>9 环境影响评价结论</w:t>
          </w:r>
          <w:r>
            <w:rPr>
              <w:color w:val="auto"/>
            </w:rPr>
            <w:tab/>
          </w:r>
          <w:r>
            <w:rPr>
              <w:color w:val="auto"/>
            </w:rPr>
            <w:fldChar w:fldCharType="begin"/>
          </w:r>
          <w:r>
            <w:rPr>
              <w:color w:val="auto"/>
            </w:rPr>
            <w:instrText xml:space="preserve"> PAGEREF _Toc22300 \h </w:instrText>
          </w:r>
          <w:r>
            <w:rPr>
              <w:color w:val="auto"/>
            </w:rPr>
            <w:fldChar w:fldCharType="separate"/>
          </w:r>
          <w:r>
            <w:rPr>
              <w:color w:val="auto"/>
            </w:rPr>
            <w:t>189</w:t>
          </w:r>
          <w:r>
            <w:rPr>
              <w:color w:val="auto"/>
            </w:rPr>
            <w:fldChar w:fldCharType="end"/>
          </w:r>
          <w:r>
            <w:rPr>
              <w:color w:val="auto"/>
              <w:highlight w:val="none"/>
            </w:rPr>
            <w:fldChar w:fldCharType="end"/>
          </w:r>
        </w:p>
        <w:p w14:paraId="71D72B74">
          <w:pPr>
            <w:pStyle w:val="26"/>
            <w:tabs>
              <w:tab w:val="right" w:leader="dot" w:pos="8732"/>
            </w:tabs>
            <w:rPr>
              <w:color w:val="auto"/>
            </w:rPr>
          </w:pPr>
          <w:r>
            <w:rPr>
              <w:color w:val="auto"/>
              <w:highlight w:val="none"/>
            </w:rPr>
            <w:fldChar w:fldCharType="begin"/>
          </w:r>
          <w:r>
            <w:rPr>
              <w:color w:val="auto"/>
              <w:highlight w:val="none"/>
            </w:rPr>
            <w:instrText xml:space="preserve"> HYPERLINK \l _Toc22870 </w:instrText>
          </w:r>
          <w:r>
            <w:rPr>
              <w:color w:val="auto"/>
              <w:highlight w:val="none"/>
            </w:rPr>
            <w:fldChar w:fldCharType="separate"/>
          </w:r>
          <w:r>
            <w:rPr>
              <w:rFonts w:hint="default" w:ascii="Times New Roman" w:hAnsi="Times New Roman" w:eastAsia="宋体" w:cs="Times New Roman"/>
              <w:color w:val="auto"/>
              <w:highlight w:val="none"/>
            </w:rPr>
            <w:t>9.1 项目概况</w:t>
          </w:r>
          <w:r>
            <w:rPr>
              <w:color w:val="auto"/>
            </w:rPr>
            <w:tab/>
          </w:r>
          <w:r>
            <w:rPr>
              <w:color w:val="auto"/>
            </w:rPr>
            <w:fldChar w:fldCharType="begin"/>
          </w:r>
          <w:r>
            <w:rPr>
              <w:color w:val="auto"/>
            </w:rPr>
            <w:instrText xml:space="preserve"> PAGEREF _Toc22870 \h </w:instrText>
          </w:r>
          <w:r>
            <w:rPr>
              <w:color w:val="auto"/>
            </w:rPr>
            <w:fldChar w:fldCharType="separate"/>
          </w:r>
          <w:r>
            <w:rPr>
              <w:color w:val="auto"/>
            </w:rPr>
            <w:t>189</w:t>
          </w:r>
          <w:r>
            <w:rPr>
              <w:color w:val="auto"/>
            </w:rPr>
            <w:fldChar w:fldCharType="end"/>
          </w:r>
          <w:r>
            <w:rPr>
              <w:color w:val="auto"/>
              <w:highlight w:val="none"/>
            </w:rPr>
            <w:fldChar w:fldCharType="end"/>
          </w:r>
        </w:p>
        <w:p w14:paraId="40E5B045">
          <w:pPr>
            <w:pStyle w:val="26"/>
            <w:tabs>
              <w:tab w:val="right" w:leader="dot" w:pos="8732"/>
            </w:tabs>
            <w:rPr>
              <w:color w:val="auto"/>
            </w:rPr>
          </w:pPr>
          <w:r>
            <w:rPr>
              <w:color w:val="auto"/>
              <w:highlight w:val="none"/>
            </w:rPr>
            <w:fldChar w:fldCharType="begin"/>
          </w:r>
          <w:r>
            <w:rPr>
              <w:color w:val="auto"/>
              <w:highlight w:val="none"/>
            </w:rPr>
            <w:instrText xml:space="preserve"> HYPERLINK \l _Toc19223 </w:instrText>
          </w:r>
          <w:r>
            <w:rPr>
              <w:color w:val="auto"/>
              <w:highlight w:val="none"/>
            </w:rPr>
            <w:fldChar w:fldCharType="separate"/>
          </w:r>
          <w:r>
            <w:rPr>
              <w:rFonts w:hint="default" w:ascii="Times New Roman" w:hAnsi="Times New Roman" w:eastAsia="宋体" w:cs="Times New Roman"/>
              <w:color w:val="auto"/>
              <w:highlight w:val="none"/>
            </w:rPr>
            <w:t>9.2 环境质量现状评价结论</w:t>
          </w:r>
          <w:r>
            <w:rPr>
              <w:color w:val="auto"/>
            </w:rPr>
            <w:tab/>
          </w:r>
          <w:r>
            <w:rPr>
              <w:color w:val="auto"/>
            </w:rPr>
            <w:fldChar w:fldCharType="begin"/>
          </w:r>
          <w:r>
            <w:rPr>
              <w:color w:val="auto"/>
            </w:rPr>
            <w:instrText xml:space="preserve"> PAGEREF _Toc19223 \h </w:instrText>
          </w:r>
          <w:r>
            <w:rPr>
              <w:color w:val="auto"/>
            </w:rPr>
            <w:fldChar w:fldCharType="separate"/>
          </w:r>
          <w:r>
            <w:rPr>
              <w:color w:val="auto"/>
            </w:rPr>
            <w:t>189</w:t>
          </w:r>
          <w:r>
            <w:rPr>
              <w:color w:val="auto"/>
            </w:rPr>
            <w:fldChar w:fldCharType="end"/>
          </w:r>
          <w:r>
            <w:rPr>
              <w:color w:val="auto"/>
              <w:highlight w:val="none"/>
            </w:rPr>
            <w:fldChar w:fldCharType="end"/>
          </w:r>
        </w:p>
        <w:p w14:paraId="28AA97D8">
          <w:pPr>
            <w:pStyle w:val="26"/>
            <w:tabs>
              <w:tab w:val="right" w:leader="dot" w:pos="8732"/>
            </w:tabs>
            <w:rPr>
              <w:color w:val="auto"/>
            </w:rPr>
          </w:pPr>
          <w:r>
            <w:rPr>
              <w:color w:val="auto"/>
              <w:highlight w:val="none"/>
            </w:rPr>
            <w:fldChar w:fldCharType="begin"/>
          </w:r>
          <w:r>
            <w:rPr>
              <w:color w:val="auto"/>
              <w:highlight w:val="none"/>
            </w:rPr>
            <w:instrText xml:space="preserve"> HYPERLINK \l _Toc26233 </w:instrText>
          </w:r>
          <w:r>
            <w:rPr>
              <w:color w:val="auto"/>
              <w:highlight w:val="none"/>
            </w:rPr>
            <w:fldChar w:fldCharType="separate"/>
          </w:r>
          <w:r>
            <w:rPr>
              <w:rFonts w:hint="default" w:ascii="Times New Roman" w:hAnsi="Times New Roman" w:eastAsia="宋体" w:cs="Times New Roman"/>
              <w:color w:val="auto"/>
              <w:highlight w:val="none"/>
            </w:rPr>
            <w:t>9.3环境影响及预测结论</w:t>
          </w:r>
          <w:r>
            <w:rPr>
              <w:color w:val="auto"/>
            </w:rPr>
            <w:tab/>
          </w:r>
          <w:r>
            <w:rPr>
              <w:color w:val="auto"/>
            </w:rPr>
            <w:fldChar w:fldCharType="begin"/>
          </w:r>
          <w:r>
            <w:rPr>
              <w:color w:val="auto"/>
            </w:rPr>
            <w:instrText xml:space="preserve"> PAGEREF _Toc26233 \h </w:instrText>
          </w:r>
          <w:r>
            <w:rPr>
              <w:color w:val="auto"/>
            </w:rPr>
            <w:fldChar w:fldCharType="separate"/>
          </w:r>
          <w:r>
            <w:rPr>
              <w:color w:val="auto"/>
            </w:rPr>
            <w:t>189</w:t>
          </w:r>
          <w:r>
            <w:rPr>
              <w:color w:val="auto"/>
            </w:rPr>
            <w:fldChar w:fldCharType="end"/>
          </w:r>
          <w:r>
            <w:rPr>
              <w:color w:val="auto"/>
              <w:highlight w:val="none"/>
            </w:rPr>
            <w:fldChar w:fldCharType="end"/>
          </w:r>
        </w:p>
        <w:p w14:paraId="2499B03F">
          <w:pPr>
            <w:pStyle w:val="26"/>
            <w:tabs>
              <w:tab w:val="right" w:leader="dot" w:pos="8732"/>
            </w:tabs>
            <w:rPr>
              <w:color w:val="auto"/>
            </w:rPr>
          </w:pPr>
          <w:r>
            <w:rPr>
              <w:color w:val="auto"/>
              <w:highlight w:val="none"/>
            </w:rPr>
            <w:fldChar w:fldCharType="begin"/>
          </w:r>
          <w:r>
            <w:rPr>
              <w:color w:val="auto"/>
              <w:highlight w:val="none"/>
            </w:rPr>
            <w:instrText xml:space="preserve"> HYPERLINK \l _Toc29838 </w:instrText>
          </w:r>
          <w:r>
            <w:rPr>
              <w:color w:val="auto"/>
              <w:highlight w:val="none"/>
            </w:rPr>
            <w:fldChar w:fldCharType="separate"/>
          </w:r>
          <w:r>
            <w:rPr>
              <w:rFonts w:hint="default" w:ascii="Times New Roman" w:hAnsi="Times New Roman" w:eastAsia="宋体" w:cs="Times New Roman"/>
              <w:color w:val="auto"/>
              <w:highlight w:val="none"/>
            </w:rPr>
            <w:t>9.4 污染物排放情况及环境保护措施</w:t>
          </w:r>
          <w:r>
            <w:rPr>
              <w:color w:val="auto"/>
            </w:rPr>
            <w:tab/>
          </w:r>
          <w:r>
            <w:rPr>
              <w:color w:val="auto"/>
            </w:rPr>
            <w:fldChar w:fldCharType="begin"/>
          </w:r>
          <w:r>
            <w:rPr>
              <w:color w:val="auto"/>
            </w:rPr>
            <w:instrText xml:space="preserve"> PAGEREF _Toc29838 \h </w:instrText>
          </w:r>
          <w:r>
            <w:rPr>
              <w:color w:val="auto"/>
            </w:rPr>
            <w:fldChar w:fldCharType="separate"/>
          </w:r>
          <w:r>
            <w:rPr>
              <w:color w:val="auto"/>
            </w:rPr>
            <w:t>190</w:t>
          </w:r>
          <w:r>
            <w:rPr>
              <w:color w:val="auto"/>
            </w:rPr>
            <w:fldChar w:fldCharType="end"/>
          </w:r>
          <w:r>
            <w:rPr>
              <w:color w:val="auto"/>
              <w:highlight w:val="none"/>
            </w:rPr>
            <w:fldChar w:fldCharType="end"/>
          </w:r>
        </w:p>
        <w:p w14:paraId="08AE2F83">
          <w:pPr>
            <w:pStyle w:val="26"/>
            <w:tabs>
              <w:tab w:val="right" w:leader="dot" w:pos="8732"/>
            </w:tabs>
            <w:rPr>
              <w:color w:val="auto"/>
            </w:rPr>
          </w:pPr>
          <w:r>
            <w:rPr>
              <w:color w:val="auto"/>
              <w:highlight w:val="none"/>
            </w:rPr>
            <w:fldChar w:fldCharType="begin"/>
          </w:r>
          <w:r>
            <w:rPr>
              <w:color w:val="auto"/>
              <w:highlight w:val="none"/>
            </w:rPr>
            <w:instrText xml:space="preserve"> HYPERLINK \l _Toc21261 </w:instrText>
          </w:r>
          <w:r>
            <w:rPr>
              <w:color w:val="auto"/>
              <w:highlight w:val="none"/>
            </w:rPr>
            <w:fldChar w:fldCharType="separate"/>
          </w:r>
          <w:r>
            <w:rPr>
              <w:rFonts w:hint="default" w:ascii="Times New Roman" w:hAnsi="Times New Roman" w:eastAsia="宋体" w:cs="Times New Roman"/>
              <w:color w:val="auto"/>
              <w:highlight w:val="none"/>
            </w:rPr>
            <w:t>9.5 环境影响经济损益分析</w:t>
          </w:r>
          <w:r>
            <w:rPr>
              <w:color w:val="auto"/>
            </w:rPr>
            <w:tab/>
          </w:r>
          <w:r>
            <w:rPr>
              <w:color w:val="auto"/>
            </w:rPr>
            <w:fldChar w:fldCharType="begin"/>
          </w:r>
          <w:r>
            <w:rPr>
              <w:color w:val="auto"/>
            </w:rPr>
            <w:instrText xml:space="preserve"> PAGEREF _Toc21261 \h </w:instrText>
          </w:r>
          <w:r>
            <w:rPr>
              <w:color w:val="auto"/>
            </w:rPr>
            <w:fldChar w:fldCharType="separate"/>
          </w:r>
          <w:r>
            <w:rPr>
              <w:color w:val="auto"/>
            </w:rPr>
            <w:t>192</w:t>
          </w:r>
          <w:r>
            <w:rPr>
              <w:color w:val="auto"/>
            </w:rPr>
            <w:fldChar w:fldCharType="end"/>
          </w:r>
          <w:r>
            <w:rPr>
              <w:color w:val="auto"/>
              <w:highlight w:val="none"/>
            </w:rPr>
            <w:fldChar w:fldCharType="end"/>
          </w:r>
        </w:p>
        <w:p w14:paraId="2832F95B">
          <w:pPr>
            <w:pStyle w:val="26"/>
            <w:tabs>
              <w:tab w:val="right" w:leader="dot" w:pos="8732"/>
            </w:tabs>
            <w:rPr>
              <w:color w:val="auto"/>
            </w:rPr>
          </w:pPr>
          <w:r>
            <w:rPr>
              <w:color w:val="auto"/>
              <w:highlight w:val="none"/>
            </w:rPr>
            <w:fldChar w:fldCharType="begin"/>
          </w:r>
          <w:r>
            <w:rPr>
              <w:color w:val="auto"/>
              <w:highlight w:val="none"/>
            </w:rPr>
            <w:instrText xml:space="preserve"> HYPERLINK \l _Toc24841 </w:instrText>
          </w:r>
          <w:r>
            <w:rPr>
              <w:color w:val="auto"/>
              <w:highlight w:val="none"/>
            </w:rPr>
            <w:fldChar w:fldCharType="separate"/>
          </w:r>
          <w:r>
            <w:rPr>
              <w:rFonts w:hint="default" w:ascii="Times New Roman" w:hAnsi="Times New Roman" w:eastAsia="宋体" w:cs="Times New Roman"/>
              <w:color w:val="auto"/>
              <w:highlight w:val="none"/>
            </w:rPr>
            <w:t>9.6 项目建设环境可行性</w:t>
          </w:r>
          <w:r>
            <w:rPr>
              <w:color w:val="auto"/>
            </w:rPr>
            <w:tab/>
          </w:r>
          <w:r>
            <w:rPr>
              <w:color w:val="auto"/>
            </w:rPr>
            <w:fldChar w:fldCharType="begin"/>
          </w:r>
          <w:r>
            <w:rPr>
              <w:color w:val="auto"/>
            </w:rPr>
            <w:instrText xml:space="preserve"> PAGEREF _Toc24841 \h </w:instrText>
          </w:r>
          <w:r>
            <w:rPr>
              <w:color w:val="auto"/>
            </w:rPr>
            <w:fldChar w:fldCharType="separate"/>
          </w:r>
          <w:r>
            <w:rPr>
              <w:color w:val="auto"/>
            </w:rPr>
            <w:t>192</w:t>
          </w:r>
          <w:r>
            <w:rPr>
              <w:color w:val="auto"/>
            </w:rPr>
            <w:fldChar w:fldCharType="end"/>
          </w:r>
          <w:r>
            <w:rPr>
              <w:color w:val="auto"/>
              <w:highlight w:val="none"/>
            </w:rPr>
            <w:fldChar w:fldCharType="end"/>
          </w:r>
        </w:p>
        <w:p w14:paraId="24E0C75C">
          <w:pPr>
            <w:pStyle w:val="26"/>
            <w:tabs>
              <w:tab w:val="right" w:leader="dot" w:pos="8732"/>
            </w:tabs>
            <w:rPr>
              <w:color w:val="auto"/>
            </w:rPr>
          </w:pPr>
          <w:r>
            <w:rPr>
              <w:color w:val="auto"/>
              <w:highlight w:val="none"/>
            </w:rPr>
            <w:fldChar w:fldCharType="begin"/>
          </w:r>
          <w:r>
            <w:rPr>
              <w:color w:val="auto"/>
              <w:highlight w:val="none"/>
            </w:rPr>
            <w:instrText xml:space="preserve"> HYPERLINK \l _Toc12187 </w:instrText>
          </w:r>
          <w:r>
            <w:rPr>
              <w:color w:val="auto"/>
              <w:highlight w:val="none"/>
            </w:rPr>
            <w:fldChar w:fldCharType="separate"/>
          </w:r>
          <w:r>
            <w:rPr>
              <w:rFonts w:hint="default" w:ascii="Times New Roman" w:hAnsi="Times New Roman" w:eastAsia="宋体" w:cs="Times New Roman"/>
              <w:color w:val="auto"/>
              <w:highlight w:val="none"/>
            </w:rPr>
            <w:t>9.7 公众参与</w:t>
          </w:r>
          <w:r>
            <w:rPr>
              <w:color w:val="auto"/>
            </w:rPr>
            <w:tab/>
          </w:r>
          <w:r>
            <w:rPr>
              <w:color w:val="auto"/>
            </w:rPr>
            <w:fldChar w:fldCharType="begin"/>
          </w:r>
          <w:r>
            <w:rPr>
              <w:color w:val="auto"/>
            </w:rPr>
            <w:instrText xml:space="preserve"> PAGEREF _Toc12187 \h </w:instrText>
          </w:r>
          <w:r>
            <w:rPr>
              <w:color w:val="auto"/>
            </w:rPr>
            <w:fldChar w:fldCharType="separate"/>
          </w:r>
          <w:r>
            <w:rPr>
              <w:color w:val="auto"/>
            </w:rPr>
            <w:t>192</w:t>
          </w:r>
          <w:r>
            <w:rPr>
              <w:color w:val="auto"/>
            </w:rPr>
            <w:fldChar w:fldCharType="end"/>
          </w:r>
          <w:r>
            <w:rPr>
              <w:color w:val="auto"/>
              <w:highlight w:val="none"/>
            </w:rPr>
            <w:fldChar w:fldCharType="end"/>
          </w:r>
        </w:p>
        <w:p w14:paraId="0C8B08FE">
          <w:pPr>
            <w:pStyle w:val="26"/>
            <w:tabs>
              <w:tab w:val="right" w:leader="dot" w:pos="8732"/>
            </w:tabs>
            <w:rPr>
              <w:color w:val="auto"/>
            </w:rPr>
          </w:pPr>
          <w:r>
            <w:rPr>
              <w:color w:val="auto"/>
              <w:highlight w:val="none"/>
            </w:rPr>
            <w:fldChar w:fldCharType="begin"/>
          </w:r>
          <w:r>
            <w:rPr>
              <w:color w:val="auto"/>
              <w:highlight w:val="none"/>
            </w:rPr>
            <w:instrText xml:space="preserve"> HYPERLINK \l _Toc15235 </w:instrText>
          </w:r>
          <w:r>
            <w:rPr>
              <w:color w:val="auto"/>
              <w:highlight w:val="none"/>
            </w:rPr>
            <w:fldChar w:fldCharType="separate"/>
          </w:r>
          <w:r>
            <w:rPr>
              <w:rFonts w:hint="default" w:ascii="Times New Roman" w:hAnsi="Times New Roman" w:eastAsia="宋体" w:cs="Times New Roman"/>
              <w:color w:val="auto"/>
              <w:highlight w:val="none"/>
            </w:rPr>
            <w:t>9.8 建议及要求</w:t>
          </w:r>
          <w:r>
            <w:rPr>
              <w:color w:val="auto"/>
            </w:rPr>
            <w:tab/>
          </w:r>
          <w:r>
            <w:rPr>
              <w:color w:val="auto"/>
            </w:rPr>
            <w:fldChar w:fldCharType="begin"/>
          </w:r>
          <w:r>
            <w:rPr>
              <w:color w:val="auto"/>
            </w:rPr>
            <w:instrText xml:space="preserve"> PAGEREF _Toc15235 \h </w:instrText>
          </w:r>
          <w:r>
            <w:rPr>
              <w:color w:val="auto"/>
            </w:rPr>
            <w:fldChar w:fldCharType="separate"/>
          </w:r>
          <w:r>
            <w:rPr>
              <w:color w:val="auto"/>
            </w:rPr>
            <w:t>192</w:t>
          </w:r>
          <w:r>
            <w:rPr>
              <w:color w:val="auto"/>
            </w:rPr>
            <w:fldChar w:fldCharType="end"/>
          </w:r>
          <w:r>
            <w:rPr>
              <w:color w:val="auto"/>
              <w:highlight w:val="none"/>
            </w:rPr>
            <w:fldChar w:fldCharType="end"/>
          </w:r>
        </w:p>
        <w:p w14:paraId="2536F526">
          <w:pPr>
            <w:pStyle w:val="26"/>
            <w:tabs>
              <w:tab w:val="right" w:leader="dot" w:pos="8732"/>
            </w:tabs>
            <w:rPr>
              <w:color w:val="auto"/>
            </w:rPr>
          </w:pPr>
          <w:r>
            <w:rPr>
              <w:color w:val="auto"/>
              <w:highlight w:val="none"/>
            </w:rPr>
            <w:fldChar w:fldCharType="begin"/>
          </w:r>
          <w:r>
            <w:rPr>
              <w:color w:val="auto"/>
              <w:highlight w:val="none"/>
            </w:rPr>
            <w:instrText xml:space="preserve"> HYPERLINK \l _Toc19812 </w:instrText>
          </w:r>
          <w:r>
            <w:rPr>
              <w:color w:val="auto"/>
              <w:highlight w:val="none"/>
            </w:rPr>
            <w:fldChar w:fldCharType="separate"/>
          </w:r>
          <w:r>
            <w:rPr>
              <w:rFonts w:hint="default" w:ascii="Times New Roman" w:hAnsi="Times New Roman" w:eastAsia="宋体" w:cs="Times New Roman"/>
              <w:color w:val="auto"/>
              <w:highlight w:val="none"/>
            </w:rPr>
            <w:t>9.9 总结论</w:t>
          </w:r>
          <w:r>
            <w:rPr>
              <w:color w:val="auto"/>
            </w:rPr>
            <w:tab/>
          </w:r>
          <w:r>
            <w:rPr>
              <w:color w:val="auto"/>
            </w:rPr>
            <w:fldChar w:fldCharType="begin"/>
          </w:r>
          <w:r>
            <w:rPr>
              <w:color w:val="auto"/>
            </w:rPr>
            <w:instrText xml:space="preserve"> PAGEREF _Toc19812 \h </w:instrText>
          </w:r>
          <w:r>
            <w:rPr>
              <w:color w:val="auto"/>
            </w:rPr>
            <w:fldChar w:fldCharType="separate"/>
          </w:r>
          <w:r>
            <w:rPr>
              <w:color w:val="auto"/>
            </w:rPr>
            <w:t>193</w:t>
          </w:r>
          <w:r>
            <w:rPr>
              <w:color w:val="auto"/>
            </w:rPr>
            <w:fldChar w:fldCharType="end"/>
          </w:r>
          <w:r>
            <w:rPr>
              <w:color w:val="auto"/>
              <w:highlight w:val="none"/>
            </w:rPr>
            <w:fldChar w:fldCharType="end"/>
          </w:r>
        </w:p>
        <w:p w14:paraId="1A194A70">
          <w:pPr>
            <w:pageBreakBefore w:val="0"/>
            <w:wordWrap/>
            <w:topLinePunct w:val="0"/>
            <w:bidi w:val="0"/>
            <w:adjustRightInd w:val="0"/>
            <w:snapToGrid w:val="0"/>
            <w:spacing w:before="0" w:beforeLines="0" w:after="0" w:afterLines="0"/>
            <w:ind w:left="0" w:leftChars="0"/>
            <w:rPr>
              <w:color w:val="auto"/>
              <w:highlight w:val="none"/>
            </w:rPr>
          </w:pPr>
          <w:r>
            <w:rPr>
              <w:color w:val="auto"/>
              <w:highlight w:val="none"/>
            </w:rPr>
            <w:fldChar w:fldCharType="end"/>
          </w:r>
        </w:p>
        <w:p w14:paraId="448BBEB4">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cs="Times New Roman"/>
              <w:color w:val="auto"/>
              <w:highlight w:val="none"/>
            </w:rPr>
            <w:sectPr>
              <w:pgSz w:w="11906" w:h="16838"/>
              <w:pgMar w:top="1587" w:right="1587" w:bottom="1587" w:left="1587" w:header="1134" w:footer="1134" w:gutter="0"/>
              <w:pgBorders>
                <w:top w:val="none" w:sz="0" w:space="0"/>
                <w:left w:val="none" w:sz="0" w:space="0"/>
                <w:bottom w:val="none" w:sz="0" w:space="0"/>
                <w:right w:val="none" w:sz="0" w:space="0"/>
              </w:pgBorders>
              <w:pgNumType w:start="1"/>
              <w:cols w:space="425" w:num="1"/>
              <w:docGrid w:type="lines" w:linePitch="312" w:charSpace="0"/>
            </w:sectPr>
          </w:pPr>
        </w:p>
      </w:sdtContent>
    </w:sdt>
    <w:p w14:paraId="3EA986BE">
      <w:pPr>
        <w:pageBreakBefore w:val="0"/>
        <w:wordWrap/>
        <w:topLinePunct w:val="0"/>
        <w:bidi w:val="0"/>
        <w:adjustRightInd w:val="0"/>
        <w:snapToGrid w:val="0"/>
        <w:ind w:left="0" w:leftChars="0" w:right="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w:t>
      </w:r>
    </w:p>
    <w:p w14:paraId="3B3A2CD9">
      <w:pPr>
        <w:pageBreakBefore w:val="0"/>
        <w:wordWrap/>
        <w:topLinePunct w:val="0"/>
        <w:bidi w:val="0"/>
        <w:adjustRightInd w:val="0"/>
        <w:snapToGrid w:val="0"/>
        <w:ind w:left="0" w:leftChars="0" w:right="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附件一：项目委托书</w:t>
      </w:r>
    </w:p>
    <w:p w14:paraId="33EA5DC3">
      <w:pPr>
        <w:pageBreakBefore w:val="0"/>
        <w:wordWrap/>
        <w:topLinePunct w:val="0"/>
        <w:bidi w:val="0"/>
        <w:adjustRightInd w:val="0"/>
        <w:snapToGrid w:val="0"/>
        <w:ind w:left="0" w:leftChars="0" w:right="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附件二：备案证明</w:t>
      </w:r>
    </w:p>
    <w:p w14:paraId="40AC25D3">
      <w:pPr>
        <w:pageBreakBefore w:val="0"/>
        <w:wordWrap/>
        <w:topLinePunct w:val="0"/>
        <w:bidi w:val="0"/>
        <w:adjustRightInd w:val="0"/>
        <w:snapToGrid w:val="0"/>
        <w:ind w:left="0" w:leftChars="0" w:right="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附件三：</w:t>
      </w:r>
      <w:r>
        <w:rPr>
          <w:rFonts w:hint="eastAsia" w:cs="Times New Roman"/>
          <w:color w:val="auto"/>
          <w:highlight w:val="none"/>
          <w:lang w:val="en-US" w:eastAsia="zh-CN"/>
        </w:rPr>
        <w:t>原项目环评及验收意见</w:t>
      </w:r>
    </w:p>
    <w:p w14:paraId="6233AC55">
      <w:pPr>
        <w:pageBreakBefore w:val="0"/>
        <w:wordWrap/>
        <w:topLinePunct w:val="0"/>
        <w:bidi w:val="0"/>
        <w:adjustRightInd w:val="0"/>
        <w:snapToGrid w:val="0"/>
        <w:ind w:left="0" w:leftChars="0" w:right="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附件四：</w:t>
      </w:r>
      <w:r>
        <w:rPr>
          <w:rFonts w:hint="eastAsia" w:cs="Times New Roman"/>
          <w:color w:val="auto"/>
          <w:highlight w:val="none"/>
          <w:lang w:val="en-US" w:eastAsia="zh-CN"/>
        </w:rPr>
        <w:t>排污登记回执</w:t>
      </w:r>
    </w:p>
    <w:p w14:paraId="5DC06130">
      <w:pPr>
        <w:pageBreakBefore w:val="0"/>
        <w:wordWrap/>
        <w:topLinePunct w:val="0"/>
        <w:bidi w:val="0"/>
        <w:adjustRightInd w:val="0"/>
        <w:snapToGrid w:val="0"/>
        <w:ind w:left="0" w:leftChars="0" w:right="0" w:firstLine="0" w:firstLineChars="0"/>
        <w:rPr>
          <w:rFonts w:hint="eastAsia" w:cs="Times New Roman"/>
          <w:color w:val="auto"/>
          <w:highlight w:val="none"/>
          <w:lang w:val="en-US" w:eastAsia="zh-CN"/>
        </w:rPr>
      </w:pPr>
      <w:r>
        <w:rPr>
          <w:rFonts w:hint="default" w:ascii="Times New Roman" w:hAnsi="Times New Roman" w:cs="Times New Roman"/>
          <w:color w:val="auto"/>
          <w:highlight w:val="none"/>
        </w:rPr>
        <w:t>附件五：</w:t>
      </w:r>
      <w:r>
        <w:rPr>
          <w:rFonts w:hint="eastAsia" w:cs="Times New Roman"/>
          <w:color w:val="auto"/>
          <w:highlight w:val="none"/>
          <w:lang w:val="en-US" w:eastAsia="zh-CN"/>
        </w:rPr>
        <w:t>土地使用证</w:t>
      </w:r>
    </w:p>
    <w:p w14:paraId="3E8FEC37">
      <w:pPr>
        <w:pageBreakBefore w:val="0"/>
        <w:wordWrap/>
        <w:topLinePunct w:val="0"/>
        <w:bidi w:val="0"/>
        <w:adjustRightInd w:val="0"/>
        <w:snapToGrid w:val="0"/>
        <w:ind w:left="0" w:leftChars="0" w:right="0" w:firstLine="0" w:firstLineChars="0"/>
        <w:rPr>
          <w:rFonts w:hint="default" w:eastAsia="宋体" w:cs="Times New Roman"/>
          <w:color w:val="auto"/>
          <w:highlight w:val="none"/>
          <w:lang w:val="en-US" w:eastAsia="zh-CN"/>
        </w:rPr>
      </w:pPr>
      <w:r>
        <w:rPr>
          <w:rFonts w:hint="eastAsia"/>
          <w:color w:val="auto"/>
          <w:highlight w:val="none"/>
          <w:lang w:val="en-US" w:eastAsia="zh-CN"/>
        </w:rPr>
        <w:t>附件六：原矿检测报告</w:t>
      </w:r>
    </w:p>
    <w:p w14:paraId="650DB1F4">
      <w:pPr>
        <w:pageBreakBefore w:val="0"/>
        <w:wordWrap/>
        <w:topLinePunct w:val="0"/>
        <w:bidi w:val="0"/>
        <w:adjustRightInd w:val="0"/>
        <w:snapToGrid w:val="0"/>
        <w:ind w:left="0" w:leftChars="0" w:right="0" w:firstLine="0" w:firstLine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附件七：取水证</w:t>
      </w:r>
    </w:p>
    <w:p w14:paraId="7138377F">
      <w:pPr>
        <w:pageBreakBefore w:val="0"/>
        <w:wordWrap/>
        <w:topLinePunct w:val="0"/>
        <w:bidi w:val="0"/>
        <w:adjustRightInd w:val="0"/>
        <w:snapToGrid w:val="0"/>
        <w:ind w:left="0" w:leftChars="0" w:right="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r>
        <w:rPr>
          <w:rFonts w:hint="eastAsia" w:cs="Times New Roman"/>
          <w:color w:val="auto"/>
          <w:highlight w:val="none"/>
          <w:lang w:val="en-US" w:eastAsia="zh-CN"/>
        </w:rPr>
        <w:t>八</w:t>
      </w:r>
      <w:r>
        <w:rPr>
          <w:rFonts w:hint="default" w:ascii="Times New Roman" w:hAnsi="Times New Roman" w:cs="Times New Roman"/>
          <w:color w:val="auto"/>
          <w:highlight w:val="none"/>
        </w:rPr>
        <w:t>：环境质量现状监测报告</w:t>
      </w:r>
    </w:p>
    <w:p w14:paraId="3B68E048">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27298B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2FAF5955">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0B8C8E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0FD49E8C">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16DF6B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7AAE64BB">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47CF3089">
      <w:pPr>
        <w:pageBreakBefore w:val="0"/>
        <w:wordWrap/>
        <w:topLinePunct w:val="0"/>
        <w:bidi w:val="0"/>
        <w:adjustRightInd w:val="0"/>
        <w:snapToGrid w:val="0"/>
        <w:ind w:left="0" w:leftChars="0" w:right="0" w:firstLine="0" w:firstLineChars="0"/>
        <w:rPr>
          <w:rFonts w:hint="default" w:ascii="Times New Roman" w:hAnsi="Times New Roman" w:cs="Times New Roman"/>
          <w:color w:val="auto"/>
          <w:highlight w:val="none"/>
        </w:rPr>
      </w:pPr>
    </w:p>
    <w:p w14:paraId="5D64B8F5">
      <w:pPr>
        <w:pageBreakBefore w:val="0"/>
        <w:wordWrap/>
        <w:topLinePunct w:val="0"/>
        <w:bidi w:val="0"/>
        <w:adjustRightInd w:val="0"/>
        <w:snapToGrid w:val="0"/>
        <w:ind w:left="0" w:leftChars="0" w:right="0" w:firstLine="0" w:firstLineChars="0"/>
        <w:rPr>
          <w:rFonts w:hint="default" w:ascii="Times New Roman" w:hAnsi="Times New Roman" w:cs="Times New Roman"/>
          <w:b/>
          <w:bCs/>
          <w:color w:val="auto"/>
          <w:highlight w:val="none"/>
        </w:rPr>
        <w:sectPr>
          <w:headerReference r:id="rId11" w:type="first"/>
          <w:footerReference r:id="rId13" w:type="first"/>
          <w:headerReference r:id="rId10" w:type="default"/>
          <w:footerReference r:id="rId12" w:type="default"/>
          <w:pgSz w:w="11906" w:h="16838"/>
          <w:pgMar w:top="1587" w:right="1587" w:bottom="1587" w:left="1587" w:header="1134" w:footer="1134" w:gutter="0"/>
          <w:pgBorders>
            <w:top w:val="none" w:sz="0" w:space="0"/>
            <w:left w:val="none" w:sz="0" w:space="0"/>
            <w:bottom w:val="none" w:sz="0" w:space="0"/>
            <w:right w:val="none" w:sz="0" w:space="0"/>
          </w:pgBorders>
          <w:cols w:space="187" w:num="2"/>
          <w:titlePg/>
          <w:docGrid w:type="lines" w:linePitch="312" w:charSpace="0"/>
        </w:sectPr>
      </w:pPr>
    </w:p>
    <w:p w14:paraId="65749A43">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26" w:name="_Toc6751"/>
      <w:bookmarkStart w:id="27" w:name="_Toc8694"/>
      <w:r>
        <w:rPr>
          <w:rFonts w:hint="default" w:ascii="Times New Roman" w:hAnsi="Times New Roman" w:eastAsia="宋体" w:cs="Times New Roman"/>
          <w:color w:val="auto"/>
          <w:highlight w:val="none"/>
        </w:rPr>
        <w:t>1 概述</w:t>
      </w:r>
      <w:bookmarkEnd w:id="26"/>
      <w:bookmarkEnd w:id="27"/>
    </w:p>
    <w:p w14:paraId="46A5B524">
      <w:pPr>
        <w:pStyle w:val="3"/>
        <w:pageBreakBefore w:val="0"/>
        <w:numPr>
          <w:ilvl w:val="1"/>
          <w:numId w:val="4"/>
        </w:numPr>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28" w:name="_Toc11094"/>
      <w:bookmarkStart w:id="29" w:name="_Toc11180"/>
      <w:r>
        <w:rPr>
          <w:rFonts w:hint="default" w:ascii="Times New Roman" w:hAnsi="Times New Roman" w:eastAsia="宋体" w:cs="Times New Roman"/>
          <w:color w:val="auto"/>
          <w:highlight w:val="none"/>
        </w:rPr>
        <w:t>项目背景及建设项目特点</w:t>
      </w:r>
      <w:bookmarkEnd w:id="28"/>
      <w:bookmarkEnd w:id="29"/>
    </w:p>
    <w:p w14:paraId="26C9C521">
      <w:pPr>
        <w:pageBreakBefore w:val="0"/>
        <w:wordWrap/>
        <w:topLinePunct w:val="0"/>
        <w:bidi w:val="0"/>
        <w:adjustRightInd w:val="0"/>
        <w:snapToGrid w:val="0"/>
        <w:ind w:left="0" w:leftChars="0" w:right="0"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lang w:val="zh-CN"/>
        </w:rPr>
        <w:t>我国是一个铜紧缺国，每年铜需要量约100万吨以上，缺口部分尚需进口，虽然我国铜总储量不少，但能经济地利用传统选冶工艺处理的铜矿越来越少，过去一直未被开发利用的难选氧化铜矿和低品位铜矿的开发，目前已取得了进展，北京矿冶研究院早在1995年就在多宝山铜矿利用氧化铜矿建立了一座年产200吨电积铜的浸出</w:t>
      </w:r>
      <w:r>
        <w:rPr>
          <w:rFonts w:hint="eastAsia" w:cs="Times New Roman"/>
          <w:color w:val="auto"/>
          <w:highlight w:val="none"/>
          <w:lang w:val="zh-CN"/>
        </w:rPr>
        <w:t>－</w:t>
      </w:r>
      <w:r>
        <w:rPr>
          <w:rFonts w:hint="default" w:ascii="Times New Roman" w:hAnsi="Times New Roman" w:cs="Times New Roman"/>
          <w:color w:val="auto"/>
          <w:highlight w:val="none"/>
          <w:lang w:val="zh-CN"/>
        </w:rPr>
        <w:t>固液分离-萃取-电积试验工厂，该工厂于1995年6月投产，取得了良好的技术经济指标，说明铜矿氧化矿和低品位矿石的浸出</w:t>
      </w:r>
      <w:r>
        <w:rPr>
          <w:rFonts w:hint="eastAsia" w:cs="Times New Roman"/>
          <w:color w:val="auto"/>
          <w:highlight w:val="none"/>
          <w:lang w:val="zh-CN"/>
        </w:rPr>
        <w:t>－</w:t>
      </w:r>
      <w:r>
        <w:rPr>
          <w:rFonts w:hint="default" w:ascii="Times New Roman" w:hAnsi="Times New Roman" w:cs="Times New Roman"/>
          <w:color w:val="auto"/>
          <w:highlight w:val="none"/>
          <w:lang w:val="zh-CN"/>
        </w:rPr>
        <w:t>固液分离-萃取-电积工艺是行之有效的。近年来我国引进国外氧化铜矿石预处理、薄层浸取及</w:t>
      </w:r>
      <w:bookmarkStart w:id="30" w:name="OLE_LINK1"/>
      <w:r>
        <w:rPr>
          <w:rFonts w:hint="default" w:ascii="Times New Roman" w:hAnsi="Times New Roman" w:cs="Times New Roman"/>
          <w:color w:val="auto"/>
          <w:highlight w:val="none"/>
          <w:lang w:val="zh-CN"/>
        </w:rPr>
        <w:t>永久不锈钢阴极电积</w:t>
      </w:r>
      <w:bookmarkEnd w:id="30"/>
      <w:r>
        <w:rPr>
          <w:rFonts w:hint="default" w:ascii="Times New Roman" w:hAnsi="Times New Roman" w:cs="Times New Roman"/>
          <w:color w:val="auto"/>
          <w:highlight w:val="none"/>
          <w:lang w:val="zh-CN"/>
        </w:rPr>
        <w:t>等新工艺新技术，为我国氧化铜矿石资源的有效利用创造了更加有利的技术条件</w:t>
      </w:r>
      <w:r>
        <w:rPr>
          <w:rFonts w:hint="default" w:ascii="Times New Roman" w:hAnsi="Times New Roman" w:cs="Times New Roman"/>
          <w:color w:val="auto"/>
          <w:kern w:val="0"/>
          <w:highlight w:val="none"/>
        </w:rPr>
        <w:t>。</w:t>
      </w:r>
    </w:p>
    <w:p w14:paraId="0434F0D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低品位难选氧化铜矿，采用常规传统选冶工艺开采很不经济，故未能有效利用开发。目前国内外对低品位氧化铜矿石进行了大量的试验研究和生产实践，采用全湿法浸出</w:t>
      </w:r>
      <w:r>
        <w:rPr>
          <w:rFonts w:hint="eastAsia" w:cs="Times New Roman"/>
          <w:color w:val="auto"/>
          <w:highlight w:val="none"/>
          <w:lang w:val="zh-CN"/>
        </w:rPr>
        <w:t>－</w:t>
      </w:r>
      <w:r>
        <w:rPr>
          <w:rFonts w:hint="default" w:ascii="Times New Roman" w:hAnsi="Times New Roman" w:cs="Times New Roman"/>
          <w:color w:val="auto"/>
          <w:highlight w:val="none"/>
          <w:lang w:val="zh-CN"/>
        </w:rPr>
        <w:t>固液分离-萃取-电积工艺处理低品位</w:t>
      </w:r>
      <w:r>
        <w:rPr>
          <w:rFonts w:hint="eastAsia" w:cs="Times New Roman"/>
          <w:color w:val="auto"/>
          <w:highlight w:val="none"/>
          <w:lang w:val="zh-CN"/>
        </w:rPr>
        <w:t>氧化铜</w:t>
      </w:r>
      <w:r>
        <w:rPr>
          <w:rFonts w:hint="default" w:ascii="Times New Roman" w:hAnsi="Times New Roman" w:cs="Times New Roman"/>
          <w:color w:val="auto"/>
          <w:highlight w:val="none"/>
          <w:lang w:val="zh-CN"/>
        </w:rPr>
        <w:t>矿石的新工艺生产合格的阴极铜，具有环境效益好、投资省和生产成本低的优越性，能够获得较好的经济效益和环境社会效益。</w:t>
      </w:r>
    </w:p>
    <w:p w14:paraId="76E27ED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鄯善县厚旺铜矿有限责任公司成立于2005年，是中国厚旺矿业集团公司下属的一家专业从事铜金属矿产资源开发</w:t>
      </w:r>
      <w:bookmarkStart w:id="31" w:name="OLE_LINK2"/>
      <w:r>
        <w:rPr>
          <w:rFonts w:hint="default" w:ascii="Times New Roman" w:hAnsi="Times New Roman" w:cs="Times New Roman"/>
          <w:color w:val="auto"/>
          <w:highlight w:val="none"/>
          <w:lang w:val="zh-CN"/>
        </w:rPr>
        <w:t>企业</w:t>
      </w:r>
      <w:bookmarkEnd w:id="31"/>
      <w:r>
        <w:rPr>
          <w:rFonts w:hint="default" w:ascii="Times New Roman" w:hAnsi="Times New Roman" w:cs="Times New Roman"/>
          <w:color w:val="auto"/>
          <w:highlight w:val="none"/>
          <w:lang w:val="zh-CN"/>
        </w:rPr>
        <w:t>。公司注册地址位于新疆吐鲁番市</w:t>
      </w:r>
      <w:r>
        <w:rPr>
          <w:rFonts w:hint="eastAsia" w:cs="Times New Roman"/>
          <w:color w:val="auto"/>
          <w:highlight w:val="none"/>
          <w:lang w:val="zh-CN"/>
        </w:rPr>
        <w:t>鄯善县迪坎矿产加工区</w:t>
      </w:r>
      <w:r>
        <w:rPr>
          <w:rFonts w:hint="default" w:ascii="Times New Roman" w:hAnsi="Times New Roman" w:cs="Times New Roman"/>
          <w:color w:val="auto"/>
          <w:highlight w:val="none"/>
          <w:lang w:val="zh-CN"/>
        </w:rPr>
        <w:t>，注册资本为2050万元，法定代表人为余朝华。200</w:t>
      </w:r>
      <w:r>
        <w:rPr>
          <w:rFonts w:hint="eastAsia" w:cs="Times New Roman"/>
          <w:color w:val="auto"/>
          <w:highlight w:val="none"/>
          <w:lang w:val="en-US" w:eastAsia="zh-CN"/>
        </w:rPr>
        <w:t>8</w:t>
      </w:r>
      <w:r>
        <w:rPr>
          <w:rFonts w:hint="default" w:ascii="Times New Roman" w:hAnsi="Times New Roman" w:cs="Times New Roman"/>
          <w:color w:val="auto"/>
          <w:highlight w:val="none"/>
          <w:lang w:val="zh-CN"/>
        </w:rPr>
        <w:t>年，鄯善县厚旺铜矿有限责任公司铜矿选矿厂</w:t>
      </w:r>
      <w:r>
        <w:rPr>
          <w:rFonts w:hint="eastAsia" w:cs="Times New Roman"/>
          <w:color w:val="auto"/>
          <w:highlight w:val="none"/>
          <w:lang w:val="en-US" w:eastAsia="zh-CN"/>
        </w:rPr>
        <w:t>建设完成</w:t>
      </w:r>
      <w:r>
        <w:rPr>
          <w:rFonts w:hint="default" w:ascii="Times New Roman" w:hAnsi="Times New Roman" w:cs="Times New Roman"/>
          <w:color w:val="auto"/>
          <w:highlight w:val="none"/>
          <w:lang w:val="zh-CN"/>
        </w:rPr>
        <w:t>，选矿厂处理能力为6万t/</w:t>
      </w:r>
      <w:r>
        <w:rPr>
          <w:rFonts w:hint="eastAsia" w:cs="Times New Roman"/>
          <w:color w:val="auto"/>
          <w:highlight w:val="none"/>
          <w:lang w:val="en-US" w:eastAsia="zh-CN"/>
        </w:rPr>
        <w:t>a</w:t>
      </w:r>
      <w:r>
        <w:rPr>
          <w:rFonts w:hint="default" w:ascii="Times New Roman" w:hAnsi="Times New Roman" w:cs="Times New Roman"/>
          <w:color w:val="auto"/>
          <w:highlight w:val="none"/>
          <w:lang w:val="zh-CN"/>
        </w:rPr>
        <w:t>。2019年，自有矿源大平梁铜矿开采完毕</w:t>
      </w:r>
      <w:r>
        <w:rPr>
          <w:rFonts w:hint="eastAsia" w:cs="Times New Roman"/>
          <w:color w:val="auto"/>
          <w:highlight w:val="none"/>
          <w:lang w:val="en-US" w:eastAsia="zh-CN"/>
        </w:rPr>
        <w:t>后，选矿厂停产至今未生产</w:t>
      </w:r>
      <w:r>
        <w:rPr>
          <w:rFonts w:hint="default" w:ascii="Times New Roman" w:hAnsi="Times New Roman" w:cs="Times New Roman"/>
          <w:color w:val="auto"/>
          <w:highlight w:val="none"/>
          <w:lang w:val="zh-CN"/>
        </w:rPr>
        <w:t>。</w:t>
      </w:r>
    </w:p>
    <w:p w14:paraId="78A975F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lang w:val="zh-CN"/>
        </w:rPr>
      </w:pPr>
      <w:r>
        <w:rPr>
          <w:rFonts w:hint="eastAsia"/>
          <w:color w:val="auto"/>
          <w:highlight w:val="none"/>
        </w:rPr>
        <w:t>鄯善县厚旺铜矿有限责任公司</w:t>
      </w:r>
      <w:r>
        <w:rPr>
          <w:rFonts w:hint="default" w:ascii="Times New Roman" w:hAnsi="Times New Roman" w:cs="Times New Roman"/>
          <w:color w:val="auto"/>
          <w:highlight w:val="none"/>
          <w:lang w:val="en-US" w:eastAsia="zh-CN"/>
        </w:rPr>
        <w:t>现</w:t>
      </w:r>
      <w:r>
        <w:rPr>
          <w:rFonts w:hint="default" w:ascii="Times New Roman" w:hAnsi="Times New Roman" w:cs="Times New Roman"/>
          <w:color w:val="auto"/>
          <w:highlight w:val="none"/>
          <w:lang w:val="zh-CN"/>
        </w:rPr>
        <w:t>拟建年产3000吨阴极铜技术改造项目，本项目利用原有铜矿浮选车间</w:t>
      </w:r>
      <w:r>
        <w:rPr>
          <w:rFonts w:hint="eastAsia" w:cs="Times New Roman"/>
          <w:color w:val="auto"/>
          <w:highlight w:val="none"/>
          <w:lang w:val="en-US" w:eastAsia="zh-CN"/>
        </w:rPr>
        <w:t>等进行改造</w:t>
      </w:r>
      <w:r>
        <w:rPr>
          <w:rFonts w:hint="default" w:ascii="Times New Roman" w:hAnsi="Times New Roman" w:cs="Times New Roman"/>
          <w:color w:val="auto"/>
          <w:highlight w:val="none"/>
          <w:lang w:val="zh-CN"/>
        </w:rPr>
        <w:t>，针对铜矿开采废弃的低品位</w:t>
      </w:r>
      <w:r>
        <w:rPr>
          <w:rFonts w:hint="eastAsia" w:cs="Times New Roman"/>
          <w:color w:val="auto"/>
          <w:highlight w:val="none"/>
          <w:lang w:val="en-US" w:eastAsia="zh-CN"/>
        </w:rPr>
        <w:t>铜</w:t>
      </w:r>
      <w:r>
        <w:rPr>
          <w:rFonts w:hint="default" w:ascii="Times New Roman" w:hAnsi="Times New Roman" w:cs="Times New Roman"/>
          <w:color w:val="auto"/>
          <w:highlight w:val="none"/>
          <w:lang w:val="zh-CN"/>
        </w:rPr>
        <w:t>矿石</w:t>
      </w:r>
      <w:r>
        <w:rPr>
          <w:rFonts w:hint="eastAsia" w:cs="Times New Roman"/>
          <w:color w:val="auto"/>
          <w:highlight w:val="none"/>
          <w:lang w:val="en-US" w:eastAsia="zh-CN"/>
        </w:rPr>
        <w:t>或氧化矿石</w:t>
      </w:r>
      <w:r>
        <w:rPr>
          <w:rFonts w:hint="default" w:ascii="Times New Roman" w:hAnsi="Times New Roman" w:cs="Times New Roman"/>
          <w:color w:val="auto"/>
          <w:highlight w:val="none"/>
          <w:lang w:val="zh-CN"/>
        </w:rPr>
        <w:t>选冶废弃</w:t>
      </w:r>
      <w:r>
        <w:rPr>
          <w:rFonts w:hint="eastAsia" w:cs="Times New Roman"/>
          <w:color w:val="auto"/>
          <w:highlight w:val="none"/>
          <w:lang w:val="zh-CN"/>
        </w:rPr>
        <w:t>的</w:t>
      </w:r>
      <w:r>
        <w:rPr>
          <w:rFonts w:hint="default" w:ascii="Times New Roman" w:hAnsi="Times New Roman" w:cs="Times New Roman"/>
          <w:color w:val="auto"/>
          <w:highlight w:val="none"/>
          <w:lang w:val="zh-CN"/>
        </w:rPr>
        <w:t>低品位矿石资源，采用</w:t>
      </w:r>
      <w:r>
        <w:rPr>
          <w:rFonts w:hint="eastAsia" w:cs="Times New Roman"/>
          <w:color w:val="auto"/>
          <w:highlight w:val="none"/>
          <w:lang w:val="zh-CN"/>
        </w:rPr>
        <w:t>“湿法浸出－固液分离-萃取-电积”</w:t>
      </w:r>
      <w:r>
        <w:rPr>
          <w:rFonts w:hint="default" w:ascii="Times New Roman" w:hAnsi="Times New Roman" w:cs="Times New Roman"/>
          <w:color w:val="auto"/>
          <w:highlight w:val="none"/>
          <w:lang w:val="zh-CN"/>
        </w:rPr>
        <w:t>工艺获得电积阴极铜；“</w:t>
      </w:r>
      <w:r>
        <w:rPr>
          <w:rFonts w:hint="eastAsia" w:cs="Times New Roman"/>
          <w:color w:val="auto"/>
          <w:highlight w:val="none"/>
          <w:lang w:val="zh-CN"/>
        </w:rPr>
        <w:t>湿法浸出－固液分离-萃取-电积</w:t>
      </w:r>
      <w:r>
        <w:rPr>
          <w:rFonts w:hint="default" w:ascii="Times New Roman" w:hAnsi="Times New Roman" w:cs="Times New Roman"/>
          <w:color w:val="auto"/>
          <w:highlight w:val="none"/>
          <w:lang w:val="zh-CN"/>
        </w:rPr>
        <w:t>”工艺处理低品位氧化矿资源技术，工艺成熟、经济效益可观、环保、节能，对促进当地循环经济发展有积极的意义。</w:t>
      </w:r>
    </w:p>
    <w:p w14:paraId="47103058">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目前</w:t>
      </w:r>
      <w:r>
        <w:rPr>
          <w:rFonts w:hint="default" w:ascii="Times New Roman" w:hAnsi="Times New Roman" w:cs="Times New Roman"/>
          <w:color w:val="auto"/>
          <w:highlight w:val="none"/>
          <w:lang w:val="zh-CN"/>
        </w:rPr>
        <w:t>鄯善县厚旺铜矿有限责任公司年产3000吨阴极铜技术改造项目建设内容</w:t>
      </w:r>
      <w:r>
        <w:rPr>
          <w:rFonts w:hint="eastAsia" w:cs="Times New Roman"/>
          <w:color w:val="auto"/>
          <w:highlight w:val="none"/>
          <w:lang w:val="en-US" w:eastAsia="zh-CN"/>
        </w:rPr>
        <w:t>有：</w:t>
      </w:r>
      <w:r>
        <w:rPr>
          <w:rFonts w:hint="default" w:ascii="Times New Roman" w:hAnsi="Times New Roman" w:cs="Times New Roman"/>
          <w:color w:val="auto"/>
          <w:highlight w:val="none"/>
          <w:lang w:val="zh-CN"/>
        </w:rPr>
        <w:t>将原1#车间改为电积铜车间，新建浸出车间和萃铜车间。厂区浸出车间安装了3个180立方米浸出罐，萃取车间安装了4个 117 立方米萃取罐。</w:t>
      </w:r>
      <w:r>
        <w:rPr>
          <w:rFonts w:hint="eastAsia" w:cs="Times New Roman"/>
          <w:color w:val="auto"/>
          <w:highlight w:val="none"/>
          <w:lang w:val="en-US" w:eastAsia="zh-CN"/>
        </w:rPr>
        <w:t>吐鲁番生态环境局鄯善县分局于2025年6月对</w:t>
      </w:r>
      <w:r>
        <w:rPr>
          <w:rFonts w:hint="default" w:ascii="Times New Roman" w:hAnsi="Times New Roman" w:cs="Times New Roman"/>
          <w:color w:val="auto"/>
          <w:highlight w:val="none"/>
          <w:lang w:val="zh-CN"/>
        </w:rPr>
        <w:t>鄯善县厚旺铜矿有限责任公司</w:t>
      </w:r>
      <w:r>
        <w:rPr>
          <w:rFonts w:hint="eastAsia" w:ascii="Times New Roman" w:hAnsi="Times New Roman" w:cs="Times New Roman"/>
          <w:color w:val="auto"/>
          <w:highlight w:val="none"/>
          <w:lang w:val="en-US" w:eastAsia="zh-CN"/>
        </w:rPr>
        <w:t>下达了企业环境问题现场检查整改通知单，要求企业未取得环境影响评价文件批复前不得开工建设。</w:t>
      </w:r>
    </w:p>
    <w:p w14:paraId="44372498">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2" w:name="_Toc17370"/>
      <w:bookmarkStart w:id="33" w:name="_Toc583"/>
      <w:r>
        <w:rPr>
          <w:rFonts w:hint="default" w:ascii="Times New Roman" w:hAnsi="Times New Roman" w:eastAsia="宋体" w:cs="Times New Roman"/>
          <w:color w:val="auto"/>
          <w:highlight w:val="none"/>
        </w:rPr>
        <w:t>1.2 环境影响评价工作过程</w:t>
      </w:r>
      <w:bookmarkEnd w:id="32"/>
      <w:bookmarkEnd w:id="33"/>
    </w:p>
    <w:p w14:paraId="1B4DCA87">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根据《中华人民共和国环境影响评价法》《建设项目环境保护管理条例》等国家有关法律法规的要求，</w:t>
      </w:r>
      <w:r>
        <w:rPr>
          <w:rFonts w:hint="default" w:ascii="Times New Roman" w:hAnsi="Times New Roman" w:cs="Times New Roman"/>
          <w:color w:val="auto"/>
          <w:kern w:val="0"/>
          <w:highlight w:val="none"/>
          <w:lang w:eastAsia="zh-CN"/>
        </w:rPr>
        <w:t>鄯善县厚旺铜矿有限责任公司</w:t>
      </w:r>
      <w:r>
        <w:rPr>
          <w:rFonts w:hint="default" w:ascii="Times New Roman" w:hAnsi="Times New Roman" w:cs="Times New Roman"/>
          <w:color w:val="auto"/>
          <w:kern w:val="0"/>
          <w:highlight w:val="none"/>
        </w:rPr>
        <w:t>委托</w:t>
      </w:r>
      <w:r>
        <w:rPr>
          <w:rFonts w:hint="eastAsia" w:cs="Times New Roman"/>
          <w:color w:val="auto"/>
          <w:kern w:val="0"/>
          <w:highlight w:val="none"/>
          <w:lang w:val="en-US" w:eastAsia="zh-CN"/>
        </w:rPr>
        <w:t>乌鲁木齐湘永丽景环保科技有限公司</w:t>
      </w:r>
      <w:r>
        <w:rPr>
          <w:rFonts w:hint="default" w:ascii="Times New Roman" w:hAnsi="Times New Roman" w:cs="Times New Roman"/>
          <w:color w:val="auto"/>
          <w:kern w:val="0"/>
          <w:highlight w:val="none"/>
        </w:rPr>
        <w:t>对</w:t>
      </w:r>
      <w:r>
        <w:rPr>
          <w:rFonts w:hint="default" w:ascii="Times New Roman" w:hAnsi="Times New Roman" w:cs="Times New Roman"/>
          <w:color w:val="auto"/>
          <w:kern w:val="0"/>
          <w:highlight w:val="none"/>
          <w:lang w:eastAsia="zh-CN"/>
        </w:rPr>
        <w:t>鄯善县厚旺铜矿有限责任公司年产3000吨阴极铜技术改造项目</w:t>
      </w:r>
      <w:r>
        <w:rPr>
          <w:rFonts w:hint="default" w:ascii="Times New Roman" w:hAnsi="Times New Roman" w:cs="Times New Roman"/>
          <w:color w:val="auto"/>
          <w:kern w:val="0"/>
          <w:highlight w:val="none"/>
        </w:rPr>
        <w:t>进行环境影响评价。</w:t>
      </w:r>
    </w:p>
    <w:p w14:paraId="39F15BC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本项目属于《建设项目环境影响评价分类管理名录（2021年版）》中“二十九、有色金属冶炼和压延加工业32中的64常用有色金属冶炼321</w:t>
      </w:r>
      <w:r>
        <w:rPr>
          <w:rFonts w:hint="eastAsia" w:cs="Times New Roman"/>
          <w:color w:val="auto"/>
          <w:highlight w:val="none"/>
          <w:lang w:eastAsia="zh-CN"/>
        </w:rPr>
        <w:t>－</w:t>
      </w:r>
      <w:r>
        <w:rPr>
          <w:rFonts w:hint="default" w:ascii="Times New Roman" w:hAnsi="Times New Roman" w:cs="Times New Roman"/>
          <w:color w:val="auto"/>
          <w:highlight w:val="none"/>
        </w:rPr>
        <w:t>全部（利用单质金属混配重熔生产合金的除外）”，本项目需编制环境影响报告书。</w:t>
      </w:r>
    </w:p>
    <w:p w14:paraId="3AC97225">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本次环境影响评价工作分三个阶段，即</w:t>
      </w:r>
      <w:r>
        <w:rPr>
          <w:rFonts w:hint="eastAsia" w:cs="Times New Roman"/>
          <w:color w:val="auto"/>
          <w:kern w:val="0"/>
          <w:highlight w:val="none"/>
          <w:lang w:val="en-US" w:eastAsia="zh-CN"/>
        </w:rPr>
        <w:t>调查分析</w:t>
      </w:r>
      <w:r>
        <w:rPr>
          <w:rFonts w:hint="default" w:ascii="Times New Roman" w:hAnsi="Times New Roman" w:cs="Times New Roman"/>
          <w:color w:val="auto"/>
          <w:kern w:val="0"/>
          <w:highlight w:val="none"/>
        </w:rPr>
        <w:t>和工作方案阶段，分析论证和预测评价阶段，环境影响</w:t>
      </w:r>
      <w:r>
        <w:rPr>
          <w:rFonts w:hint="eastAsia" w:cs="Times New Roman"/>
          <w:color w:val="auto"/>
          <w:kern w:val="0"/>
          <w:highlight w:val="none"/>
          <w:lang w:val="en-US" w:eastAsia="zh-CN"/>
        </w:rPr>
        <w:t>报告书</w:t>
      </w:r>
      <w:r>
        <w:rPr>
          <w:rFonts w:hint="default" w:ascii="Times New Roman" w:hAnsi="Times New Roman" w:cs="Times New Roman"/>
          <w:color w:val="auto"/>
          <w:kern w:val="0"/>
          <w:highlight w:val="none"/>
        </w:rPr>
        <w:t>编制阶段。接受委托后，根据建设单位提供的相关文件和技术资料，评价单位组织有关环评</w:t>
      </w:r>
      <w:r>
        <w:rPr>
          <w:rFonts w:hint="eastAsia" w:cs="Times New Roman"/>
          <w:color w:val="auto"/>
          <w:kern w:val="0"/>
          <w:highlight w:val="none"/>
          <w:lang w:val="en-US" w:eastAsia="zh-CN"/>
        </w:rPr>
        <w:t>技术</w:t>
      </w:r>
      <w:r>
        <w:rPr>
          <w:rFonts w:hint="default" w:ascii="Times New Roman" w:hAnsi="Times New Roman" w:cs="Times New Roman"/>
          <w:color w:val="auto"/>
          <w:kern w:val="0"/>
          <w:highlight w:val="none"/>
        </w:rPr>
        <w:t>人员赴现场进行实地踏勘，对</w:t>
      </w:r>
      <w:r>
        <w:rPr>
          <w:rFonts w:hint="eastAsia" w:cs="Times New Roman"/>
          <w:color w:val="auto"/>
          <w:kern w:val="0"/>
          <w:highlight w:val="none"/>
          <w:lang w:val="en-US" w:eastAsia="zh-CN"/>
        </w:rPr>
        <w:t>项目所在区域</w:t>
      </w:r>
      <w:r>
        <w:rPr>
          <w:rFonts w:hint="default" w:ascii="Times New Roman" w:hAnsi="Times New Roman" w:cs="Times New Roman"/>
          <w:color w:val="auto"/>
          <w:kern w:val="0"/>
          <w:highlight w:val="none"/>
        </w:rPr>
        <w:t>的自然环境进行调查，收集当地水文、地质、气象以及环境现状等资料，协助建设单位开展公众参与调查和公示，提出了相关的污染治理措施，对建设项目进行认真细致的工程分析，根据各环境要素评价因子筛选、评价等级确定及其相应评价等级要求，对各环境要素进行环境影响预测和评价，提出相应的环境保护措施并进行</w:t>
      </w:r>
      <w:r>
        <w:rPr>
          <w:rFonts w:hint="eastAsia" w:cs="Times New Roman"/>
          <w:color w:val="auto"/>
          <w:kern w:val="0"/>
          <w:highlight w:val="none"/>
          <w:lang w:val="en-US" w:eastAsia="zh-CN"/>
        </w:rPr>
        <w:t>可行性论证</w:t>
      </w:r>
      <w:r>
        <w:rPr>
          <w:rFonts w:hint="default" w:ascii="Times New Roman" w:hAnsi="Times New Roman" w:cs="Times New Roman"/>
          <w:color w:val="auto"/>
          <w:kern w:val="0"/>
          <w:highlight w:val="none"/>
        </w:rPr>
        <w:t>，在此基础上编制完成了《</w:t>
      </w:r>
      <w:r>
        <w:rPr>
          <w:rFonts w:hint="default" w:ascii="Times New Roman" w:hAnsi="Times New Roman" w:cs="Times New Roman"/>
          <w:color w:val="auto"/>
          <w:kern w:val="0"/>
          <w:highlight w:val="none"/>
          <w:lang w:eastAsia="zh-CN"/>
        </w:rPr>
        <w:t>鄯善县厚旺铜矿有限责任公司年产3000吨阴极铜技术改造项目</w:t>
      </w:r>
      <w:r>
        <w:rPr>
          <w:rFonts w:hint="default" w:ascii="Times New Roman" w:hAnsi="Times New Roman" w:cs="Times New Roman"/>
          <w:color w:val="auto"/>
          <w:kern w:val="0"/>
          <w:highlight w:val="none"/>
        </w:rPr>
        <w:t>环境影响报告书》，并提交生态环境主管部门和专家审查。</w:t>
      </w:r>
    </w:p>
    <w:p w14:paraId="540239E8">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eastAsia"/>
          <w:color w:val="auto"/>
          <w:highlight w:val="none"/>
          <w:lang w:val="en-US" w:eastAsia="zh-CN"/>
        </w:rPr>
        <w:t>建设项目</w:t>
      </w:r>
      <w:r>
        <w:rPr>
          <w:rFonts w:hint="default" w:ascii="Times New Roman" w:hAnsi="Times New Roman" w:cs="Times New Roman"/>
          <w:color w:val="auto"/>
          <w:kern w:val="0"/>
          <w:highlight w:val="none"/>
        </w:rPr>
        <w:t>环境影响报告书编制工作程序如图1.2-1所示。</w:t>
      </w:r>
    </w:p>
    <w:p w14:paraId="64D1B3DE">
      <w:pPr>
        <w:keepNext w:val="0"/>
        <w:keepLines w:val="0"/>
        <w:pageBreakBefore w:val="0"/>
        <w:widowControl w:val="0"/>
        <w:kinsoku/>
        <w:wordWrap/>
        <w:overflowPunct/>
        <w:topLinePunct w:val="0"/>
        <w:autoSpaceDE/>
        <w:autoSpaceDN/>
        <w:bidi w:val="0"/>
        <w:adjustRightInd w:val="0"/>
        <w:snapToGrid w:val="0"/>
        <w:ind w:left="0" w:leftChars="0" w:right="0" w:firstLine="0" w:firstLineChars="0"/>
        <w:contextualSpacing/>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5582920" cy="5909945"/>
            <wp:effectExtent l="9525" t="9525" r="27305" b="241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5"/>
                    <a:stretch>
                      <a:fillRect/>
                    </a:stretch>
                  </pic:blipFill>
                  <pic:spPr>
                    <a:xfrm>
                      <a:off x="0" y="0"/>
                      <a:ext cx="5582920" cy="5909945"/>
                    </a:xfrm>
                    <a:prstGeom prst="rect">
                      <a:avLst/>
                    </a:prstGeom>
                    <a:ln>
                      <a:solidFill>
                        <a:schemeClr val="tx1"/>
                      </a:solidFill>
                    </a:ln>
                  </pic:spPr>
                </pic:pic>
              </a:graphicData>
            </a:graphic>
          </wp:inline>
        </w:drawing>
      </w:r>
    </w:p>
    <w:p w14:paraId="46FD14AC">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图1.2-1  建设项目环境影响评价工作程序图</w:t>
      </w:r>
    </w:p>
    <w:p w14:paraId="4F1F9126">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4" w:name="_Toc23702"/>
      <w:bookmarkStart w:id="35" w:name="_Toc28325"/>
      <w:r>
        <w:rPr>
          <w:rFonts w:hint="default" w:ascii="Times New Roman" w:hAnsi="Times New Roman" w:eastAsia="宋体" w:cs="Times New Roman"/>
          <w:color w:val="auto"/>
          <w:highlight w:val="none"/>
        </w:rPr>
        <w:t>1.3 分析判定相关情况</w:t>
      </w:r>
      <w:bookmarkEnd w:id="34"/>
      <w:bookmarkEnd w:id="35"/>
    </w:p>
    <w:p w14:paraId="12F84C74">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根据《建设项目环境影响评价技术</w:t>
      </w:r>
      <w:r>
        <w:rPr>
          <w:rFonts w:hint="default" w:ascii="Times New Roman" w:hAnsi="Times New Roman" w:cs="Times New Roman"/>
          <w:b w:val="0"/>
          <w:bCs/>
          <w:color w:val="auto"/>
          <w:sz w:val="24"/>
          <w:szCs w:val="24"/>
          <w:highlight w:val="none"/>
        </w:rPr>
        <w:t>导则</w:t>
      </w:r>
      <w:r>
        <w:rPr>
          <w:rFonts w:hint="eastAsia" w:ascii="Times New Roman" w:hAnsi="Times New Roman" w:cs="Times New Roman"/>
          <w:b w:val="0"/>
          <w:bCs/>
          <w:color w:val="auto"/>
          <w:sz w:val="24"/>
          <w:szCs w:val="24"/>
          <w:highlight w:val="none"/>
          <w:lang w:val="en-US" w:eastAsia="zh-CN"/>
        </w:rPr>
        <w:t xml:space="preserve"> </w:t>
      </w:r>
      <w:r>
        <w:rPr>
          <w:rFonts w:hint="default" w:ascii="Times New Roman" w:hAnsi="Times New Roman" w:cs="Times New Roman"/>
          <w:b w:val="0"/>
          <w:bCs/>
          <w:color w:val="auto"/>
          <w:sz w:val="24"/>
          <w:szCs w:val="24"/>
          <w:highlight w:val="none"/>
        </w:rPr>
        <w:t>总纲</w:t>
      </w:r>
      <w:r>
        <w:rPr>
          <w:rFonts w:hint="default" w:ascii="Times New Roman" w:hAnsi="Times New Roman" w:cs="Times New Roman"/>
          <w:color w:val="auto"/>
          <w:highlight w:val="none"/>
        </w:rPr>
        <w:t>》（HJ 2.1-2016），环评单位受委托后，通过收集、研究项目相关资料，对建设项目进行了初步分析判定</w:t>
      </w:r>
      <w:r>
        <w:rPr>
          <w:rFonts w:hint="eastAsia" w:cs="Times New Roman"/>
          <w:color w:val="auto"/>
          <w:highlight w:val="none"/>
          <w:lang w:eastAsia="zh-CN"/>
        </w:rPr>
        <w:t>，</w:t>
      </w:r>
      <w:r>
        <w:rPr>
          <w:rFonts w:hint="default" w:ascii="Times New Roman" w:hAnsi="Times New Roman" w:cs="Times New Roman"/>
          <w:color w:val="auto"/>
          <w:highlight w:val="none"/>
        </w:rPr>
        <w:t>初步分析判定具体内容如下：</w:t>
      </w:r>
    </w:p>
    <w:p w14:paraId="57F107C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1.3.1产业政策</w:t>
      </w:r>
      <w:r>
        <w:rPr>
          <w:rFonts w:hint="eastAsia" w:cs="Times New Roman"/>
          <w:color w:val="auto"/>
          <w:highlight w:val="none"/>
          <w:lang w:eastAsia="zh-CN"/>
        </w:rPr>
        <w:t>符合性</w:t>
      </w:r>
      <w:r>
        <w:rPr>
          <w:rFonts w:hint="default" w:ascii="Times New Roman" w:hAnsi="Times New Roman" w:cs="Times New Roman"/>
          <w:color w:val="auto"/>
          <w:highlight w:val="none"/>
        </w:rPr>
        <w:t>分析</w:t>
      </w:r>
    </w:p>
    <w:p w14:paraId="421C36C4">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3.1.1与《产业结构调整指导目录（2024年本）》符合性分析</w:t>
      </w:r>
    </w:p>
    <w:p w14:paraId="079FF8C4">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cs="Times New Roman"/>
          <w:color w:val="auto"/>
          <w:kern w:val="0"/>
          <w:highlight w:val="none"/>
        </w:rPr>
      </w:pPr>
      <w:bookmarkStart w:id="36" w:name="_Hlk150727346"/>
      <w:r>
        <w:rPr>
          <w:rFonts w:hint="default" w:ascii="Times New Roman" w:hAnsi="Times New Roman" w:eastAsia="宋体" w:cs="Times New Roman"/>
          <w:bCs w:val="0"/>
          <w:color w:val="auto"/>
          <w:sz w:val="24"/>
          <w:szCs w:val="24"/>
          <w:highlight w:val="none"/>
        </w:rPr>
        <w:t>本项目为低品位铜矿</w:t>
      </w:r>
      <w:r>
        <w:rPr>
          <w:rFonts w:hint="eastAsia" w:cs="Times New Roman"/>
          <w:bCs w:val="0"/>
          <w:color w:val="auto"/>
          <w:sz w:val="24"/>
          <w:szCs w:val="24"/>
          <w:highlight w:val="none"/>
          <w:lang w:val="en-US" w:eastAsia="zh-CN"/>
        </w:rPr>
        <w:t>湿法</w:t>
      </w:r>
      <w:r>
        <w:rPr>
          <w:rFonts w:hint="default" w:ascii="Times New Roman" w:hAnsi="Times New Roman" w:eastAsia="宋体" w:cs="Times New Roman"/>
          <w:bCs w:val="0"/>
          <w:color w:val="auto"/>
          <w:sz w:val="24"/>
          <w:szCs w:val="24"/>
          <w:highlight w:val="none"/>
        </w:rPr>
        <w:t>冶炼项目，根据《产业结构调整指导目录（2024年本）》，</w:t>
      </w:r>
      <w:r>
        <w:rPr>
          <w:rFonts w:hint="eastAsia"/>
          <w:color w:val="auto"/>
          <w:highlight w:val="none"/>
          <w:lang w:val="en-US" w:eastAsia="zh-CN"/>
        </w:rPr>
        <w:t>本项目</w:t>
      </w:r>
      <w:r>
        <w:rPr>
          <w:rFonts w:hint="default" w:ascii="Times New Roman" w:hAnsi="Times New Roman" w:eastAsia="宋体" w:cs="Times New Roman"/>
          <w:bCs w:val="0"/>
          <w:color w:val="auto"/>
          <w:sz w:val="24"/>
          <w:szCs w:val="24"/>
          <w:highlight w:val="none"/>
        </w:rPr>
        <w:t>属于</w:t>
      </w:r>
      <w:r>
        <w:rPr>
          <w:rFonts w:hint="eastAsia" w:cs="Times New Roman"/>
          <w:bCs w:val="0"/>
          <w:color w:val="auto"/>
          <w:sz w:val="24"/>
          <w:szCs w:val="24"/>
          <w:highlight w:val="none"/>
          <w:lang w:val="en-US" w:eastAsia="zh-CN"/>
        </w:rPr>
        <w:t>该目录</w:t>
      </w:r>
      <w:r>
        <w:rPr>
          <w:rFonts w:hint="default" w:ascii="Times New Roman" w:hAnsi="Times New Roman" w:eastAsia="宋体" w:cs="Times New Roman"/>
          <w:bCs w:val="0"/>
          <w:color w:val="auto"/>
          <w:sz w:val="24"/>
          <w:szCs w:val="24"/>
          <w:highlight w:val="none"/>
        </w:rPr>
        <w:t>中“鼓励类</w:t>
      </w:r>
      <w:r>
        <w:rPr>
          <w:rFonts w:hint="eastAsia" w:cs="Times New Roman"/>
          <w:bCs w:val="0"/>
          <w:color w:val="auto"/>
          <w:sz w:val="24"/>
          <w:szCs w:val="24"/>
          <w:highlight w:val="none"/>
          <w:lang w:val="en-US" w:eastAsia="zh-CN"/>
        </w:rPr>
        <w:t xml:space="preserve"> </w:t>
      </w:r>
      <w:r>
        <w:rPr>
          <w:rFonts w:hint="default" w:ascii="Times New Roman" w:hAnsi="Times New Roman" w:eastAsia="宋体" w:cs="Times New Roman"/>
          <w:bCs w:val="0"/>
          <w:color w:val="auto"/>
          <w:sz w:val="24"/>
          <w:szCs w:val="24"/>
          <w:highlight w:val="none"/>
        </w:rPr>
        <w:t>四十</w:t>
      </w:r>
      <w:r>
        <w:rPr>
          <w:rFonts w:hint="default" w:ascii="Times New Roman" w:hAnsi="Times New Roman" w:eastAsia="宋体" w:cs="Times New Roman"/>
          <w:bCs w:val="0"/>
          <w:color w:val="auto"/>
          <w:sz w:val="24"/>
          <w:szCs w:val="24"/>
          <w:highlight w:val="none"/>
          <w:lang w:val="en-US" w:eastAsia="zh-CN"/>
        </w:rPr>
        <w:t>二</w:t>
      </w:r>
      <w:r>
        <w:rPr>
          <w:rFonts w:hint="eastAsia" w:cs="Times New Roman"/>
          <w:bCs w:val="0"/>
          <w:color w:val="auto"/>
          <w:sz w:val="24"/>
          <w:szCs w:val="24"/>
          <w:highlight w:val="none"/>
          <w:lang w:val="en-US" w:eastAsia="zh-CN"/>
        </w:rPr>
        <w:t>、</w:t>
      </w:r>
      <w:r>
        <w:rPr>
          <w:rFonts w:hint="default" w:ascii="Times New Roman" w:hAnsi="Times New Roman" w:eastAsia="宋体" w:cs="Times New Roman"/>
          <w:bCs w:val="0"/>
          <w:color w:val="auto"/>
          <w:sz w:val="24"/>
          <w:szCs w:val="24"/>
          <w:highlight w:val="none"/>
        </w:rPr>
        <w:t>环境保护与资源节约综合利用-</w:t>
      </w:r>
      <w:r>
        <w:rPr>
          <w:rFonts w:hint="default" w:ascii="Times New Roman" w:hAnsi="Times New Roman" w:eastAsia="宋体" w:cs="Times New Roman"/>
          <w:bCs w:val="0"/>
          <w:color w:val="auto"/>
          <w:sz w:val="24"/>
          <w:szCs w:val="24"/>
          <w:highlight w:val="none"/>
          <w:lang w:val="en-US" w:eastAsia="zh-CN"/>
        </w:rPr>
        <w:t>12</w:t>
      </w:r>
      <w:r>
        <w:rPr>
          <w:rFonts w:hint="default" w:ascii="Times New Roman" w:hAnsi="Times New Roman" w:eastAsia="宋体" w:cs="Times New Roman"/>
          <w:bCs w:val="0"/>
          <w:color w:val="auto"/>
          <w:sz w:val="24"/>
          <w:szCs w:val="24"/>
          <w:highlight w:val="none"/>
        </w:rPr>
        <w:t>低品位、复杂、难处理矿开发及综合利用</w:t>
      </w:r>
      <w:r>
        <w:rPr>
          <w:rFonts w:hint="eastAsia" w:cs="Times New Roman"/>
          <w:bCs w:val="0"/>
          <w:color w:val="auto"/>
          <w:sz w:val="24"/>
          <w:szCs w:val="24"/>
          <w:highlight w:val="none"/>
          <w:lang w:val="en-US" w:eastAsia="zh-CN"/>
        </w:rPr>
        <w:t>技术与设备</w:t>
      </w:r>
      <w:r>
        <w:rPr>
          <w:rFonts w:hint="default" w:ascii="Times New Roman" w:hAnsi="Times New Roman" w:eastAsia="宋体" w:cs="Times New Roman"/>
          <w:bCs w:val="0"/>
          <w:color w:val="auto"/>
          <w:sz w:val="24"/>
          <w:szCs w:val="24"/>
          <w:highlight w:val="none"/>
        </w:rPr>
        <w:t>”，为“鼓励类”项目，符合国家相关产业政策</w:t>
      </w:r>
      <w:r>
        <w:rPr>
          <w:rFonts w:hint="default" w:ascii="Times New Roman" w:hAnsi="Times New Roman" w:cs="Times New Roman"/>
          <w:color w:val="auto"/>
          <w:kern w:val="0"/>
          <w:highlight w:val="none"/>
        </w:rPr>
        <w:t>。</w:t>
      </w:r>
    </w:p>
    <w:p w14:paraId="369E53FB">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eastAsia"/>
          <w:color w:val="auto"/>
          <w:highlight w:val="none"/>
        </w:rPr>
      </w:pPr>
      <w:r>
        <w:rPr>
          <w:rFonts w:hint="eastAsia" w:ascii="Times New Roman" w:hAnsi="Times New Roman" w:eastAsia="宋体" w:cs="Times New Roman"/>
          <w:b/>
          <w:bCs/>
          <w:color w:val="auto"/>
          <w:kern w:val="2"/>
          <w:sz w:val="24"/>
          <w:szCs w:val="24"/>
          <w:highlight w:val="none"/>
          <w:lang w:val="en-US" w:eastAsia="zh-CN" w:bidi="ar-SA"/>
        </w:rPr>
        <w:t>1.3.1.</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与《市场准入负面清单（20</w:t>
      </w:r>
      <w:r>
        <w:rPr>
          <w:rFonts w:hint="eastAsia" w:cs="Times New Roman"/>
          <w:b/>
          <w:bCs/>
          <w:color w:val="auto"/>
          <w:kern w:val="2"/>
          <w:sz w:val="24"/>
          <w:szCs w:val="24"/>
          <w:highlight w:val="none"/>
          <w:lang w:val="en-US" w:eastAsia="zh-CN" w:bidi="ar-SA"/>
        </w:rPr>
        <w:t>25</w:t>
      </w:r>
      <w:r>
        <w:rPr>
          <w:rFonts w:hint="eastAsia" w:ascii="Times New Roman" w:hAnsi="Times New Roman" w:eastAsia="宋体" w:cs="Times New Roman"/>
          <w:b/>
          <w:bCs/>
          <w:color w:val="auto"/>
          <w:kern w:val="2"/>
          <w:sz w:val="24"/>
          <w:szCs w:val="24"/>
          <w:highlight w:val="none"/>
          <w:lang w:val="en-US" w:eastAsia="zh-CN" w:bidi="ar-SA"/>
        </w:rPr>
        <w:t>年版）》符合性分析</w:t>
      </w:r>
    </w:p>
    <w:p w14:paraId="521BC364">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color w:val="auto"/>
          <w:highlight w:val="none"/>
        </w:rPr>
      </w:pPr>
      <w:r>
        <w:rPr>
          <w:rFonts w:hint="eastAsia"/>
          <w:color w:val="auto"/>
          <w:highlight w:val="none"/>
        </w:rPr>
        <w:t>经查阅《市场准入负面清单（20</w:t>
      </w:r>
      <w:r>
        <w:rPr>
          <w:rFonts w:hint="eastAsia"/>
          <w:color w:val="auto"/>
          <w:highlight w:val="none"/>
          <w:lang w:val="en-US" w:eastAsia="zh-CN"/>
        </w:rPr>
        <w:t>25</w:t>
      </w:r>
      <w:r>
        <w:rPr>
          <w:rFonts w:hint="eastAsia"/>
          <w:color w:val="auto"/>
          <w:highlight w:val="none"/>
        </w:rPr>
        <w:t>年版）》，本项目不属于“禁止准入类”，也不属于“与市场准入相关的禁止性规定”。故项目符合《</w:t>
      </w:r>
      <w:r>
        <w:rPr>
          <w:rFonts w:hint="eastAsia"/>
          <w:color w:val="auto"/>
          <w:highlight w:val="none"/>
          <w:lang w:eastAsia="zh-CN"/>
        </w:rPr>
        <w:t>市场准入负面清单（2025年版）</w:t>
      </w:r>
      <w:r>
        <w:rPr>
          <w:rFonts w:hint="eastAsia"/>
          <w:color w:val="auto"/>
          <w:highlight w:val="none"/>
        </w:rPr>
        <w:t>》管理要求。</w:t>
      </w:r>
    </w:p>
    <w:bookmarkEnd w:id="36"/>
    <w:p w14:paraId="1739BD5D">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1.3.1.</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与《绿色低碳转型产业指导目录（2024年版）》符合性分析</w:t>
      </w:r>
    </w:p>
    <w:p w14:paraId="6996AD8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根据《绿色低碳转型产业指导目录（2024年版）》，本项目属于</w:t>
      </w:r>
      <w:r>
        <w:rPr>
          <w:rFonts w:hint="eastAsia" w:cs="Times New Roman"/>
          <w:color w:val="auto"/>
          <w:highlight w:val="none"/>
          <w:lang w:val="en-US" w:eastAsia="zh-CN"/>
        </w:rPr>
        <w:t>该目录中</w:t>
      </w:r>
      <w:r>
        <w:rPr>
          <w:rFonts w:hint="default" w:ascii="Times New Roman" w:hAnsi="Times New Roman" w:cs="Times New Roman"/>
          <w:color w:val="auto"/>
          <w:highlight w:val="none"/>
        </w:rPr>
        <w:t>“3 资源循环利用产业-3.2资源循环利用－矿产资源综合利用”项目，符合《绿色低碳转型产业指导目录（2024年版）》要求。</w:t>
      </w:r>
    </w:p>
    <w:p w14:paraId="24DC16FD">
      <w:pPr>
        <w:pageBreakBefore w:val="0"/>
        <w:wordWrap/>
        <w:topLinePunct w:val="0"/>
        <w:bidi w:val="0"/>
        <w:adjustRightInd w:val="0"/>
        <w:snapToGrid w:val="0"/>
        <w:ind w:left="0" w:leftChars="0" w:right="0" w:firstLine="480"/>
        <w:rPr>
          <w:rFonts w:hint="eastAsia" w:eastAsia="宋体"/>
          <w:color w:val="auto"/>
          <w:highlight w:val="none"/>
          <w:lang w:eastAsia="zh-CN"/>
        </w:rPr>
      </w:pPr>
      <w:r>
        <w:rPr>
          <w:rFonts w:hint="eastAsia"/>
          <w:color w:val="auto"/>
          <w:highlight w:val="none"/>
        </w:rPr>
        <w:t>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12</w:t>
      </w:r>
      <w:r>
        <w:rPr>
          <w:rFonts w:hint="eastAsia"/>
          <w:color w:val="auto"/>
          <w:highlight w:val="none"/>
        </w:rPr>
        <w:t>月鄯善县商务和工业信息化局对项目进行了备案，备案证号：鄯政商工技备</w:t>
      </w:r>
      <w:r>
        <w:rPr>
          <w:rFonts w:hint="eastAsia"/>
          <w:color w:val="auto"/>
          <w:highlight w:val="none"/>
          <w:lang w:eastAsia="zh-CN"/>
        </w:rPr>
        <w:t>〔2024〕12号，本项目符合地方产业政策。</w:t>
      </w:r>
    </w:p>
    <w:p w14:paraId="0FF7E23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1.3.2相关规划符合性分析</w:t>
      </w:r>
    </w:p>
    <w:p w14:paraId="6E1F8564">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1.3.2.1与《新疆维吾尔自治区主体功能区规划》的符合性分析</w:t>
      </w:r>
    </w:p>
    <w:p w14:paraId="2621B8D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依据《新疆维吾尔自治区主体功能区规划》：主体功能区与能源和矿产资源开发的关系。一些能源和矿产资源富集的区域往往同时是生态脆弱或生态重要的区域，被划分为限制进行大规模高强度工业化</w:t>
      </w:r>
      <w:r>
        <w:rPr>
          <w:rFonts w:hint="eastAsia"/>
          <w:color w:val="auto"/>
          <w:highlight w:val="none"/>
          <w:lang w:eastAsia="zh-CN"/>
        </w:rPr>
        <w:t>、</w:t>
      </w:r>
      <w:r>
        <w:rPr>
          <w:rFonts w:hint="default" w:ascii="Times New Roman" w:hAnsi="Times New Roman" w:eastAsia="宋体" w:cs="Times New Roman"/>
          <w:color w:val="auto"/>
          <w:sz w:val="24"/>
          <w:szCs w:val="24"/>
          <w:highlight w:val="none"/>
        </w:rPr>
        <w:t>城镇化开发的重点生态功能区或农产品主产区，并不是限制能源和矿产资源的开发，这类区域中的能源和矿产资源，仍然可以依法开发，资源开采的地点仍然可以定义为能源或矿产资源的重点开发基地，但应该按照该区域的主体功能定位实行“点上开发、面上保护”。</w:t>
      </w:r>
    </w:p>
    <w:p w14:paraId="0A3159DB">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形成资源点状开发，生态面上保护的空间结构。矿产资源富集区域的开发，要在科学规划的基础上，以点状开发方式有序进行，其开发强度控制在规划目标之内，尽可能减少对生态环境的扰动和破坏，同时加强对矿产开发区迹地的生态修复。</w:t>
      </w:r>
    </w:p>
    <w:p w14:paraId="02E1ECE5">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限制开发区域是指关系国家农产品供给安全和生态安全，不应该或不适宜进行大规模、高强度工业化城镇化开发的农产品主产区和重点生态功能区。限制开发区域分为两类：一类是农产品主产区，即耕地较多、农业发展条件较好，尽管也适宜工业化城镇化开发，但从保障国家农产品安全以及国家永续发展的需要出发，必须把增强农业综合生产能力作为发展的首要任务，从而应该限制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w:t>
      </w:r>
    </w:p>
    <w:p w14:paraId="7F6859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禁止开发区域是指依法设立的各级各类自然文化资源保护区域，以及其他禁止进行工业化城镇化开发、需要特殊保护的重点生态功能区。国家层面的禁止开发区域包括国家级自然保护区、世界文化自然遗产、国家级风景名胜区、国家森林公园、国家地质公园。省级层面的禁止开发区域，包括省级及以下各级各类自然文化资源保护区域、重要水源地、重要湿地以及其他省级人民政府根据需要确定的禁止开发区域。</w:t>
      </w:r>
    </w:p>
    <w:p w14:paraId="16E761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本项目区行政区划隶属</w:t>
      </w:r>
      <w:r>
        <w:rPr>
          <w:rFonts w:hint="default" w:ascii="Times New Roman" w:hAnsi="Times New Roman" w:cs="Times New Roman"/>
          <w:color w:val="auto"/>
          <w:sz w:val="24"/>
          <w:szCs w:val="24"/>
          <w:highlight w:val="none"/>
          <w:lang w:val="en-US" w:eastAsia="zh-CN"/>
        </w:rPr>
        <w:t>鄯善县</w:t>
      </w:r>
      <w:r>
        <w:rPr>
          <w:rFonts w:hint="default" w:ascii="Times New Roman" w:hAnsi="Times New Roman" w:cs="Times New Roman"/>
          <w:color w:val="auto"/>
          <w:sz w:val="24"/>
          <w:szCs w:val="24"/>
          <w:highlight w:val="none"/>
        </w:rPr>
        <w:t>，不属于限制开发区域或禁止开发区域，本项目符合《新疆维吾尔自治区主体功能区规划》中的相关要求。</w:t>
      </w:r>
    </w:p>
    <w:p w14:paraId="7451770D">
      <w:pPr>
        <w:pStyle w:val="5"/>
        <w:pageBreakBefore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1.3.2.2与《新疆维吾尔自治区国民经济和社会发展第十四个五年规划和2035年远景目标纲要》符合性分析</w:t>
      </w:r>
    </w:p>
    <w:p w14:paraId="2064FA32">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根据《新疆维吾尔自治区国民经济和社会发展第十四个五年规划和2035年远景目标纲要》中第五篇－第二章：</w:t>
      </w:r>
      <w:bookmarkStart w:id="37" w:name="_Toc36466795"/>
      <w:bookmarkStart w:id="38" w:name="_Toc1382326041"/>
      <w:bookmarkStart w:id="39" w:name="_Toc310770504"/>
      <w:bookmarkStart w:id="40" w:name="_Toc36466161"/>
      <w:bookmarkStart w:id="41" w:name="_Toc36466467"/>
      <w:r>
        <w:rPr>
          <w:rFonts w:hint="default" w:ascii="Times New Roman" w:hAnsi="Times New Roman" w:cs="Times New Roman"/>
          <w:color w:val="auto"/>
          <w:highlight w:val="none"/>
        </w:rPr>
        <w:t>积极发展有色工业。推进铝、铜、镍、镁等有色金属下游产业链延伸，培育铜镍、铜铝、铜镁、硅铝、铍铜等合金产业，推动汽车、铁路、航天、航海等行业应用有色新材料，打造全国重要的有色金属产业基地。</w:t>
      </w:r>
      <w:bookmarkEnd w:id="37"/>
      <w:bookmarkEnd w:id="38"/>
      <w:bookmarkEnd w:id="39"/>
      <w:bookmarkEnd w:id="40"/>
      <w:bookmarkEnd w:id="41"/>
    </w:p>
    <w:p w14:paraId="54AE97B8">
      <w:pPr>
        <w:pageBreakBefore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本项目属于铜</w:t>
      </w:r>
      <w:r>
        <w:rPr>
          <w:rFonts w:hint="eastAsia" w:cs="Times New Roman"/>
          <w:color w:val="auto"/>
          <w:highlight w:val="none"/>
          <w:lang w:val="en-US" w:eastAsia="zh-CN"/>
        </w:rPr>
        <w:t>湿法</w:t>
      </w:r>
      <w:r>
        <w:rPr>
          <w:rFonts w:hint="default" w:ascii="Times New Roman" w:hAnsi="Times New Roman" w:cs="Times New Roman"/>
          <w:color w:val="auto"/>
          <w:highlight w:val="none"/>
        </w:rPr>
        <w:t>冶炼项目，属于有色金属工业，</w:t>
      </w:r>
      <w:r>
        <w:rPr>
          <w:rFonts w:hint="default" w:ascii="Times New Roman" w:hAnsi="Times New Roman" w:cs="Times New Roman"/>
          <w:color w:val="auto"/>
          <w:highlight w:val="none"/>
          <w:lang w:val="en-US" w:eastAsia="zh-CN"/>
        </w:rPr>
        <w:t>有助于</w:t>
      </w:r>
      <w:r>
        <w:rPr>
          <w:rFonts w:hint="default" w:ascii="Times New Roman" w:hAnsi="Times New Roman" w:cs="Times New Roman"/>
          <w:color w:val="auto"/>
          <w:highlight w:val="none"/>
        </w:rPr>
        <w:t>推进铝、铜、镍、镁等有色金属下游产业链延伸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符合《新疆维吾尔自治区国民经济和社会发展第十四个五年规划和2035年远景目标纲要》提出的“积极发展有色工业”中的相关内容。</w:t>
      </w:r>
    </w:p>
    <w:p w14:paraId="54658D3B">
      <w:pPr>
        <w:pStyle w:val="5"/>
        <w:pageBreakBefore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与《</w:t>
      </w:r>
      <w:bookmarkStart w:id="42" w:name="OLE_LINK10"/>
      <w:r>
        <w:rPr>
          <w:rFonts w:hint="default" w:ascii="Times New Roman" w:hAnsi="Times New Roman" w:cs="Times New Roman"/>
          <w:b/>
          <w:bCs/>
          <w:color w:val="auto"/>
          <w:sz w:val="24"/>
          <w:szCs w:val="24"/>
          <w:highlight w:val="none"/>
        </w:rPr>
        <w:t>吐鲁番市国民经济和社会发展第十四个五年规划和2035年远景目标纲要</w:t>
      </w:r>
      <w:bookmarkEnd w:id="42"/>
      <w:r>
        <w:rPr>
          <w:rFonts w:hint="default" w:ascii="Times New Roman" w:hAnsi="Times New Roman" w:cs="Times New Roman"/>
          <w:b/>
          <w:bCs/>
          <w:color w:val="auto"/>
          <w:sz w:val="24"/>
          <w:szCs w:val="24"/>
          <w:highlight w:val="none"/>
        </w:rPr>
        <w:t>》符合性分析</w:t>
      </w:r>
    </w:p>
    <w:p w14:paraId="5B6CB1D6">
      <w:pPr>
        <w:pageBreakBefore w:val="0"/>
        <w:kinsoku/>
        <w:wordWrap/>
        <w:overflowPunct/>
        <w:topLinePunct w:val="0"/>
        <w:autoSpaceDE/>
        <w:autoSpaceDN/>
        <w:bidi w:val="0"/>
        <w:adjustRightInd w:val="0"/>
        <w:snapToGrid w:val="0"/>
        <w:spacing w:line="360" w:lineRule="auto"/>
        <w:ind w:left="0" w:leftChars="0" w:right="0" w:firstLine="48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根据《吐鲁番市国民经济和社会发展第十四个五年规划和2035年远景目标纲要》第十二章 推动绿色发展，实现生态文明建设新</w:t>
      </w:r>
      <w:r>
        <w:rPr>
          <w:rFonts w:hint="eastAsia" w:cs="Times New Roman"/>
          <w:color w:val="auto"/>
          <w:highlight w:val="none"/>
          <w:lang w:eastAsia="zh-CN"/>
        </w:rPr>
        <w:t>进步</w:t>
      </w:r>
      <w:r>
        <w:rPr>
          <w:rFonts w:hint="default" w:ascii="Times New Roman" w:hAnsi="Times New Roman" w:cs="Times New Roman"/>
          <w:color w:val="auto"/>
          <w:highlight w:val="none"/>
        </w:rPr>
        <w:t>要求及符合性分析具体如下</w:t>
      </w:r>
      <w:r>
        <w:rPr>
          <w:rFonts w:hint="eastAsia" w:cs="Times New Roman"/>
          <w:color w:val="auto"/>
          <w:highlight w:val="none"/>
          <w:lang w:eastAsia="zh-CN"/>
        </w:rPr>
        <w:t>：</w:t>
      </w:r>
    </w:p>
    <w:p w14:paraId="314845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 w:firstLineChars="0"/>
        <w:jc w:val="center"/>
        <w:textAlignment w:val="baseline"/>
        <w:rPr>
          <w:rFonts w:hint="default" w:ascii="Times New Roman" w:hAnsi="Times New Roman" w:cs="Times New Roman"/>
          <w:snapToGrid w:val="0"/>
          <w:color w:val="auto"/>
          <w:spacing w:val="-10"/>
          <w:kern w:val="0"/>
          <w:sz w:val="20"/>
          <w:szCs w:val="20"/>
          <w:highlight w:val="none"/>
        </w:rPr>
      </w:pPr>
      <w:r>
        <w:rPr>
          <w:rFonts w:hint="default" w:ascii="Times New Roman" w:hAnsi="Times New Roman" w:cs="Times New Roman"/>
          <w:b/>
          <w:bCs/>
          <w:color w:val="auto"/>
          <w:spacing w:val="-10"/>
          <w:sz w:val="21"/>
          <w:szCs w:val="21"/>
          <w:highlight w:val="none"/>
        </w:rPr>
        <w:t>表1.3-</w:t>
      </w:r>
      <w:r>
        <w:rPr>
          <w:rFonts w:hint="default" w:ascii="Times New Roman" w:hAnsi="Times New Roman" w:cs="Times New Roman"/>
          <w:b/>
          <w:bCs/>
          <w:color w:val="auto"/>
          <w:spacing w:val="-10"/>
          <w:sz w:val="21"/>
          <w:szCs w:val="21"/>
          <w:highlight w:val="none"/>
          <w:lang w:val="en-US" w:eastAsia="zh-CN"/>
        </w:rPr>
        <w:t>1</w:t>
      </w:r>
      <w:r>
        <w:rPr>
          <w:rFonts w:hint="default" w:ascii="Times New Roman" w:hAnsi="Times New Roman" w:cs="Times New Roman"/>
          <w:b/>
          <w:bCs/>
          <w:color w:val="auto"/>
          <w:spacing w:val="-10"/>
          <w:sz w:val="21"/>
          <w:szCs w:val="21"/>
          <w:highlight w:val="none"/>
        </w:rPr>
        <w:t xml:space="preserve">  《吐鲁番市国民经济和社会发展第十四个五年规划和2035年远景目标纲要》符合性分析表</w:t>
      </w:r>
    </w:p>
    <w:tbl>
      <w:tblPr>
        <w:tblStyle w:val="121"/>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21"/>
        <w:gridCol w:w="5559"/>
        <w:gridCol w:w="1480"/>
        <w:gridCol w:w="869"/>
      </w:tblGrid>
      <w:tr w14:paraId="1F6E91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3654" w:type="pct"/>
            <w:gridSpan w:val="2"/>
            <w:tcBorders>
              <w:tl2br w:val="nil"/>
              <w:tr2bl w:val="nil"/>
            </w:tcBorders>
            <w:vAlign w:val="center"/>
          </w:tcPr>
          <w:p w14:paraId="047C6A75">
            <w:pPr>
              <w:pageBreakBefore w:val="0"/>
              <w:widowControl/>
              <w:kinsoku w:val="0"/>
              <w:wordWrap/>
              <w:topLinePunct w:val="0"/>
              <w:autoSpaceDE w:val="0"/>
              <w:autoSpaceDN w:val="0"/>
              <w:bidi w:val="0"/>
              <w:adjustRightInd w:val="0"/>
              <w:snapToGrid w:val="0"/>
              <w:spacing w:line="317" w:lineRule="auto"/>
              <w:ind w:left="0" w:leftChars="0" w:right="0" w:firstLine="3" w:firstLineChars="0"/>
              <w:jc w:val="center"/>
              <w:textAlignment w:val="baseline"/>
              <w:rPr>
                <w:rFonts w:hint="default" w:ascii="Times New Roman" w:hAnsi="Times New Roman" w:cs="Times New Roman"/>
                <w:b/>
                <w:bCs/>
                <w:snapToGrid w:val="0"/>
                <w:color w:val="auto"/>
                <w:spacing w:val="9"/>
                <w:kern w:val="0"/>
                <w:sz w:val="21"/>
                <w:szCs w:val="21"/>
                <w:highlight w:val="none"/>
              </w:rPr>
            </w:pPr>
            <w:r>
              <w:rPr>
                <w:rFonts w:hint="default" w:ascii="Times New Roman" w:hAnsi="Times New Roman" w:cs="Times New Roman"/>
                <w:b/>
                <w:bCs/>
                <w:snapToGrid w:val="0"/>
                <w:color w:val="auto"/>
                <w:spacing w:val="9"/>
                <w:kern w:val="0"/>
                <w:sz w:val="21"/>
                <w:szCs w:val="21"/>
                <w:highlight w:val="none"/>
              </w:rPr>
              <w:t>意见要求</w:t>
            </w:r>
          </w:p>
        </w:tc>
        <w:tc>
          <w:tcPr>
            <w:tcW w:w="848" w:type="pct"/>
            <w:tcBorders>
              <w:tl2br w:val="nil"/>
              <w:tr2bl w:val="nil"/>
            </w:tcBorders>
            <w:vAlign w:val="center"/>
          </w:tcPr>
          <w:p w14:paraId="225C958B">
            <w:pPr>
              <w:pageBreakBefore w:val="0"/>
              <w:widowControl/>
              <w:kinsoku w:val="0"/>
              <w:wordWrap/>
              <w:topLinePunct w:val="0"/>
              <w:autoSpaceDE w:val="0"/>
              <w:autoSpaceDN w:val="0"/>
              <w:bidi w:val="0"/>
              <w:adjustRightInd w:val="0"/>
              <w:snapToGrid w:val="0"/>
              <w:spacing w:line="317" w:lineRule="auto"/>
              <w:ind w:left="0" w:leftChars="0" w:right="0" w:firstLine="3" w:firstLineChars="0"/>
              <w:jc w:val="center"/>
              <w:textAlignment w:val="baseline"/>
              <w:rPr>
                <w:rFonts w:hint="default" w:ascii="Times New Roman" w:hAnsi="Times New Roman" w:cs="Times New Roman"/>
                <w:b/>
                <w:bCs/>
                <w:snapToGrid w:val="0"/>
                <w:color w:val="auto"/>
                <w:spacing w:val="9"/>
                <w:kern w:val="0"/>
                <w:sz w:val="21"/>
                <w:szCs w:val="21"/>
                <w:highlight w:val="none"/>
              </w:rPr>
            </w:pPr>
            <w:r>
              <w:rPr>
                <w:rFonts w:hint="default" w:ascii="Times New Roman" w:hAnsi="Times New Roman" w:cs="Times New Roman"/>
                <w:b/>
                <w:bCs/>
                <w:snapToGrid w:val="0"/>
                <w:color w:val="auto"/>
                <w:spacing w:val="9"/>
                <w:kern w:val="0"/>
                <w:sz w:val="21"/>
                <w:szCs w:val="21"/>
                <w:highlight w:val="none"/>
              </w:rPr>
              <w:t>本项目情况</w:t>
            </w:r>
          </w:p>
        </w:tc>
        <w:tc>
          <w:tcPr>
            <w:tcW w:w="498" w:type="pct"/>
            <w:tcBorders>
              <w:tl2br w:val="nil"/>
              <w:tr2bl w:val="nil"/>
            </w:tcBorders>
            <w:vAlign w:val="center"/>
          </w:tcPr>
          <w:p w14:paraId="31B25632">
            <w:pPr>
              <w:pageBreakBefore w:val="0"/>
              <w:widowControl/>
              <w:kinsoku w:val="0"/>
              <w:wordWrap/>
              <w:topLinePunct w:val="0"/>
              <w:autoSpaceDE w:val="0"/>
              <w:autoSpaceDN w:val="0"/>
              <w:bidi w:val="0"/>
              <w:adjustRightInd w:val="0"/>
              <w:snapToGrid w:val="0"/>
              <w:spacing w:line="317" w:lineRule="auto"/>
              <w:ind w:left="0" w:leftChars="0" w:right="0" w:firstLine="3" w:firstLineChars="0"/>
              <w:jc w:val="center"/>
              <w:textAlignment w:val="baseline"/>
              <w:rPr>
                <w:rFonts w:hint="default" w:ascii="Times New Roman" w:hAnsi="Times New Roman" w:cs="Times New Roman"/>
                <w:b/>
                <w:bCs/>
                <w:snapToGrid w:val="0"/>
                <w:color w:val="auto"/>
                <w:spacing w:val="9"/>
                <w:kern w:val="0"/>
                <w:sz w:val="21"/>
                <w:szCs w:val="21"/>
                <w:highlight w:val="none"/>
              </w:rPr>
            </w:pPr>
            <w:r>
              <w:rPr>
                <w:rFonts w:hint="default" w:ascii="Times New Roman" w:hAnsi="Times New Roman" w:cs="Times New Roman"/>
                <w:b/>
                <w:bCs/>
                <w:snapToGrid w:val="0"/>
                <w:color w:val="auto"/>
                <w:spacing w:val="9"/>
                <w:kern w:val="0"/>
                <w:sz w:val="21"/>
                <w:szCs w:val="21"/>
                <w:highlight w:val="none"/>
              </w:rPr>
              <w:t>符合性</w:t>
            </w:r>
          </w:p>
        </w:tc>
      </w:tr>
      <w:tr w14:paraId="67BDAB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6768308A">
            <w:pPr>
              <w:pageBreakBefore w:val="0"/>
              <w:widowControl/>
              <w:kinsoku w:val="0"/>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第一节 健全生态环境保护机制</w:t>
            </w:r>
          </w:p>
        </w:tc>
        <w:tc>
          <w:tcPr>
            <w:tcW w:w="3184" w:type="pct"/>
            <w:tcBorders>
              <w:tl2br w:val="nil"/>
              <w:tr2bl w:val="nil"/>
            </w:tcBorders>
            <w:vAlign w:val="center"/>
          </w:tcPr>
          <w:p w14:paraId="43849043">
            <w:pPr>
              <w:pageBreakBefore w:val="0"/>
              <w:widowControl/>
              <w:kinsoku w:val="0"/>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实施最严格的生态保护制度，严禁“三高”项目进吐鲁番，严格执行能源、矿产资源开发一支笔审批制度、环境保护“一票否决”制度，守住生态保护红线、环境质量底线和自然资源利用上线。全面实行排污许可制，适时开展排污权、用水权、用能权、碳排放权交易。健全国土空间开发保护制度，严格落实国土空间规划和用途管控。加强生态环境保护综合执法体系和能力建设，依法依规强化生态环境执法，健全生态环境损害赔偿制度体系。落实中央生态环境保护督察整改要求。探索鼓励高环境风险企业投保环境污染强制责任险，严格落实党政领导干部生态环境责任离任审计与生态环境损害终身责任追究制度。</w:t>
            </w:r>
          </w:p>
        </w:tc>
        <w:tc>
          <w:tcPr>
            <w:tcW w:w="848" w:type="pct"/>
            <w:tcBorders>
              <w:tl2br w:val="nil"/>
              <w:tr2bl w:val="nil"/>
            </w:tcBorders>
            <w:vAlign w:val="center"/>
          </w:tcPr>
          <w:p w14:paraId="0DE55D9A">
            <w:pPr>
              <w:pageBreakBefore w:val="0"/>
              <w:widowControl/>
              <w:kinsoku w:val="0"/>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本项目不属于“三高”项目，符合准入要求。</w:t>
            </w:r>
          </w:p>
        </w:tc>
        <w:tc>
          <w:tcPr>
            <w:tcW w:w="498" w:type="pct"/>
            <w:tcBorders>
              <w:tl2br w:val="nil"/>
              <w:tr2bl w:val="nil"/>
            </w:tcBorders>
            <w:vAlign w:val="center"/>
          </w:tcPr>
          <w:p w14:paraId="7A45B1CD">
            <w:pPr>
              <w:pageBreakBefore w:val="0"/>
              <w:widowControl/>
              <w:kinsoku w:val="0"/>
              <w:wordWrap/>
              <w:topLinePunct w:val="0"/>
              <w:autoSpaceDE w:val="0"/>
              <w:autoSpaceDN w:val="0"/>
              <w:bidi w:val="0"/>
              <w:adjustRightInd w:val="0"/>
              <w:snapToGrid w:val="0"/>
              <w:spacing w:line="228"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符合</w:t>
            </w:r>
          </w:p>
        </w:tc>
      </w:tr>
      <w:tr w14:paraId="2D9587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2B41838A">
            <w:pPr>
              <w:pageBreakBefore w:val="0"/>
              <w:widowControl/>
              <w:kinsoku w:val="0"/>
              <w:wordWrap/>
              <w:topLinePunct w:val="0"/>
              <w:autoSpaceDE w:val="0"/>
              <w:autoSpaceDN w:val="0"/>
              <w:bidi w:val="0"/>
              <w:adjustRightInd w:val="0"/>
              <w:snapToGrid w:val="0"/>
              <w:spacing w:line="229"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第二节 持续加强环境保护</w:t>
            </w:r>
            <w:r>
              <w:rPr>
                <w:rFonts w:hint="eastAsia" w:cs="Times New Roman"/>
                <w:snapToGrid w:val="0"/>
                <w:color w:val="auto"/>
                <w:kern w:val="0"/>
                <w:sz w:val="21"/>
                <w:szCs w:val="21"/>
                <w:highlight w:val="none"/>
                <w:lang w:eastAsia="zh-CN"/>
              </w:rPr>
              <w:t>治理</w:t>
            </w:r>
          </w:p>
        </w:tc>
        <w:tc>
          <w:tcPr>
            <w:tcW w:w="3184" w:type="pct"/>
            <w:tcBorders>
              <w:tl2br w:val="nil"/>
              <w:tr2bl w:val="nil"/>
            </w:tcBorders>
            <w:vAlign w:val="center"/>
          </w:tcPr>
          <w:p w14:paraId="668ACC7F">
            <w:pPr>
              <w:pageBreakBefore w:val="0"/>
              <w:widowControl/>
              <w:kinsoku w:val="0"/>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纵深推进大气污染防治行动。</w:t>
            </w:r>
            <w:r>
              <w:rPr>
                <w:rFonts w:hint="default" w:ascii="Times New Roman" w:hAnsi="Times New Roman" w:cs="Times New Roman"/>
                <w:snapToGrid w:val="0"/>
                <w:color w:val="auto"/>
                <w:kern w:val="0"/>
                <w:sz w:val="21"/>
                <w:szCs w:val="21"/>
                <w:highlight w:val="none"/>
              </w:rPr>
              <w:t>强化多污染物协同控制和区域协同治理，加强细颗粒物和臭氧协同控制，减少重污染天气出现。突出抓好“散乱污”企业整治、重点行业污染源治理，大力推进工业废气、汽车尾气、餐饮油烟、秸秆焚烧和道路建筑扬尘治理。突出抓好散煤综合治理，严格控制煤炭消费总量，扎实推进煤改电、煤改气，大力推进“电化农村”，以高昌区为重点，在城中村、城郊村等集中供暖和天然气还未覆盖的区域，全面推广使用电采暖。全面淘汰黄标车，大力推广新能源汽车等清洁交通工具。加快推进火电、热电机组超低排放清洁化改造，加大工业烟粉尘、挥发性有机废气治理。强化城市烟尘整治，推进新型建筑工业化，控制施工和道路扬尘。持续开展餐饮油烟治理，推进农作物秸秆禁烧和综合利用，巩固矿山粉尘整治成果。建立健全重污染天气监测、预警和应急响应体系，不断完善大气污染联防联控机制。</w:t>
            </w:r>
          </w:p>
          <w:p w14:paraId="6888E78D">
            <w:pPr>
              <w:pageBreakBefore w:val="0"/>
              <w:widowControl/>
              <w:kinsoku w:val="0"/>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深入实施水污染防治行动。</w:t>
            </w:r>
            <w:r>
              <w:rPr>
                <w:rFonts w:hint="default" w:ascii="Times New Roman" w:hAnsi="Times New Roman" w:cs="Times New Roman"/>
                <w:snapToGrid w:val="0"/>
                <w:color w:val="auto"/>
                <w:kern w:val="0"/>
                <w:sz w:val="21"/>
                <w:szCs w:val="21"/>
                <w:highlight w:val="none"/>
              </w:rPr>
              <w:t>坚持全民参与，形成“政府统领、企业施治、市场驱动、公众参与”的水污染防治新局面。规范污水收集处理及达标排放监管，狠抓装备水平低、环保设施差的小型工业企业整治，推进重点行业工业废水分质集中处理，提高工业污水处理率。推进城镇污水管网全覆盖。加快老旧城区、城郊结合部等重点区域截污配套管网建设，提升污泥处理处置水平，实现城镇周边村庄生活污水纳入城镇污水处理管网收集处理，供排水、垃圾处理等市政基础设施服务向农村延伸，治理设施运维实现长效化。</w:t>
            </w:r>
          </w:p>
          <w:p w14:paraId="068BC85A">
            <w:pPr>
              <w:pageBreakBefore w:val="0"/>
              <w:widowControl/>
              <w:kinsoku w:val="0"/>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稳步开展土壤污染防治行动。</w:t>
            </w:r>
            <w:r>
              <w:rPr>
                <w:rFonts w:hint="default" w:ascii="Times New Roman" w:hAnsi="Times New Roman" w:cs="Times New Roman"/>
                <w:snapToGrid w:val="0"/>
                <w:color w:val="auto"/>
                <w:kern w:val="0"/>
                <w:sz w:val="21"/>
                <w:szCs w:val="21"/>
                <w:highlight w:val="none"/>
              </w:rPr>
              <w:t>实行严格的土壤保护制度，坚持“防、控、治”三位一体，以农用地和建设用地为重点，实行分级分类管控，推动土壤资源永续利用。推进化肥农药减量化，加强白色污染治理。强化对未污染土壤保护，重点保护未污染耕地、林地、草地和饮用水水源地。坚持固体废物减量化、资源化、无害化原则，减少固体废物的产生量和危害性，提高固体废物综合利用和无害化处置能力，推动工业固体废物综合利用，加快建立分类投放、分类收集、分类运输、分类处理的生活垃圾管理系统，推进建筑垃圾源头减量，建立建筑垃圾回收利用体系，鼓励、引导农业固体废物回收利用，合理布局提高危险废物集中处置能力，加强危险废物及医疗废物收集、转运、贮存、处置。加强土壤污染源头治理，加快推进土壤污染风险较大企业搬迁改造工作。建立健全土壤环境调查、评估、风险管控、治理修复及效果评估体系，加强土壤环境监测预警，实现主要农产品产地土壤环境动态监控，实行疑似污染地块、污染地块的动态管理，建立和完善污染场地档案。强化污染</w:t>
            </w:r>
            <w:r>
              <w:rPr>
                <w:rFonts w:hint="eastAsia" w:cs="Times New Roman"/>
                <w:snapToGrid w:val="0"/>
                <w:color w:val="auto"/>
                <w:kern w:val="0"/>
                <w:sz w:val="21"/>
                <w:szCs w:val="21"/>
                <w:highlight w:val="none"/>
                <w:lang w:eastAsia="zh-CN"/>
              </w:rPr>
              <w:t>场地</w:t>
            </w:r>
            <w:r>
              <w:rPr>
                <w:rFonts w:hint="default" w:ascii="Times New Roman" w:hAnsi="Times New Roman" w:cs="Times New Roman"/>
                <w:snapToGrid w:val="0"/>
                <w:color w:val="auto"/>
                <w:kern w:val="0"/>
                <w:sz w:val="21"/>
                <w:szCs w:val="21"/>
                <w:highlight w:val="none"/>
              </w:rPr>
              <w:t>开发利用的监督管理，推进污染场地、废弃矿场的修复治理工作。</w:t>
            </w:r>
          </w:p>
        </w:tc>
        <w:tc>
          <w:tcPr>
            <w:tcW w:w="848" w:type="pct"/>
            <w:tcBorders>
              <w:tl2br w:val="nil"/>
              <w:tr2bl w:val="nil"/>
            </w:tcBorders>
            <w:vAlign w:val="center"/>
          </w:tcPr>
          <w:p w14:paraId="14A0E91E">
            <w:pPr>
              <w:pageBreakBefore w:val="0"/>
              <w:widowControl/>
              <w:kinsoku w:val="0"/>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本项目的建</w:t>
            </w:r>
            <w:r>
              <w:rPr>
                <w:rFonts w:hint="eastAsia" w:cs="Times New Roman"/>
                <w:snapToGrid w:val="0"/>
                <w:color w:val="auto"/>
                <w:kern w:val="0"/>
                <w:sz w:val="21"/>
                <w:szCs w:val="21"/>
                <w:highlight w:val="none"/>
                <w:lang w:eastAsia="zh-CN"/>
              </w:rPr>
              <w:t>设将</w:t>
            </w:r>
            <w:r>
              <w:rPr>
                <w:rFonts w:hint="default" w:ascii="Times New Roman" w:hAnsi="Times New Roman" w:cs="Times New Roman"/>
                <w:snapToGrid w:val="0"/>
                <w:color w:val="auto"/>
                <w:kern w:val="0"/>
                <w:sz w:val="21"/>
                <w:szCs w:val="21"/>
                <w:highlight w:val="none"/>
              </w:rPr>
              <w:t>实现低品位铜矿石中有价金属的综合回收利用，变废为宝，有效提高企业经济效益及当地矿产资源综合利用水平，同时增加政府财政收入，解决该区域大量闲置劳动力就业，加快城市发展速度、推动城市型经济的繁荣和发展。</w:t>
            </w:r>
          </w:p>
        </w:tc>
        <w:tc>
          <w:tcPr>
            <w:tcW w:w="498" w:type="pct"/>
            <w:tcBorders>
              <w:tl2br w:val="nil"/>
              <w:tr2bl w:val="nil"/>
            </w:tcBorders>
            <w:vAlign w:val="center"/>
          </w:tcPr>
          <w:p w14:paraId="2E551910">
            <w:pPr>
              <w:pageBreakBefore w:val="0"/>
              <w:widowControl/>
              <w:kinsoku w:val="0"/>
              <w:wordWrap/>
              <w:topLinePunct w:val="0"/>
              <w:autoSpaceDE w:val="0"/>
              <w:autoSpaceDN w:val="0"/>
              <w:bidi w:val="0"/>
              <w:adjustRightInd w:val="0"/>
              <w:snapToGrid w:val="0"/>
              <w:spacing w:line="228"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符合</w:t>
            </w:r>
          </w:p>
        </w:tc>
      </w:tr>
    </w:tbl>
    <w:p w14:paraId="24117ABD">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与《吐鲁番市生态环境保护“十四五”规划》符合性分析</w:t>
      </w:r>
    </w:p>
    <w:p w14:paraId="18426406">
      <w:pPr>
        <w:pageBreakBefore w:val="0"/>
        <w:wordWrap/>
        <w:topLinePunct w:val="0"/>
        <w:bidi w:val="0"/>
        <w:adjustRightInd w:val="0"/>
        <w:snapToGrid w:val="0"/>
        <w:ind w:left="0" w:leftChars="0" w:right="0"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吐鲁番市生态环境保护“十四五”规划》：“优化产业空间布局。严格落实淘汰落后产能政策要求，加快高耗能重污染企业落后产能淘汰。强化“三线一单”对产业布局的约束，加快高耗能重污染行业落后产能淘汰，深入实施低效企业整治出清和低效园区整合提升行动。合理布局新建工业项目，区县建成区内严禁新增工业项目。依托各区县产业发展和布局，推动工业项目向产业园区集中，构建聚焦主业、错位竞争、分布集中的产业发展格局。以吐鲁番经开区、鄯善县工业园区、鄯善县石材园区、托克逊县能源重化工园区为主体，整合区位相邻、相近的园区，对小而散的各类园区进行整合，实行统一管理。完成鄯善县工业园和鄯善县石材工业园合并，鼓励与对口援疆省市探索建立“飞地园区”，持续推进长鄯工业园、湘疆产业园建设，完善“飞地园区”合作共建新机制，打造产业转移示范园。积极引导石化、化工、电力、煤炭等重点产业合理布局；不断严格行业准入、环境准入条件和清洁生产标准，积极推行区域、规划环境影响评价；严格落实高耗能、高污染和资源型行业准入条件，制订严格的产业准入门槛，严禁“三高”项目进吐鲁番，并配套方案落实，打好“退散进园、退污进绿、退低进高、退劣进优”等组合拳。”</w:t>
      </w:r>
    </w:p>
    <w:p w14:paraId="10448EE9">
      <w:pPr>
        <w:pageBreakBefore w:val="0"/>
        <w:wordWrap/>
        <w:topLinePunct w:val="0"/>
        <w:bidi w:val="0"/>
        <w:adjustRightInd w:val="0"/>
        <w:snapToGrid w:val="0"/>
        <w:ind w:left="0" w:leftChars="0" w:right="0"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本项目属于有色金属冶炼项目，项目区主要大气污染物的排放经采取有效措施处理后达标排放；水资源合理利用，危险废物暂存于</w:t>
      </w:r>
      <w:r>
        <w:rPr>
          <w:rFonts w:hint="eastAsia" w:cs="Times New Roman"/>
          <w:bCs/>
          <w:color w:val="auto"/>
          <w:highlight w:val="none"/>
          <w:lang w:eastAsia="zh-CN"/>
        </w:rPr>
        <w:t>危废贮存库</w:t>
      </w:r>
      <w:r>
        <w:rPr>
          <w:rFonts w:hint="default" w:ascii="Times New Roman" w:hAnsi="Times New Roman" w:cs="Times New Roman"/>
          <w:bCs/>
          <w:color w:val="auto"/>
          <w:highlight w:val="none"/>
        </w:rPr>
        <w:t>内，交由有资质的单位处置。本项目符合</w:t>
      </w:r>
      <w:r>
        <w:rPr>
          <w:rFonts w:hint="eastAsia" w:cs="Times New Roman"/>
          <w:bCs/>
          <w:color w:val="auto"/>
          <w:highlight w:val="none"/>
          <w:lang w:eastAsia="zh-CN"/>
        </w:rPr>
        <w:t>“三线一单”</w:t>
      </w:r>
      <w:r>
        <w:rPr>
          <w:rFonts w:hint="default" w:ascii="Times New Roman" w:hAnsi="Times New Roman" w:cs="Times New Roman"/>
          <w:bCs/>
          <w:color w:val="auto"/>
          <w:highlight w:val="none"/>
        </w:rPr>
        <w:t>相关内容，所以本项目符合《吐鲁番市生态环境保护“十四五”规划》中的相关要求。</w:t>
      </w:r>
    </w:p>
    <w:p w14:paraId="5AD3C41A">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与《“十四五”土壤、地下水和农村生态环境保护规划》符合性分析</w:t>
      </w:r>
    </w:p>
    <w:p w14:paraId="3C351ABA">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bookmarkStart w:id="43" w:name="_Hlk150727638"/>
      <w:r>
        <w:rPr>
          <w:rFonts w:hint="default" w:ascii="Times New Roman" w:hAnsi="Times New Roman" w:cs="Times New Roman"/>
          <w:color w:val="auto"/>
          <w:highlight w:val="none"/>
        </w:rPr>
        <w:t>《“十四五”土壤、地下水和农村生态环境保护规划》中规定：“以化工、有色金属行业企业为重点，实施100个土壤污染源头管控项目，开展在产企业</w:t>
      </w:r>
      <w:bookmarkStart w:id="44" w:name="OLE_LINK12"/>
      <w:r>
        <w:rPr>
          <w:rFonts w:hint="default" w:ascii="Times New Roman" w:hAnsi="Times New Roman" w:cs="Times New Roman"/>
          <w:color w:val="auto"/>
          <w:highlight w:val="none"/>
        </w:rPr>
        <w:t>防渗漏</w:t>
      </w:r>
      <w:bookmarkEnd w:id="44"/>
      <w:r>
        <w:rPr>
          <w:rFonts w:hint="default" w:ascii="Times New Roman" w:hAnsi="Times New Roman" w:cs="Times New Roman"/>
          <w:color w:val="auto"/>
          <w:highlight w:val="none"/>
        </w:rPr>
        <w:t>、流失、扬散，重金属减排等提标改造和历史遗留废渣整治。开展化工产业为主导的工业集聚区等地下水污染防渗改造”。</w:t>
      </w:r>
    </w:p>
    <w:p w14:paraId="5451663B">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本项目厂区采取了分区防渗措施，</w:t>
      </w:r>
      <w:r>
        <w:rPr>
          <w:rFonts w:hint="eastAsia" w:cs="Times New Roman"/>
          <w:color w:val="auto"/>
          <w:highlight w:val="none"/>
          <w:lang w:eastAsia="zh-CN"/>
        </w:rPr>
        <w:t>危废贮存库</w:t>
      </w:r>
      <w:r>
        <w:rPr>
          <w:rFonts w:hint="default" w:ascii="Times New Roman" w:hAnsi="Times New Roman" w:cs="Times New Roman"/>
          <w:color w:val="auto"/>
          <w:highlight w:val="none"/>
          <w:lang w:val="en-US" w:eastAsia="zh-CN"/>
        </w:rPr>
        <w:t>及生产线</w:t>
      </w:r>
      <w:r>
        <w:rPr>
          <w:rFonts w:hint="default" w:ascii="Times New Roman" w:hAnsi="Times New Roman" w:cs="Times New Roman"/>
          <w:color w:val="auto"/>
          <w:highlight w:val="none"/>
        </w:rPr>
        <w:t>均为</w:t>
      </w:r>
      <w:r>
        <w:rPr>
          <w:rFonts w:hint="eastAsia"/>
          <w:color w:val="auto"/>
          <w:highlight w:val="none"/>
          <w:lang w:val="en-US" w:eastAsia="zh-CN"/>
        </w:rPr>
        <w:t>防渗漏</w:t>
      </w:r>
      <w:r>
        <w:rPr>
          <w:rFonts w:hint="default" w:ascii="Times New Roman" w:hAnsi="Times New Roman" w:cs="Times New Roman"/>
          <w:color w:val="auto"/>
          <w:highlight w:val="none"/>
        </w:rPr>
        <w:t>防流失，各固体废物运输过程中均采用苫布遮盖，可防扬散，尾矿坝内坡采用500g/m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的土工布进行防渗处理，坝体内坡采用砂砾护坡，外坡根据当地环保部门的要求采用红砖或者喷浆护坡，符合规划要求。</w:t>
      </w:r>
    </w:p>
    <w:bookmarkEnd w:id="43"/>
    <w:p w14:paraId="02249D7A">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cs="Times New Roman"/>
          <w:b/>
          <w:bCs/>
          <w:color w:val="auto"/>
          <w:sz w:val="24"/>
          <w:szCs w:val="24"/>
          <w:highlight w:val="none"/>
          <w:lang w:val="en-US" w:eastAsia="zh-CN"/>
        </w:rPr>
        <w:t>1.3.2.</w:t>
      </w:r>
      <w:r>
        <w:rPr>
          <w:rFonts w:hint="eastAsia" w:cs="Times New Roman"/>
          <w:b/>
          <w:bCs/>
          <w:color w:val="auto"/>
          <w:sz w:val="24"/>
          <w:szCs w:val="24"/>
          <w:highlight w:val="none"/>
          <w:lang w:val="en-US" w:eastAsia="zh-CN"/>
        </w:rPr>
        <w:t>6</w:t>
      </w:r>
      <w:r>
        <w:rPr>
          <w:rFonts w:hint="eastAsia" w:ascii="Times New Roman" w:hAnsi="Times New Roman" w:cs="Times New Roman"/>
          <w:b/>
          <w:bCs/>
          <w:color w:val="auto"/>
          <w:sz w:val="24"/>
          <w:szCs w:val="24"/>
          <w:highlight w:val="none"/>
          <w:lang w:val="en-US" w:eastAsia="zh-CN"/>
        </w:rPr>
        <w:t>与《吐鲁番市国土空间总体规划（2021-2035年）》符合性分析</w:t>
      </w:r>
    </w:p>
    <w:p w14:paraId="78A7F249">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ascii="Times New Roman" w:hAnsi="Times New Roman" w:cs="Times New Roman"/>
          <w:color w:val="auto"/>
          <w:highlight w:val="none"/>
          <w:lang w:val="en-US" w:eastAsia="zh-CN"/>
        </w:rPr>
        <w:t>根据文件</w:t>
      </w:r>
      <w:r>
        <w:rPr>
          <w:rFonts w:hint="eastAsia" w:cs="Times New Roman"/>
          <w:color w:val="auto"/>
          <w:highlight w:val="none"/>
          <w:lang w:val="en-US" w:eastAsia="zh-CN"/>
        </w:rPr>
        <w:t>“5.3明确城镇职能分工构建“综合型、工业型、矿业型、旅游型和农业服务型”的“35448”五类城镇职能。</w:t>
      </w:r>
    </w:p>
    <w:p w14:paraId="3AB43AB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cs="Times New Roman"/>
          <w:color w:val="auto"/>
          <w:highlight w:val="none"/>
          <w:lang w:val="en-US" w:eastAsia="zh-CN"/>
        </w:rPr>
        <w:t>3个综合型乡镇：3个城区，吐鲁番中心城区、鄯善县城、托克逊县城，强化高端现代服务、文化旅游服务、交通物流枢纽功能、支柱产业发展。</w:t>
      </w:r>
    </w:p>
    <w:p w14:paraId="25D9BF31">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cs="Times New Roman"/>
          <w:color w:val="auto"/>
          <w:highlight w:val="none"/>
          <w:lang w:val="en-US" w:eastAsia="zh-CN"/>
        </w:rPr>
        <w:t>5个工业型乡镇：大河沿镇、七泉湖镇、火车站镇、阿乐惠镇、伊拉湖镇，依托现状产业基础，做大做优做特工业。</w:t>
      </w:r>
    </w:p>
    <w:p w14:paraId="20AE61A4">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cs="Times New Roman"/>
          <w:b/>
          <w:bCs/>
          <w:color w:val="auto"/>
          <w:highlight w:val="none"/>
          <w:lang w:val="en-US" w:eastAsia="zh-CN"/>
        </w:rPr>
        <w:t>4个矿业型乡镇：</w:t>
      </w:r>
      <w:r>
        <w:rPr>
          <w:rFonts w:hint="eastAsia" w:cs="Times New Roman"/>
          <w:color w:val="auto"/>
          <w:highlight w:val="none"/>
          <w:lang w:val="en-US" w:eastAsia="zh-CN"/>
        </w:rPr>
        <w:t>黑山镇、库米什镇、七克台镇、</w:t>
      </w:r>
      <w:r>
        <w:rPr>
          <w:rFonts w:hint="eastAsia" w:cs="Times New Roman"/>
          <w:b/>
          <w:bCs/>
          <w:color w:val="auto"/>
          <w:highlight w:val="none"/>
          <w:lang w:val="en-US" w:eastAsia="zh-CN"/>
        </w:rPr>
        <w:t>迪坎镇。</w:t>
      </w:r>
      <w:r>
        <w:rPr>
          <w:rFonts w:hint="eastAsia" w:cs="Times New Roman"/>
          <w:color w:val="auto"/>
          <w:highlight w:val="none"/>
          <w:lang w:val="en-US" w:eastAsia="zh-CN"/>
        </w:rPr>
        <w:t>依托煤石材、金属等矿区，引入矿产初、深加工职能。</w:t>
      </w:r>
    </w:p>
    <w:p w14:paraId="1C2C6067">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cs="Times New Roman"/>
          <w:color w:val="auto"/>
          <w:highlight w:val="none"/>
          <w:lang w:val="en-US" w:eastAsia="zh-CN"/>
        </w:rPr>
        <w:t>4个旅游型乡镇：鲁克沁镇、吐峪沟乡、火焰山镇、克尔碱镇，完善旅游服务设施配套、增强文化体验及休闲旅游的知名度、影响力。</w:t>
      </w:r>
    </w:p>
    <w:p w14:paraId="14D7CA3F">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8个农业服务型乡镇：艾丁湖镇、连木沁镇、恰特喀勒乡、博斯坦镇郭勒布依乡、三堡乡、胜金乡、达朗坎乡、211团，保护好耕地、园地，做大做强名优特农产品，引入农副产品加工企业。”</w:t>
      </w:r>
    </w:p>
    <w:p w14:paraId="39DADF18">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cs="Times New Roman"/>
          <w:color w:val="auto"/>
          <w:highlight w:val="none"/>
          <w:lang w:val="en-US" w:eastAsia="zh-CN"/>
        </w:rPr>
      </w:pPr>
      <w:r>
        <w:rPr>
          <w:rFonts w:hint="default" w:cs="Times New Roman"/>
          <w:color w:val="auto"/>
          <w:highlight w:val="none"/>
          <w:lang w:val="en-US" w:eastAsia="zh-CN"/>
        </w:rPr>
        <w:t>本项目属于铜冶炼项目，</w:t>
      </w:r>
      <w:r>
        <w:rPr>
          <w:rFonts w:hint="eastAsia" w:cs="Times New Roman"/>
          <w:color w:val="auto"/>
          <w:highlight w:val="none"/>
          <w:lang w:val="en-US" w:eastAsia="zh-CN"/>
        </w:rPr>
        <w:t>项目位于迪坎镇</w:t>
      </w:r>
      <w:r>
        <w:rPr>
          <w:rFonts w:hint="default" w:cs="Times New Roman"/>
          <w:color w:val="auto"/>
          <w:highlight w:val="none"/>
          <w:lang w:val="en-US" w:eastAsia="zh-CN"/>
        </w:rPr>
        <w:t>，符合《吐鲁番市国土空间总体规划（2021-2035年）》提出的</w:t>
      </w:r>
      <w:r>
        <w:rPr>
          <w:rFonts w:hint="eastAsia" w:cs="Times New Roman"/>
          <w:color w:val="auto"/>
          <w:highlight w:val="none"/>
          <w:lang w:val="en-US" w:eastAsia="zh-CN"/>
        </w:rPr>
        <w:t>空间布局要求</w:t>
      </w:r>
      <w:r>
        <w:rPr>
          <w:rFonts w:hint="default" w:cs="Times New Roman"/>
          <w:color w:val="auto"/>
          <w:highlight w:val="none"/>
          <w:lang w:val="en-US" w:eastAsia="zh-CN"/>
        </w:rPr>
        <w:t>。</w:t>
      </w:r>
    </w:p>
    <w:p w14:paraId="096CCEF8">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1.3.3与相关规范符合性分析</w:t>
      </w:r>
    </w:p>
    <w:p w14:paraId="2E2BE68A">
      <w:pPr>
        <w:pStyle w:val="5"/>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与</w:t>
      </w:r>
      <w:bookmarkStart w:id="45" w:name="OLE_LINK7"/>
      <w:r>
        <w:rPr>
          <w:rFonts w:hint="default" w:ascii="Times New Roman" w:hAnsi="Times New Roman" w:cs="Times New Roman"/>
          <w:b/>
          <w:bCs/>
          <w:color w:val="auto"/>
          <w:sz w:val="24"/>
          <w:szCs w:val="24"/>
          <w:highlight w:val="none"/>
        </w:rPr>
        <w:t>《铜冶炼行业规范条件》</w:t>
      </w:r>
      <w:bookmarkEnd w:id="45"/>
      <w:r>
        <w:rPr>
          <w:rFonts w:hint="default" w:ascii="Times New Roman" w:hAnsi="Times New Roman" w:cs="Times New Roman"/>
          <w:b/>
          <w:bCs/>
          <w:color w:val="auto"/>
          <w:sz w:val="24"/>
          <w:szCs w:val="24"/>
          <w:highlight w:val="none"/>
        </w:rPr>
        <w:t>的符合性分析</w:t>
      </w:r>
    </w:p>
    <w:p w14:paraId="398EEAFA">
      <w:pPr>
        <w:pStyle w:val="2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val="en-US" w:eastAsia="zh-CN"/>
        </w:rPr>
        <w:t>本项目与工业和信息化部颁布的《铜冶炼行业规范条件》（2019年第35号）见表1.3-3。</w:t>
      </w:r>
    </w:p>
    <w:p w14:paraId="2EA02BD7">
      <w:pPr>
        <w:pStyle w:val="2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1.3</w:t>
      </w:r>
      <w:r>
        <w:rPr>
          <w:rFonts w:hint="default" w:ascii="Times New Roman" w:hAnsi="Times New Roman" w:eastAsia="宋体" w:cs="Times New Roman"/>
          <w:b/>
          <w:bCs w:val="0"/>
          <w:color w:val="auto"/>
          <w:sz w:val="21"/>
          <w:szCs w:val="21"/>
          <w:highlight w:val="none"/>
        </w:rPr>
        <w:t>-</w:t>
      </w:r>
      <w:r>
        <w:rPr>
          <w:rFonts w:hint="default" w:ascii="Times New Roman" w:hAnsi="Times New Roman" w:eastAsia="宋体" w:cs="Times New Roman"/>
          <w:b/>
          <w:bCs w:val="0"/>
          <w:color w:val="auto"/>
          <w:sz w:val="21"/>
          <w:szCs w:val="21"/>
          <w:highlight w:val="none"/>
          <w:lang w:val="en-US" w:eastAsia="zh-CN"/>
        </w:rPr>
        <w:t>3</w:t>
      </w:r>
      <w:r>
        <w:rPr>
          <w:rFonts w:hint="default" w:ascii="Times New Roman" w:hAnsi="Times New Roman" w:eastAsia="宋体" w:cs="Times New Roman"/>
          <w:b/>
          <w:bCs w:val="0"/>
          <w:color w:val="auto"/>
          <w:sz w:val="21"/>
          <w:szCs w:val="21"/>
          <w:highlight w:val="none"/>
        </w:rPr>
        <w:t xml:space="preserve">    本项目与《铜冶炼行业规范条件》的</w:t>
      </w:r>
      <w:r>
        <w:rPr>
          <w:rFonts w:hint="eastAsia" w:eastAsia="宋体" w:cs="Times New Roman"/>
          <w:b/>
          <w:bCs w:val="0"/>
          <w:color w:val="auto"/>
          <w:sz w:val="21"/>
          <w:szCs w:val="21"/>
          <w:highlight w:val="none"/>
          <w:lang w:eastAsia="zh-CN"/>
        </w:rPr>
        <w:t>符合性</w:t>
      </w:r>
      <w:r>
        <w:rPr>
          <w:rFonts w:hint="default" w:ascii="Times New Roman" w:hAnsi="Times New Roman" w:eastAsia="宋体" w:cs="Times New Roman"/>
          <w:b/>
          <w:bCs w:val="0"/>
          <w:color w:val="auto"/>
          <w:sz w:val="21"/>
          <w:szCs w:val="21"/>
          <w:highlight w:val="none"/>
        </w:rPr>
        <w:t>对照表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02"/>
        <w:gridCol w:w="3703"/>
        <w:gridCol w:w="2956"/>
        <w:gridCol w:w="909"/>
      </w:tblGrid>
      <w:tr w14:paraId="5A612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79" w:type="pct"/>
            <w:tcBorders>
              <w:tl2br w:val="nil"/>
              <w:tr2bl w:val="nil"/>
            </w:tcBorders>
            <w:noWrap w:val="0"/>
            <w:vAlign w:val="center"/>
          </w:tcPr>
          <w:p w14:paraId="01CC8FA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392" w:type="pct"/>
            <w:tcBorders>
              <w:tl2br w:val="nil"/>
              <w:tr2bl w:val="nil"/>
            </w:tcBorders>
            <w:noWrap w:val="0"/>
            <w:vAlign w:val="center"/>
          </w:tcPr>
          <w:p w14:paraId="6B760847">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2069" w:type="pct"/>
            <w:tcBorders>
              <w:tl2br w:val="nil"/>
              <w:tr2bl w:val="nil"/>
            </w:tcBorders>
            <w:noWrap w:val="0"/>
            <w:vAlign w:val="center"/>
          </w:tcPr>
          <w:p w14:paraId="5E333E6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《铜冶炼行业规范条件》</w:t>
            </w:r>
          </w:p>
        </w:tc>
        <w:tc>
          <w:tcPr>
            <w:tcW w:w="1652" w:type="pct"/>
            <w:tcBorders>
              <w:tl2br w:val="nil"/>
              <w:tr2bl w:val="nil"/>
            </w:tcBorders>
            <w:noWrap w:val="0"/>
            <w:vAlign w:val="center"/>
          </w:tcPr>
          <w:p w14:paraId="032A0E6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本项目执行情况</w:t>
            </w:r>
          </w:p>
        </w:tc>
        <w:tc>
          <w:tcPr>
            <w:tcW w:w="505" w:type="pct"/>
            <w:tcBorders>
              <w:tl2br w:val="nil"/>
              <w:tr2bl w:val="nil"/>
            </w:tcBorders>
            <w:noWrap w:val="0"/>
            <w:vAlign w:val="center"/>
          </w:tcPr>
          <w:p w14:paraId="327E86B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符合性</w:t>
            </w:r>
          </w:p>
        </w:tc>
      </w:tr>
      <w:tr w14:paraId="6D4AE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l2br w:val="nil"/>
              <w:tr2bl w:val="nil"/>
            </w:tcBorders>
            <w:noWrap w:val="0"/>
            <w:vAlign w:val="center"/>
          </w:tcPr>
          <w:p w14:paraId="192FF74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一、企业布局</w:t>
            </w:r>
          </w:p>
        </w:tc>
      </w:tr>
      <w:tr w14:paraId="45EB5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5F428DE0">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92" w:type="pct"/>
            <w:tcBorders>
              <w:tl2br w:val="nil"/>
              <w:tr2bl w:val="nil"/>
            </w:tcBorders>
            <w:noWrap w:val="0"/>
            <w:vAlign w:val="center"/>
          </w:tcPr>
          <w:p w14:paraId="1F76684E">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企业布局</w:t>
            </w:r>
          </w:p>
        </w:tc>
        <w:tc>
          <w:tcPr>
            <w:tcW w:w="2069" w:type="pct"/>
            <w:tcBorders>
              <w:tl2br w:val="nil"/>
              <w:tr2bl w:val="nil"/>
            </w:tcBorders>
            <w:noWrap w:val="0"/>
            <w:vAlign w:val="center"/>
          </w:tcPr>
          <w:p w14:paraId="7D25263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铜冶炼项目须符合国家及地方产业政策、土地利用总体规划、主体功能区规划、环保及节能法律法规和政策、安全生产法律法规和政策、行业发展规划等要求。</w:t>
            </w:r>
          </w:p>
        </w:tc>
        <w:tc>
          <w:tcPr>
            <w:tcW w:w="1652" w:type="pct"/>
            <w:tcBorders>
              <w:tl2br w:val="nil"/>
              <w:tr2bl w:val="nil"/>
            </w:tcBorders>
            <w:noWrap w:val="0"/>
            <w:vAlign w:val="center"/>
          </w:tcPr>
          <w:p w14:paraId="14CD1F7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本项目符合国家产业政策，选址在</w:t>
            </w:r>
            <w:r>
              <w:rPr>
                <w:rFonts w:hint="default" w:ascii="Times New Roman" w:hAnsi="Times New Roman" w:cs="Times New Roman"/>
                <w:color w:val="auto"/>
                <w:sz w:val="21"/>
                <w:szCs w:val="21"/>
                <w:highlight w:val="none"/>
                <w:lang w:val="en-US" w:eastAsia="zh-CN"/>
              </w:rPr>
              <w:t>鄯善县厚旺铜矿有限责任公司现有厂区内</w:t>
            </w:r>
            <w:r>
              <w:rPr>
                <w:rFonts w:hint="default" w:ascii="Times New Roman" w:hAnsi="Times New Roman" w:cs="Times New Roman"/>
                <w:color w:val="auto"/>
                <w:sz w:val="21"/>
                <w:szCs w:val="21"/>
                <w:highlight w:val="none"/>
              </w:rPr>
              <w:t>，无自然保护区、风景名胜区等需要特殊保护的区域，项目符合相关产业政策及规划。</w:t>
            </w:r>
          </w:p>
        </w:tc>
        <w:tc>
          <w:tcPr>
            <w:tcW w:w="505" w:type="pct"/>
            <w:tcBorders>
              <w:tl2br w:val="nil"/>
              <w:tr2bl w:val="nil"/>
            </w:tcBorders>
            <w:noWrap w:val="0"/>
            <w:vAlign w:val="center"/>
          </w:tcPr>
          <w:p w14:paraId="31958C73">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DBA8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l2br w:val="nil"/>
              <w:tr2bl w:val="nil"/>
            </w:tcBorders>
            <w:noWrap w:val="0"/>
            <w:vAlign w:val="center"/>
          </w:tcPr>
          <w:p w14:paraId="4F5BB04A">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二、质量、工艺和装备</w:t>
            </w:r>
          </w:p>
        </w:tc>
      </w:tr>
      <w:tr w14:paraId="0058B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038A661A">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92" w:type="pct"/>
            <w:tcBorders>
              <w:tl2br w:val="nil"/>
              <w:tr2bl w:val="nil"/>
            </w:tcBorders>
            <w:noWrap w:val="0"/>
            <w:vAlign w:val="center"/>
          </w:tcPr>
          <w:p w14:paraId="1C8FF83E">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质量</w:t>
            </w:r>
          </w:p>
        </w:tc>
        <w:tc>
          <w:tcPr>
            <w:tcW w:w="2069" w:type="pct"/>
            <w:tcBorders>
              <w:tl2br w:val="nil"/>
              <w:tr2bl w:val="nil"/>
            </w:tcBorders>
            <w:noWrap w:val="0"/>
            <w:vAlign w:val="center"/>
          </w:tcPr>
          <w:p w14:paraId="17615A22">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铜冶炼企业应建立、实施并保持满足GB/T19001要求的质量管理体系，并鼓励通过质量管理体系第三方认证。阴极铜符合国家标准（GB/T467），其他产品质量符合国家或行业相应标准。</w:t>
            </w:r>
          </w:p>
        </w:tc>
        <w:tc>
          <w:tcPr>
            <w:tcW w:w="1652" w:type="pct"/>
            <w:tcBorders>
              <w:tl2br w:val="nil"/>
              <w:tr2bl w:val="nil"/>
            </w:tcBorders>
            <w:noWrap w:val="0"/>
            <w:vAlign w:val="center"/>
          </w:tcPr>
          <w:p w14:paraId="32D88FB0">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本项目生产的阴极铜符合《阴极铜》</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GB/T467-2010</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w:t>
            </w:r>
          </w:p>
        </w:tc>
        <w:tc>
          <w:tcPr>
            <w:tcW w:w="505" w:type="pct"/>
            <w:tcBorders>
              <w:tl2br w:val="nil"/>
              <w:tr2bl w:val="nil"/>
            </w:tcBorders>
            <w:noWrap w:val="0"/>
            <w:vAlign w:val="center"/>
          </w:tcPr>
          <w:p w14:paraId="213036D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9859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44969CD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392" w:type="pct"/>
            <w:tcBorders>
              <w:tl2br w:val="nil"/>
              <w:tr2bl w:val="nil"/>
            </w:tcBorders>
            <w:noWrap w:val="0"/>
            <w:vAlign w:val="center"/>
          </w:tcPr>
          <w:p w14:paraId="49301AF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工艺技术</w:t>
            </w:r>
          </w:p>
          <w:p w14:paraId="610F0412">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和装备</w:t>
            </w:r>
          </w:p>
        </w:tc>
        <w:tc>
          <w:tcPr>
            <w:tcW w:w="2069" w:type="pct"/>
            <w:tcBorders>
              <w:tl2br w:val="nil"/>
              <w:tr2bl w:val="nil"/>
            </w:tcBorders>
            <w:noWrap w:val="0"/>
            <w:vAlign w:val="center"/>
          </w:tcPr>
          <w:p w14:paraId="561AB84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利用铜精矿的铜冶炼企业，应采用生产效率高、工艺先进、能耗低、环保达标、资源综合利用效果好、安全可靠的闪速熔炼和富氧强化熔池熔炼等先进工艺（如</w:t>
            </w:r>
            <w:r>
              <w:rPr>
                <w:rFonts w:hint="default" w:ascii="Times New Roman" w:hAnsi="Times New Roman" w:cs="Times New Roman"/>
                <w:color w:val="auto"/>
                <w:sz w:val="21"/>
                <w:szCs w:val="21"/>
                <w:highlight w:val="none"/>
                <w:lang w:eastAsia="zh-CN"/>
              </w:rPr>
              <w:t>悬浮</w:t>
            </w:r>
            <w:r>
              <w:rPr>
                <w:rFonts w:hint="default" w:ascii="Times New Roman" w:hAnsi="Times New Roman" w:cs="Times New Roman"/>
                <w:color w:val="auto"/>
                <w:sz w:val="21"/>
                <w:szCs w:val="21"/>
                <w:highlight w:val="none"/>
              </w:rPr>
              <w:t>铜熔炼、合成炉熔炼、富氧底吹、富氧侧吹、富氧顶吹、白银炉熔炼等工艺），不得采用国家明令禁止或淘汰的设备、工艺。</w:t>
            </w:r>
          </w:p>
        </w:tc>
        <w:tc>
          <w:tcPr>
            <w:tcW w:w="1652" w:type="pct"/>
            <w:tcBorders>
              <w:tl2br w:val="nil"/>
              <w:tr2bl w:val="nil"/>
            </w:tcBorders>
            <w:noWrap w:val="0"/>
            <w:vAlign w:val="center"/>
          </w:tcPr>
          <w:p w14:paraId="7535A2A9">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本项目利用低品位氧化铜矿，不涉及利用铜精矿</w:t>
            </w:r>
            <w:r>
              <w:rPr>
                <w:rFonts w:hint="eastAsia" w:cs="Times New Roman"/>
                <w:color w:val="auto"/>
                <w:sz w:val="21"/>
                <w:szCs w:val="21"/>
                <w:highlight w:val="none"/>
                <w:lang w:eastAsia="zh-CN"/>
              </w:rPr>
              <w:t>。</w:t>
            </w:r>
          </w:p>
        </w:tc>
        <w:tc>
          <w:tcPr>
            <w:tcW w:w="505" w:type="pct"/>
            <w:tcBorders>
              <w:tl2br w:val="nil"/>
              <w:tr2bl w:val="nil"/>
            </w:tcBorders>
            <w:noWrap w:val="0"/>
            <w:vAlign w:val="center"/>
          </w:tcPr>
          <w:p w14:paraId="5E758E75">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4470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l2br w:val="nil"/>
              <w:tr2bl w:val="nil"/>
            </w:tcBorders>
            <w:noWrap w:val="0"/>
            <w:vAlign w:val="center"/>
          </w:tcPr>
          <w:p w14:paraId="06D6BFD5">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三</w:t>
            </w:r>
            <w:r>
              <w:rPr>
                <w:rFonts w:hint="default" w:ascii="Times New Roman" w:hAnsi="Times New Roman" w:cs="Times New Roman"/>
                <w:color w:val="auto"/>
                <w:sz w:val="21"/>
                <w:szCs w:val="21"/>
                <w:highlight w:val="none"/>
              </w:rPr>
              <w:t>、资源综合利用</w:t>
            </w:r>
          </w:p>
        </w:tc>
      </w:tr>
      <w:tr w14:paraId="1D3FB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58D410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1</w:t>
            </w:r>
          </w:p>
        </w:tc>
        <w:tc>
          <w:tcPr>
            <w:tcW w:w="392" w:type="pct"/>
            <w:tcBorders>
              <w:tl2br w:val="nil"/>
              <w:tr2bl w:val="nil"/>
            </w:tcBorders>
            <w:noWrap w:val="0"/>
            <w:vAlign w:val="center"/>
          </w:tcPr>
          <w:p w14:paraId="606546C7">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水资源</w:t>
            </w:r>
          </w:p>
        </w:tc>
        <w:tc>
          <w:tcPr>
            <w:tcW w:w="2069" w:type="pct"/>
            <w:tcBorders>
              <w:tl2br w:val="nil"/>
              <w:tr2bl w:val="nil"/>
            </w:tcBorders>
            <w:noWrap w:val="0"/>
            <w:vAlign w:val="center"/>
          </w:tcPr>
          <w:p w14:paraId="1F0CD13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铜冶炼企业应具备生产废水回用系统，含重金属废水及其他外排废水须达标排放，排水量须达到国家相关标准的单位产品基准排水量等要求。利用含铜二次资源的铜冶炼企业的水循环利用率应达到98%以上。</w:t>
            </w:r>
          </w:p>
        </w:tc>
        <w:tc>
          <w:tcPr>
            <w:tcW w:w="1652" w:type="pct"/>
            <w:tcBorders>
              <w:tl2br w:val="nil"/>
              <w:tr2bl w:val="nil"/>
            </w:tcBorders>
            <w:noWrap w:val="0"/>
            <w:vAlign w:val="center"/>
          </w:tcPr>
          <w:p w14:paraId="1BF8C6B4">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运行</w:t>
            </w:r>
            <w:r>
              <w:rPr>
                <w:rFonts w:hint="default" w:ascii="Times New Roman" w:hAnsi="Times New Roman" w:cs="Times New Roman"/>
                <w:color w:val="auto"/>
                <w:sz w:val="21"/>
                <w:szCs w:val="21"/>
                <w:highlight w:val="none"/>
              </w:rPr>
              <w:t>过程用水循环率100%</w:t>
            </w:r>
            <w:r>
              <w:rPr>
                <w:rFonts w:hint="default" w:ascii="Times New Roman" w:hAnsi="Times New Roman" w:cs="Times New Roman"/>
                <w:color w:val="auto"/>
                <w:sz w:val="21"/>
                <w:szCs w:val="21"/>
                <w:highlight w:val="none"/>
                <w:lang w:eastAsia="zh-CN"/>
              </w:rPr>
              <w:t>。</w:t>
            </w:r>
          </w:p>
        </w:tc>
        <w:tc>
          <w:tcPr>
            <w:tcW w:w="505" w:type="pct"/>
            <w:tcBorders>
              <w:tl2br w:val="nil"/>
              <w:tr2bl w:val="nil"/>
            </w:tcBorders>
            <w:noWrap w:val="0"/>
            <w:vAlign w:val="center"/>
          </w:tcPr>
          <w:p w14:paraId="365BE11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49FD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66EE5B8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2</w:t>
            </w:r>
          </w:p>
        </w:tc>
        <w:tc>
          <w:tcPr>
            <w:tcW w:w="392" w:type="pct"/>
            <w:tcBorders>
              <w:tl2br w:val="nil"/>
              <w:tr2bl w:val="nil"/>
            </w:tcBorders>
            <w:noWrap w:val="0"/>
            <w:vAlign w:val="center"/>
          </w:tcPr>
          <w:p w14:paraId="4E372194">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2069" w:type="pct"/>
            <w:tcBorders>
              <w:tl2br w:val="nil"/>
              <w:tr2bl w:val="nil"/>
            </w:tcBorders>
            <w:noWrap w:val="0"/>
            <w:vAlign w:val="center"/>
          </w:tcPr>
          <w:p w14:paraId="3498798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铜冶炼企业应加大对铜冶炼渣的资源综合利用力度，有效提高冶炼过程中产生的废弃物的资源利用效率。</w:t>
            </w:r>
          </w:p>
        </w:tc>
        <w:tc>
          <w:tcPr>
            <w:tcW w:w="1652" w:type="pct"/>
            <w:tcBorders>
              <w:tl2br w:val="nil"/>
              <w:tr2bl w:val="nil"/>
            </w:tcBorders>
            <w:noWrap w:val="0"/>
            <w:vAlign w:val="center"/>
          </w:tcPr>
          <w:p w14:paraId="4DDC14A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项目矿渣定期外售给下游企业，未出售矿渣到企业现尾矿库堆放。</w:t>
            </w:r>
          </w:p>
        </w:tc>
        <w:tc>
          <w:tcPr>
            <w:tcW w:w="505" w:type="pct"/>
            <w:tcBorders>
              <w:tl2br w:val="nil"/>
              <w:tr2bl w:val="nil"/>
            </w:tcBorders>
            <w:noWrap w:val="0"/>
            <w:vAlign w:val="center"/>
          </w:tcPr>
          <w:p w14:paraId="46A8F82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7FBD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l2br w:val="nil"/>
              <w:tr2bl w:val="nil"/>
            </w:tcBorders>
            <w:noWrap w:val="0"/>
            <w:vAlign w:val="center"/>
          </w:tcPr>
          <w:p w14:paraId="40AD1A8A">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四、环境保护</w:t>
            </w:r>
          </w:p>
        </w:tc>
      </w:tr>
      <w:tr w14:paraId="06C06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1F3751D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92" w:type="pct"/>
            <w:tcBorders>
              <w:tl2br w:val="nil"/>
              <w:tr2bl w:val="nil"/>
            </w:tcBorders>
            <w:noWrap w:val="0"/>
            <w:vAlign w:val="center"/>
          </w:tcPr>
          <w:p w14:paraId="56CC8AA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法律规定</w:t>
            </w:r>
          </w:p>
        </w:tc>
        <w:tc>
          <w:tcPr>
            <w:tcW w:w="2069" w:type="pct"/>
            <w:tcBorders>
              <w:tl2br w:val="nil"/>
              <w:tr2bl w:val="nil"/>
            </w:tcBorders>
            <w:noWrap w:val="0"/>
            <w:vAlign w:val="center"/>
          </w:tcPr>
          <w:p w14:paraId="6305AFF7">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铜冶炼企业必须遵守环境保护相关</w:t>
            </w:r>
            <w:r>
              <w:rPr>
                <w:rFonts w:hint="eastAsia" w:cs="Times New Roman"/>
                <w:color w:val="auto"/>
                <w:sz w:val="21"/>
                <w:szCs w:val="21"/>
                <w:highlight w:val="none"/>
                <w:lang w:eastAsia="zh-CN"/>
              </w:rPr>
              <w:t>法律法规</w:t>
            </w:r>
            <w:r>
              <w:rPr>
                <w:rFonts w:hint="default" w:ascii="Times New Roman" w:hAnsi="Times New Roman" w:cs="Times New Roman"/>
                <w:color w:val="auto"/>
                <w:sz w:val="21"/>
                <w:szCs w:val="21"/>
                <w:highlight w:val="none"/>
              </w:rPr>
              <w:t>和政策，应建立、实施并保持满足GB/T24001要求的环境管理体系，并鼓励通过环境管理体系第三方认证。</w:t>
            </w:r>
          </w:p>
        </w:tc>
        <w:tc>
          <w:tcPr>
            <w:tcW w:w="1652" w:type="pct"/>
            <w:tcBorders>
              <w:tl2br w:val="nil"/>
              <w:tr2bl w:val="nil"/>
            </w:tcBorders>
            <w:noWrap w:val="0"/>
            <w:vAlign w:val="center"/>
          </w:tcPr>
          <w:p w14:paraId="35C559F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本项目执行环境影响评价制度，同时企业建立了健全的企业环境管理机构，并制定有效的企业环境管理制度；后期按要求办理排污许可证和竣工环保验收。</w:t>
            </w:r>
          </w:p>
        </w:tc>
        <w:tc>
          <w:tcPr>
            <w:tcW w:w="505" w:type="pct"/>
            <w:tcBorders>
              <w:tl2br w:val="nil"/>
              <w:tr2bl w:val="nil"/>
            </w:tcBorders>
            <w:noWrap w:val="0"/>
            <w:vAlign w:val="center"/>
          </w:tcPr>
          <w:p w14:paraId="303AE81B">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B104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67CBFCC3">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392" w:type="pct"/>
            <w:tcBorders>
              <w:tl2br w:val="nil"/>
              <w:tr2bl w:val="nil"/>
            </w:tcBorders>
            <w:noWrap w:val="0"/>
            <w:vAlign w:val="center"/>
          </w:tcPr>
          <w:p w14:paraId="594F862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w:t>
            </w:r>
          </w:p>
        </w:tc>
        <w:tc>
          <w:tcPr>
            <w:tcW w:w="2069" w:type="pct"/>
            <w:tcBorders>
              <w:tl2br w:val="nil"/>
              <w:tr2bl w:val="nil"/>
            </w:tcBorders>
            <w:noWrap w:val="0"/>
            <w:vAlign w:val="center"/>
          </w:tcPr>
          <w:p w14:paraId="5FB3D3D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铜冶炼企业须</w:t>
            </w:r>
            <w:r>
              <w:rPr>
                <w:rFonts w:hint="default" w:ascii="Times New Roman" w:hAnsi="Times New Roman" w:cs="Times New Roman"/>
                <w:color w:val="auto"/>
                <w:kern w:val="0"/>
                <w:sz w:val="21"/>
                <w:szCs w:val="21"/>
                <w:highlight w:val="none"/>
                <w:lang w:eastAsia="zh-CN"/>
              </w:rPr>
              <w:t>按照</w:t>
            </w:r>
            <w:r>
              <w:rPr>
                <w:rFonts w:hint="default" w:ascii="Times New Roman" w:hAnsi="Times New Roman" w:cs="Times New Roman"/>
                <w:color w:val="auto"/>
                <w:kern w:val="0"/>
                <w:sz w:val="21"/>
                <w:szCs w:val="21"/>
                <w:highlight w:val="none"/>
              </w:rPr>
              <w:t>《排污单位自行监测技术指南 有色金属冶炼》（HJ 989）等相关标</w:t>
            </w:r>
            <w:r>
              <w:rPr>
                <w:rFonts w:hint="eastAsia" w:cs="Times New Roman"/>
                <w:color w:val="auto"/>
                <w:kern w:val="0"/>
                <w:sz w:val="21"/>
                <w:szCs w:val="21"/>
                <w:highlight w:val="none"/>
                <w:lang w:eastAsia="zh-CN"/>
              </w:rPr>
              <w:t>准和</w:t>
            </w:r>
            <w:r>
              <w:rPr>
                <w:rFonts w:hint="default" w:ascii="Times New Roman" w:hAnsi="Times New Roman" w:cs="Times New Roman"/>
                <w:color w:val="auto"/>
                <w:kern w:val="0"/>
                <w:sz w:val="21"/>
                <w:szCs w:val="21"/>
                <w:highlight w:val="none"/>
              </w:rPr>
              <w:t>规范开展自行监测，具备完善配套的污染物在线监测设施并与生态环境主管部门指定的监管机构联网运行，鼓励开展厂内降尘监测；须按规定取得排污许可证后，方可排放污染物，并在生产经营中严格落实排污许可证规定的环境管理要求。</w:t>
            </w:r>
          </w:p>
        </w:tc>
        <w:tc>
          <w:tcPr>
            <w:tcW w:w="1652" w:type="pct"/>
            <w:tcBorders>
              <w:tl2br w:val="nil"/>
              <w:tr2bl w:val="nil"/>
            </w:tcBorders>
            <w:noWrap w:val="0"/>
            <w:vAlign w:val="center"/>
          </w:tcPr>
          <w:p w14:paraId="7F69E074">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本次环评要求建设单位在运营期间应按《排污单位自行监测技术指南 有色金属冶炼》（HJ989）要求开展自行监测。</w:t>
            </w:r>
          </w:p>
        </w:tc>
        <w:tc>
          <w:tcPr>
            <w:tcW w:w="505" w:type="pct"/>
            <w:tcBorders>
              <w:tl2br w:val="nil"/>
              <w:tr2bl w:val="nil"/>
            </w:tcBorders>
            <w:noWrap w:val="0"/>
            <w:vAlign w:val="center"/>
          </w:tcPr>
          <w:p w14:paraId="519CC93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F8A1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07ACD4EB">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392" w:type="pct"/>
            <w:tcBorders>
              <w:tl2br w:val="nil"/>
              <w:tr2bl w:val="nil"/>
            </w:tcBorders>
            <w:noWrap w:val="0"/>
            <w:vAlign w:val="center"/>
          </w:tcPr>
          <w:p w14:paraId="4E9CF7F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w:t>
            </w:r>
          </w:p>
        </w:tc>
        <w:tc>
          <w:tcPr>
            <w:tcW w:w="2069" w:type="pct"/>
            <w:tcBorders>
              <w:tl2br w:val="nil"/>
              <w:tr2bl w:val="nil"/>
            </w:tcBorders>
            <w:noWrap w:val="0"/>
            <w:vAlign w:val="center"/>
          </w:tcPr>
          <w:p w14:paraId="18E5BE7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铜冶炼企业须完善清污分流和雨污分流设施，治理设施齐备，运行维护记录齐全，污染防治设施与主体生产设施同步运行，化学需氧量、氨氮、二氧化硫、氮氧化物、颗粒物、重金属、二噁英等污染物排放不得超过国家或地方的相关污染物排放标准，排放总量不超过生态环境主管部门核定的总量控制指标，实施特别排放地区的企业应达到排放限值要求，鼓励未在特别排放限值地区的铜冶炼企业执行相关特别排放限值标准（要求）。</w:t>
            </w:r>
          </w:p>
        </w:tc>
        <w:tc>
          <w:tcPr>
            <w:tcW w:w="1652" w:type="pct"/>
            <w:tcBorders>
              <w:tl2br w:val="nil"/>
              <w:tr2bl w:val="nil"/>
            </w:tcBorders>
            <w:noWrap w:val="0"/>
            <w:vAlign w:val="center"/>
          </w:tcPr>
          <w:p w14:paraId="17428D0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本项目废气均经处理后排放，排放总量可满足生态环境主管部门的要求。</w:t>
            </w:r>
          </w:p>
        </w:tc>
        <w:tc>
          <w:tcPr>
            <w:tcW w:w="505" w:type="pct"/>
            <w:tcBorders>
              <w:tl2br w:val="nil"/>
              <w:tr2bl w:val="nil"/>
            </w:tcBorders>
            <w:noWrap w:val="0"/>
            <w:vAlign w:val="center"/>
          </w:tcPr>
          <w:p w14:paraId="73D0E2A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1567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095EDB0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392" w:type="pct"/>
            <w:tcBorders>
              <w:tl2br w:val="nil"/>
              <w:tr2bl w:val="nil"/>
            </w:tcBorders>
            <w:noWrap w:val="0"/>
            <w:vAlign w:val="center"/>
          </w:tcPr>
          <w:p w14:paraId="1B8881A5">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固废处置</w:t>
            </w:r>
          </w:p>
        </w:tc>
        <w:tc>
          <w:tcPr>
            <w:tcW w:w="2069" w:type="pct"/>
            <w:tcBorders>
              <w:tl2br w:val="nil"/>
              <w:tr2bl w:val="nil"/>
            </w:tcBorders>
            <w:noWrap w:val="0"/>
            <w:vAlign w:val="center"/>
          </w:tcPr>
          <w:p w14:paraId="471B64F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铜冶炼企业的固体废物贮存、利用、处置应当符合国家有关标准规范的要求，严格执行危险废物管理计划、申报登记、转移联单、经营许可等管理制度，并应通过全国固体废物管理信息系统如实填报固体废物产生、贮存、转移、利用、处置的相关信息。</w:t>
            </w:r>
          </w:p>
        </w:tc>
        <w:tc>
          <w:tcPr>
            <w:tcW w:w="1652" w:type="pct"/>
            <w:tcBorders>
              <w:tl2br w:val="nil"/>
              <w:tr2bl w:val="nil"/>
            </w:tcBorders>
            <w:noWrap w:val="0"/>
            <w:vAlign w:val="center"/>
          </w:tcPr>
          <w:p w14:paraId="1C5B0415">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rPr>
              <w:t>危险废物暂存于</w:t>
            </w:r>
            <w:r>
              <w:rPr>
                <w:rFonts w:hint="eastAsia" w:cs="Times New Roman"/>
                <w:color w:val="auto"/>
                <w:sz w:val="21"/>
                <w:szCs w:val="21"/>
                <w:highlight w:val="none"/>
                <w:lang w:eastAsia="zh-CN"/>
              </w:rPr>
              <w:t>危废贮存库</w:t>
            </w:r>
            <w:r>
              <w:rPr>
                <w:rFonts w:hint="default" w:ascii="Times New Roman" w:hAnsi="Times New Roman" w:cs="Times New Roman"/>
                <w:color w:val="auto"/>
                <w:sz w:val="21"/>
                <w:szCs w:val="21"/>
                <w:highlight w:val="none"/>
              </w:rPr>
              <w:t>内，</w:t>
            </w:r>
            <w:r>
              <w:rPr>
                <w:rFonts w:hint="eastAsia" w:cs="Times New Roman"/>
                <w:color w:val="auto"/>
                <w:sz w:val="21"/>
                <w:szCs w:val="21"/>
                <w:highlight w:val="none"/>
                <w:lang w:val="en-US" w:eastAsia="zh-CN"/>
              </w:rPr>
              <w:t>定期</w:t>
            </w:r>
            <w:r>
              <w:rPr>
                <w:rFonts w:hint="default" w:ascii="Times New Roman" w:hAnsi="Times New Roman" w:cs="Times New Roman"/>
                <w:color w:val="auto"/>
                <w:sz w:val="21"/>
                <w:szCs w:val="21"/>
                <w:highlight w:val="none"/>
              </w:rPr>
              <w:t>交由有资质的单位处置</w:t>
            </w:r>
            <w:r>
              <w:rPr>
                <w:rFonts w:hint="eastAsia"/>
                <w:color w:val="auto"/>
                <w:lang w:eastAsia="zh-CN"/>
              </w:rPr>
              <w:t>，</w:t>
            </w:r>
            <w:r>
              <w:rPr>
                <w:rFonts w:hint="eastAsia"/>
                <w:color w:val="auto"/>
                <w:lang w:val="en-US" w:eastAsia="zh-CN"/>
              </w:rPr>
              <w:t>危险废物管理按要求管理。项目矿渣定期外售给下游企业，未出售矿渣到企业现尾矿库堆放。</w:t>
            </w:r>
          </w:p>
        </w:tc>
        <w:tc>
          <w:tcPr>
            <w:tcW w:w="505" w:type="pct"/>
            <w:tcBorders>
              <w:tl2br w:val="nil"/>
              <w:tr2bl w:val="nil"/>
            </w:tcBorders>
            <w:noWrap w:val="0"/>
            <w:vAlign w:val="center"/>
          </w:tcPr>
          <w:p w14:paraId="7AF89EBB">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24334DE1">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与《关于进一步加强重金属污染防控的意见》要求的符合性分析</w:t>
      </w:r>
    </w:p>
    <w:p w14:paraId="164ECC7E">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根据《关于进一步加强重金属污染防控的意见》（环固体〔2022〕17号）：</w:t>
      </w:r>
    </w:p>
    <w:p w14:paraId="15A83997">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重点防控的重金属污染物是铅、汞、镉、铬、砷、铊和锑，并对铅、汞、镉、铬和砷五种重点重金属污染物排放量实施总量控制。</w:t>
      </w:r>
    </w:p>
    <w:p w14:paraId="0E667698">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严格重点行业企业准入管理。新、改、扩建重点行业建设项目应符合“三线一单”、产业政策、区域环评、规划环评和行业环境准入管控要求。重点区域的新、改、扩建重点行业建设项目应遵循重点重金属污染物排放“减量替代”原则，减量替代比例不低于1.2</w:t>
      </w:r>
      <w:r>
        <w:rPr>
          <w:rFonts w:hint="eastAsia" w:cs="Times New Roman"/>
          <w:color w:val="auto"/>
          <w:highlight w:val="none"/>
          <w:lang w:eastAsia="zh-CN"/>
        </w:rPr>
        <w:t>:</w:t>
      </w:r>
      <w:r>
        <w:rPr>
          <w:rFonts w:hint="default" w:ascii="Times New Roman" w:hAnsi="Times New Roman" w:cs="Times New Roman"/>
          <w:color w:val="auto"/>
          <w:highlight w:val="none"/>
        </w:rPr>
        <w:t>1；其他区域遵循“等量替代”原则。</w:t>
      </w:r>
    </w:p>
    <w:p w14:paraId="415B416E">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本项目为低品位铜矿</w:t>
      </w:r>
      <w:r>
        <w:rPr>
          <w:rFonts w:hint="eastAsia" w:cs="Times New Roman"/>
          <w:color w:val="auto"/>
          <w:highlight w:val="none"/>
          <w:lang w:val="en-US" w:eastAsia="zh-CN"/>
        </w:rPr>
        <w:t>湿法</w:t>
      </w:r>
      <w:r>
        <w:rPr>
          <w:rFonts w:hint="default" w:ascii="Times New Roman" w:hAnsi="Times New Roman" w:cs="Times New Roman"/>
          <w:color w:val="auto"/>
          <w:highlight w:val="none"/>
        </w:rPr>
        <w:t>冶炼</w:t>
      </w:r>
      <w:r>
        <w:rPr>
          <w:rFonts w:hint="eastAsia" w:cs="Times New Roman"/>
          <w:color w:val="auto"/>
          <w:highlight w:val="none"/>
          <w:lang w:eastAsia="zh-CN"/>
        </w:rPr>
        <w:t>，</w:t>
      </w:r>
      <w:r>
        <w:rPr>
          <w:rFonts w:hint="default" w:ascii="Times New Roman" w:hAnsi="Times New Roman" w:cs="Times New Roman"/>
          <w:color w:val="auto"/>
          <w:highlight w:val="none"/>
        </w:rPr>
        <w:t>项目排放废气</w:t>
      </w:r>
      <w:r>
        <w:rPr>
          <w:rFonts w:hint="eastAsia" w:cs="Times New Roman"/>
          <w:color w:val="auto"/>
          <w:highlight w:val="none"/>
          <w:lang w:val="en-US" w:eastAsia="zh-CN"/>
        </w:rPr>
        <w:t>不涉及</w:t>
      </w:r>
      <w:r>
        <w:rPr>
          <w:rFonts w:hint="default" w:ascii="Times New Roman" w:hAnsi="Times New Roman" w:cs="Times New Roman"/>
          <w:color w:val="auto"/>
          <w:highlight w:val="none"/>
        </w:rPr>
        <w:t>“意见”中提到的重点防控的重金属污染物</w:t>
      </w:r>
      <w:r>
        <w:rPr>
          <w:rFonts w:hint="eastAsia" w:cs="Times New Roman"/>
          <w:color w:val="auto"/>
          <w:highlight w:val="none"/>
          <w:lang w:eastAsia="zh-CN"/>
        </w:rPr>
        <w:t>，</w:t>
      </w:r>
      <w:r>
        <w:rPr>
          <w:rFonts w:hint="default" w:ascii="Times New Roman" w:hAnsi="Times New Roman" w:cs="Times New Roman"/>
          <w:color w:val="auto"/>
          <w:highlight w:val="none"/>
        </w:rPr>
        <w:t>因此，本项目符合《关于进一步加强重金属污染防控的意见》（环固体〔2022〕17号）相关要求。</w:t>
      </w:r>
    </w:p>
    <w:p w14:paraId="5B29152B">
      <w:pPr>
        <w:pStyle w:val="5"/>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与《新疆维吾尔自治区坎儿井保护条例》符合性分析</w:t>
      </w:r>
    </w:p>
    <w:p w14:paraId="035F7C7C">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项目建设符合《</w:t>
      </w:r>
      <w:bookmarkStart w:id="46" w:name="OLE_LINK15"/>
      <w:r>
        <w:rPr>
          <w:rFonts w:hint="default" w:ascii="Times New Roman" w:hAnsi="Times New Roman" w:cs="Times New Roman"/>
          <w:color w:val="auto"/>
          <w:highlight w:val="none"/>
        </w:rPr>
        <w:t>新疆维吾尔自治区坎儿井保护条例</w:t>
      </w:r>
      <w:bookmarkEnd w:id="46"/>
      <w:r>
        <w:rPr>
          <w:rFonts w:hint="default" w:ascii="Times New Roman" w:hAnsi="Times New Roman" w:cs="Times New Roman"/>
          <w:color w:val="auto"/>
          <w:highlight w:val="none"/>
        </w:rPr>
        <w:t>》中的相关要求，具体分析见表1.3-4。</w:t>
      </w:r>
    </w:p>
    <w:p w14:paraId="746497F1">
      <w:pPr>
        <w:pageBreakBefore w:val="0"/>
        <w:widowControl/>
        <w:kinsoku w:val="0"/>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2"/>
          <w:kern w:val="0"/>
          <w:sz w:val="21"/>
          <w:szCs w:val="21"/>
          <w:highlight w:val="none"/>
        </w:rPr>
      </w:pPr>
      <w:r>
        <w:rPr>
          <w:rFonts w:hint="default" w:ascii="Times New Roman" w:hAnsi="Times New Roman" w:cs="Times New Roman"/>
          <w:b/>
          <w:bCs/>
          <w:snapToGrid w:val="0"/>
          <w:color w:val="auto"/>
          <w:spacing w:val="-2"/>
          <w:kern w:val="0"/>
          <w:sz w:val="21"/>
          <w:szCs w:val="21"/>
          <w:highlight w:val="none"/>
        </w:rPr>
        <w:t>表1.3-4  本项目与《新疆维吾尔自治区坎儿井保护条例》符合性分析表</w:t>
      </w:r>
    </w:p>
    <w:tbl>
      <w:tblPr>
        <w:tblStyle w:val="194"/>
        <w:tblW w:w="50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2"/>
        <w:gridCol w:w="3663"/>
        <w:gridCol w:w="3494"/>
        <w:gridCol w:w="1017"/>
      </w:tblGrid>
      <w:tr w14:paraId="6839D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622" w:type="dxa"/>
            <w:vAlign w:val="center"/>
          </w:tcPr>
          <w:p w14:paraId="762615EB">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3663" w:type="dxa"/>
            <w:vAlign w:val="center"/>
          </w:tcPr>
          <w:p w14:paraId="6BE5E7EF">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条例要求</w:t>
            </w:r>
          </w:p>
        </w:tc>
        <w:tc>
          <w:tcPr>
            <w:tcW w:w="3494" w:type="dxa"/>
            <w:vAlign w:val="center"/>
          </w:tcPr>
          <w:p w14:paraId="12ABF6E0">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eastAsia="zh-CN"/>
              </w:rPr>
              <w:t>本项目</w:t>
            </w:r>
            <w:r>
              <w:rPr>
                <w:rFonts w:hint="default" w:ascii="Times New Roman" w:hAnsi="Times New Roman" w:cs="Times New Roman"/>
                <w:b/>
                <w:bCs/>
                <w:color w:val="auto"/>
                <w:sz w:val="21"/>
                <w:szCs w:val="21"/>
                <w:highlight w:val="none"/>
              </w:rPr>
              <w:t>相关内容</w:t>
            </w:r>
          </w:p>
        </w:tc>
        <w:tc>
          <w:tcPr>
            <w:tcW w:w="1017" w:type="dxa"/>
            <w:vAlign w:val="center"/>
          </w:tcPr>
          <w:p w14:paraId="16049556">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28ECB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622" w:type="dxa"/>
            <w:vAlign w:val="center"/>
          </w:tcPr>
          <w:p w14:paraId="54BC5011">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kern w:val="0"/>
                <w:sz w:val="21"/>
                <w:szCs w:val="21"/>
                <w:highlight w:val="none"/>
                <w:lang w:val="zh-CN" w:bidi="zh-CN"/>
              </w:rPr>
            </w:pPr>
            <w:r>
              <w:rPr>
                <w:rFonts w:hint="default" w:ascii="Times New Roman" w:hAnsi="Times New Roman" w:cs="Times New Roman"/>
                <w:color w:val="auto"/>
                <w:sz w:val="21"/>
                <w:szCs w:val="21"/>
                <w:highlight w:val="none"/>
              </w:rPr>
              <w:t>1</w:t>
            </w:r>
          </w:p>
        </w:tc>
        <w:tc>
          <w:tcPr>
            <w:tcW w:w="3663" w:type="dxa"/>
            <w:vAlign w:val="center"/>
          </w:tcPr>
          <w:p w14:paraId="2B0E9C29">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kern w:val="0"/>
                <w:sz w:val="21"/>
                <w:szCs w:val="21"/>
                <w:highlight w:val="none"/>
                <w:lang w:bidi="zh-CN"/>
              </w:rPr>
            </w:pPr>
            <w:r>
              <w:rPr>
                <w:rFonts w:hint="eastAsia" w:cs="Times New Roman"/>
                <w:color w:val="auto"/>
                <w:sz w:val="21"/>
                <w:szCs w:val="21"/>
                <w:highlight w:val="none"/>
                <w:shd w:val="clear" w:color="auto" w:fill="FFFFFF"/>
                <w:lang w:val="en-US" w:eastAsia="zh-CN"/>
              </w:rPr>
              <w:t>第二十条、</w:t>
            </w:r>
            <w:r>
              <w:rPr>
                <w:rFonts w:hint="default" w:ascii="Times New Roman" w:hAnsi="Times New Roman" w:cs="Times New Roman"/>
                <w:color w:val="auto"/>
                <w:sz w:val="21"/>
                <w:szCs w:val="21"/>
                <w:highlight w:val="none"/>
                <w:shd w:val="clear" w:color="auto" w:fill="FFFFFF"/>
              </w:rPr>
              <w:t>保护坎儿井的特有景观，不得破坏附属于坎儿井竖井的堆土。</w:t>
            </w:r>
          </w:p>
        </w:tc>
        <w:tc>
          <w:tcPr>
            <w:tcW w:w="3494" w:type="dxa"/>
            <w:vAlign w:val="center"/>
          </w:tcPr>
          <w:p w14:paraId="164422F5">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本项目地下水评价范围内无坎儿井</w:t>
            </w:r>
          </w:p>
        </w:tc>
        <w:tc>
          <w:tcPr>
            <w:tcW w:w="1017" w:type="dxa"/>
            <w:vAlign w:val="center"/>
          </w:tcPr>
          <w:p w14:paraId="1CFBE8E7">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E69F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622" w:type="dxa"/>
            <w:vAlign w:val="center"/>
          </w:tcPr>
          <w:p w14:paraId="108229CE">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kern w:val="0"/>
                <w:sz w:val="21"/>
                <w:szCs w:val="21"/>
                <w:highlight w:val="none"/>
                <w:lang w:val="zh-CN" w:bidi="zh-CN"/>
              </w:rPr>
            </w:pPr>
            <w:r>
              <w:rPr>
                <w:rFonts w:hint="default" w:ascii="Times New Roman" w:hAnsi="Times New Roman" w:cs="Times New Roman"/>
                <w:color w:val="auto"/>
                <w:sz w:val="21"/>
                <w:szCs w:val="21"/>
                <w:highlight w:val="none"/>
              </w:rPr>
              <w:t>2</w:t>
            </w:r>
          </w:p>
        </w:tc>
        <w:tc>
          <w:tcPr>
            <w:tcW w:w="3663" w:type="dxa"/>
            <w:vAlign w:val="center"/>
          </w:tcPr>
          <w:p w14:paraId="16708B13">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kern w:val="0"/>
                <w:sz w:val="21"/>
                <w:szCs w:val="21"/>
                <w:highlight w:val="none"/>
                <w:lang w:bidi="zh-CN"/>
              </w:rPr>
            </w:pPr>
            <w:r>
              <w:rPr>
                <w:rFonts w:hint="eastAsia" w:cs="Times New Roman"/>
                <w:color w:val="auto"/>
                <w:sz w:val="21"/>
                <w:szCs w:val="21"/>
                <w:highlight w:val="none"/>
                <w:shd w:val="clear" w:color="auto" w:fill="FFFFFF"/>
                <w:lang w:val="en-US" w:eastAsia="zh-CN"/>
              </w:rPr>
              <w:t>第二十一条、</w:t>
            </w:r>
            <w:r>
              <w:rPr>
                <w:rFonts w:hint="default" w:ascii="Times New Roman" w:hAnsi="Times New Roman" w:cs="Times New Roman"/>
                <w:color w:val="auto"/>
                <w:sz w:val="21"/>
                <w:szCs w:val="21"/>
                <w:highlight w:val="none"/>
                <w:shd w:val="clear" w:color="auto" w:fill="FFFFFF"/>
              </w:rPr>
              <w:t>禁止向坎儿井水源、明渠、蓄水池倾倒废污水、垃圾等废弃物。</w:t>
            </w:r>
          </w:p>
        </w:tc>
        <w:tc>
          <w:tcPr>
            <w:tcW w:w="3494" w:type="dxa"/>
            <w:vAlign w:val="center"/>
          </w:tcPr>
          <w:p w14:paraId="3CFB6E17">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生活污水、生产废水及各类固体废物均得到妥善处置。</w:t>
            </w:r>
          </w:p>
        </w:tc>
        <w:tc>
          <w:tcPr>
            <w:tcW w:w="1017" w:type="dxa"/>
            <w:vAlign w:val="center"/>
          </w:tcPr>
          <w:p w14:paraId="1795221B">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7186E56E">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与《新疆维吾尔自治区重金属污染防控工作方案》符合性分析</w:t>
      </w:r>
    </w:p>
    <w:p w14:paraId="2A831CB1">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根据《新疆维吾尔自治区重金属污染防控工作方案》（新环固体发〔2022〕88号）：重点防控的重金属污染物是铅、汞、镉、铬、砷、铊和锑，并对铅、汞、镉、铬和砷五种重点重金属污染物排放量实施总量控制。</w:t>
      </w:r>
    </w:p>
    <w:p w14:paraId="2AD27F9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到2025年，全区重点行业重点重金属污染物排放量比2020年下降2%，重点行业绿色发展水平较快提升，重金属环境管理能力进一步增强，推进排查治理一批突出历史遗留重金属污染问题。推行企业重金属污染物排放总量控制制度。依法将重点行业企业纳入排污许可管理。对于实施排污许可重点管理的企业，排污许可证应当明确重金属污染物排放种类、许可排放浓度、许可排放量等。新、改、扩建重点行业建设项目应符合“三线一单”、产业政策、区域环评、规划环评和行业环境准入管控要求，应遵循重点重金属污染物排放“等量替代”原则。</w:t>
      </w:r>
    </w:p>
    <w:p w14:paraId="7B5322D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本项目为低品位铜矿</w:t>
      </w:r>
      <w:r>
        <w:rPr>
          <w:rFonts w:hint="eastAsia" w:cs="Times New Roman"/>
          <w:color w:val="auto"/>
          <w:highlight w:val="none"/>
          <w:lang w:val="en-US" w:eastAsia="zh-CN"/>
        </w:rPr>
        <w:t>湿法</w:t>
      </w:r>
      <w:r>
        <w:rPr>
          <w:rFonts w:hint="default" w:ascii="Times New Roman" w:hAnsi="Times New Roman" w:cs="Times New Roman"/>
          <w:color w:val="auto"/>
          <w:highlight w:val="none"/>
        </w:rPr>
        <w:t>冶炼，本项目不涉及铅、汞、镉、铬、砷、铊和锑重金属的排放。因此，本项目符合《新疆维吾尔自治区重金属污染防控工作方案》（新环固体发〔2022〕88号）相关要求。</w:t>
      </w:r>
    </w:p>
    <w:p w14:paraId="3493C66F">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与《关于深入打好污染防治攻坚战的实施方案》符合性分析</w:t>
      </w:r>
    </w:p>
    <w:p w14:paraId="2C77E49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《关于深入打好污染防治攻坚战的实施方案》提出：“</w:t>
      </w:r>
      <w:r>
        <w:rPr>
          <w:rFonts w:hint="eastAsia"/>
          <w:color w:val="auto"/>
          <w:highlight w:val="none"/>
        </w:rPr>
        <w:t>二、大力推动绿色低碳发展（七）</w:t>
      </w:r>
      <w:r>
        <w:rPr>
          <w:rFonts w:hint="default" w:ascii="Times New Roman" w:hAnsi="Times New Roman" w:cs="Times New Roman"/>
          <w:color w:val="auto"/>
          <w:highlight w:val="none"/>
        </w:rPr>
        <w:t>坚决遏制高耗能高排放低水平项目盲目发展。严把高耗能高排放低水平项目准入关口，严格落实污染物排放区域削减要求，对不符合规定的项目坚决停批停建。依法依规淘汰落后产能和化解过剩产能。大气污染防治重点区域严禁新增钢铁、水泥熟料、平板玻璃、煤化工产能，严控新增炼油产能，其他地区钢铁、水泥熟料、平板玻璃、炼油、电解铝等新建、扩建项目严格实施产能等量或减量置换要求。”</w:t>
      </w:r>
    </w:p>
    <w:p w14:paraId="1AD4507E">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本项目为</w:t>
      </w:r>
      <w:r>
        <w:rPr>
          <w:rFonts w:hint="default" w:ascii="Times New Roman" w:hAnsi="Times New Roman" w:eastAsia="宋体" w:cs="Times New Roman"/>
          <w:bCs w:val="0"/>
          <w:color w:val="auto"/>
          <w:sz w:val="24"/>
          <w:szCs w:val="24"/>
          <w:highlight w:val="none"/>
          <w:lang w:val="en-US" w:eastAsia="zh-CN"/>
        </w:rPr>
        <w:t>低品位铜矿</w:t>
      </w:r>
      <w:r>
        <w:rPr>
          <w:rFonts w:hint="eastAsia" w:eastAsia="宋体" w:cs="Times New Roman"/>
          <w:bCs w:val="0"/>
          <w:color w:val="auto"/>
          <w:sz w:val="24"/>
          <w:szCs w:val="24"/>
          <w:highlight w:val="none"/>
          <w:lang w:val="en-US" w:eastAsia="zh-CN"/>
        </w:rPr>
        <w:t>湿法</w:t>
      </w:r>
      <w:r>
        <w:rPr>
          <w:rFonts w:hint="default" w:ascii="Times New Roman" w:hAnsi="Times New Roman" w:eastAsia="宋体" w:cs="Times New Roman"/>
          <w:bCs w:val="0"/>
          <w:color w:val="auto"/>
          <w:sz w:val="24"/>
          <w:szCs w:val="24"/>
          <w:highlight w:val="none"/>
          <w:lang w:val="en-US" w:eastAsia="zh-CN"/>
        </w:rPr>
        <w:t>冶炼</w:t>
      </w:r>
      <w:r>
        <w:rPr>
          <w:rFonts w:hint="eastAsia" w:eastAsia="宋体" w:cs="Times New Roman"/>
          <w:bCs w:val="0"/>
          <w:color w:val="auto"/>
          <w:sz w:val="24"/>
          <w:szCs w:val="24"/>
          <w:highlight w:val="none"/>
          <w:lang w:val="en-US" w:eastAsia="zh-CN"/>
        </w:rPr>
        <w:t>项目</w:t>
      </w:r>
      <w:r>
        <w:rPr>
          <w:rFonts w:hint="default" w:ascii="Times New Roman" w:hAnsi="Times New Roman" w:cs="Times New Roman"/>
          <w:color w:val="auto"/>
          <w:highlight w:val="none"/>
        </w:rPr>
        <w:t>，不属于《关于深入打好污染防治攻坚战的实施方案》中严禁新增项目类型</w:t>
      </w:r>
      <w:r>
        <w:rPr>
          <w:rFonts w:hint="eastAsia"/>
          <w:color w:val="auto"/>
          <w:highlight w:val="none"/>
          <w:lang w:eastAsia="zh-CN"/>
        </w:rPr>
        <w:t>，</w:t>
      </w:r>
      <w:r>
        <w:rPr>
          <w:rFonts w:hint="default" w:ascii="Times New Roman" w:hAnsi="Times New Roman" w:cs="Times New Roman"/>
          <w:color w:val="auto"/>
          <w:highlight w:val="none"/>
        </w:rPr>
        <w:t>且项目采用</w:t>
      </w:r>
      <w:r>
        <w:rPr>
          <w:rFonts w:hint="eastAsia" w:cs="Times New Roman"/>
          <w:color w:val="auto"/>
          <w:highlight w:val="none"/>
          <w:lang w:eastAsia="zh-CN"/>
        </w:rPr>
        <w:t>合适</w:t>
      </w:r>
      <w:r>
        <w:rPr>
          <w:rFonts w:hint="default" w:ascii="Times New Roman" w:hAnsi="Times New Roman" w:cs="Times New Roman"/>
          <w:color w:val="auto"/>
          <w:highlight w:val="none"/>
        </w:rPr>
        <w:t>的工艺技术和装备，整体清洁生产水平可达到国内先进水平，采取的大气、土壤、地下水等环境保护措施切实可行，稳定可靠，因此本项目符合《关于深入打好污染防治攻坚战的实施方案》相关要求</w:t>
      </w:r>
      <w:r>
        <w:rPr>
          <w:rFonts w:hint="default" w:ascii="Times New Roman" w:hAnsi="Times New Roman" w:cs="Times New Roman"/>
          <w:color w:val="auto"/>
          <w:highlight w:val="none"/>
          <w:lang w:eastAsia="zh-CN"/>
        </w:rPr>
        <w:t>。</w:t>
      </w:r>
    </w:p>
    <w:p w14:paraId="1CBB4D9E">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bookmarkStart w:id="47" w:name="_Hlk150727616"/>
      <w:bookmarkStart w:id="48" w:name="_Hlk150727453"/>
      <w:r>
        <w:rPr>
          <w:rFonts w:hint="default" w:ascii="Times New Roman" w:hAnsi="Times New Roman" w:cs="Times New Roman"/>
          <w:b/>
          <w:bCs/>
          <w:color w:val="auto"/>
          <w:sz w:val="24"/>
          <w:szCs w:val="24"/>
          <w:highlight w:val="none"/>
        </w:rPr>
        <w:t>1.3.</w:t>
      </w:r>
      <w:r>
        <w:rPr>
          <w:rFonts w:hint="default" w:ascii="Times New Roman" w:hAnsi="Times New Roman" w:cs="Times New Roman"/>
          <w:b/>
          <w:bCs/>
          <w:color w:val="auto"/>
          <w:sz w:val="24"/>
          <w:szCs w:val="24"/>
          <w:highlight w:val="none"/>
          <w:lang w:val="en-US" w:eastAsia="zh-CN"/>
        </w:rPr>
        <w:t>3.6</w:t>
      </w:r>
      <w:r>
        <w:rPr>
          <w:rFonts w:hint="default" w:ascii="Times New Roman" w:hAnsi="Times New Roman" w:cs="Times New Roman"/>
          <w:b/>
          <w:bCs/>
          <w:color w:val="auto"/>
          <w:sz w:val="24"/>
          <w:szCs w:val="24"/>
          <w:highlight w:val="none"/>
        </w:rPr>
        <w:t>与《新疆维吾尔自治区重点行业生态环境准入条件（2024年）》符合性分析</w:t>
      </w:r>
    </w:p>
    <w:p w14:paraId="0241A4E7">
      <w:pPr>
        <w:pStyle w:val="229"/>
        <w:pageBreakBefore w:val="0"/>
        <w:wordWrap/>
        <w:topLinePunct w:val="0"/>
        <w:bidi w:val="0"/>
        <w:adjustRightInd w:val="0"/>
        <w:snapToGrid w:val="0"/>
        <w:spacing w:line="480" w:lineRule="exact"/>
        <w:ind w:left="0" w:leftChars="0" w:right="0" w:firstLine="480" w:firstLineChars="200"/>
        <w:rPr>
          <w:rFonts w:hint="eastAsia" w:eastAsia="仿宋_GB2312"/>
          <w:color w:val="auto"/>
          <w:highlight w:val="none"/>
          <w:lang w:eastAsia="zh-CN"/>
        </w:rPr>
      </w:pPr>
      <w:r>
        <w:rPr>
          <w:rFonts w:hint="default" w:ascii="Times New Roman" w:hAnsi="Times New Roman" w:eastAsia="宋体" w:cs="Times New Roman"/>
          <w:bCs w:val="0"/>
          <w:color w:val="auto"/>
          <w:sz w:val="24"/>
          <w:szCs w:val="24"/>
          <w:highlight w:val="none"/>
          <w:lang w:val="en-US" w:eastAsia="zh-CN"/>
        </w:rPr>
        <w:t>根据</w:t>
      </w:r>
      <w:r>
        <w:rPr>
          <w:rFonts w:hint="default" w:ascii="Times New Roman" w:hAnsi="Times New Roman" w:eastAsia="宋体" w:cs="Times New Roman"/>
          <w:bCs w:val="0"/>
          <w:color w:val="auto"/>
          <w:sz w:val="24"/>
          <w:szCs w:val="24"/>
          <w:highlight w:val="none"/>
        </w:rPr>
        <w:t>《新疆维</w:t>
      </w:r>
      <w:r>
        <w:rPr>
          <w:rFonts w:hint="default" w:ascii="Times New Roman" w:hAnsi="Times New Roman" w:eastAsia="宋体" w:cs="Times New Roman"/>
          <w:bCs w:val="0"/>
          <w:color w:val="auto"/>
          <w:sz w:val="24"/>
          <w:szCs w:val="24"/>
          <w:highlight w:val="none"/>
          <w:lang w:val="en-US" w:eastAsia="zh-CN"/>
        </w:rPr>
        <w:t>吾尔自治区重点行业生态环境准入条件（2024年）》，有色金属冶炼行业适用范围为“</w:t>
      </w:r>
      <w:r>
        <w:rPr>
          <w:rFonts w:hint="eastAsia" w:ascii="Times New Roman" w:hAnsi="Times New Roman" w:eastAsia="宋体" w:cs="Times New Roman"/>
          <w:bCs w:val="0"/>
          <w:color w:val="auto"/>
          <w:sz w:val="24"/>
          <w:szCs w:val="24"/>
          <w:highlight w:val="none"/>
          <w:lang w:val="en-US" w:eastAsia="zh-CN"/>
        </w:rPr>
        <w:t>适用于</w:t>
      </w:r>
      <w:r>
        <w:rPr>
          <w:rFonts w:hint="default" w:ascii="Times New Roman" w:hAnsi="Times New Roman" w:eastAsia="宋体" w:cs="Times New Roman"/>
          <w:bCs w:val="0"/>
          <w:color w:val="auto"/>
          <w:sz w:val="24"/>
          <w:szCs w:val="24"/>
          <w:highlight w:val="none"/>
          <w:lang w:val="en-US" w:eastAsia="zh-CN"/>
        </w:rPr>
        <w:t>自治区行政区域内采用火法冶金（干式冶金）的铜、铅、锌、镍等有色金属和电解铝新、改、扩建生产项目的环境管理活动；不包括经环境影响比选论证后，适宜在矿区就地开展采选冶一体化、尾矿再生利用项目”</w:t>
      </w:r>
      <w:r>
        <w:rPr>
          <w:rFonts w:hint="eastAsia"/>
          <w:color w:val="auto"/>
          <w:highlight w:val="none"/>
          <w:lang w:eastAsia="zh-CN"/>
        </w:rPr>
        <w:t>。</w:t>
      </w:r>
    </w:p>
    <w:p w14:paraId="40B9B193">
      <w:pPr>
        <w:pStyle w:val="229"/>
        <w:pageBreakBefore w:val="0"/>
        <w:wordWrap/>
        <w:topLinePunct w:val="0"/>
        <w:bidi w:val="0"/>
        <w:adjustRightInd w:val="0"/>
        <w:snapToGrid w:val="0"/>
        <w:spacing w:line="480" w:lineRule="exact"/>
        <w:ind w:left="0" w:leftChars="0" w:right="0" w:firstLine="480" w:firstLineChars="200"/>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rPr>
        <w:t>本</w:t>
      </w:r>
      <w:r>
        <w:rPr>
          <w:rFonts w:hint="default" w:ascii="Times New Roman" w:hAnsi="Times New Roman" w:eastAsia="宋体" w:cs="Times New Roman"/>
          <w:bCs w:val="0"/>
          <w:color w:val="auto"/>
          <w:sz w:val="24"/>
          <w:szCs w:val="24"/>
          <w:highlight w:val="none"/>
          <w:lang w:val="en-US" w:eastAsia="zh-CN"/>
        </w:rPr>
        <w:t>项目为低品位铜矿</w:t>
      </w:r>
      <w:r>
        <w:rPr>
          <w:rFonts w:hint="eastAsia" w:eastAsia="宋体" w:cs="Times New Roman"/>
          <w:bCs w:val="0"/>
          <w:color w:val="auto"/>
          <w:sz w:val="24"/>
          <w:szCs w:val="24"/>
          <w:highlight w:val="none"/>
          <w:lang w:val="en-US" w:eastAsia="zh-CN"/>
        </w:rPr>
        <w:t>湿法</w:t>
      </w:r>
      <w:r>
        <w:rPr>
          <w:rFonts w:hint="default" w:ascii="Times New Roman" w:hAnsi="Times New Roman" w:eastAsia="宋体" w:cs="Times New Roman"/>
          <w:bCs w:val="0"/>
          <w:color w:val="auto"/>
          <w:sz w:val="24"/>
          <w:szCs w:val="24"/>
          <w:highlight w:val="none"/>
          <w:lang w:val="en-US" w:eastAsia="zh-CN"/>
        </w:rPr>
        <w:t>冶炼</w:t>
      </w:r>
      <w:r>
        <w:rPr>
          <w:rFonts w:hint="eastAsia" w:eastAsia="宋体" w:cs="Times New Roman"/>
          <w:bCs w:val="0"/>
          <w:color w:val="auto"/>
          <w:sz w:val="24"/>
          <w:szCs w:val="24"/>
          <w:highlight w:val="none"/>
          <w:lang w:val="en-US" w:eastAsia="zh-CN"/>
        </w:rPr>
        <w:t>项目，项目采用湿法浸出－固液分离-萃取-电积工艺，项目不在有色金属冶炼行业的适用范围内，故</w:t>
      </w:r>
      <w:r>
        <w:rPr>
          <w:rFonts w:hint="default" w:ascii="Times New Roman" w:hAnsi="Times New Roman" w:eastAsia="宋体" w:cs="Times New Roman"/>
          <w:bCs w:val="0"/>
          <w:color w:val="auto"/>
          <w:sz w:val="24"/>
          <w:szCs w:val="24"/>
          <w:highlight w:val="none"/>
          <w:lang w:val="en-US" w:eastAsia="zh-CN"/>
        </w:rPr>
        <w:t>仅对准入条件通则进行符合性分析，相关</w:t>
      </w:r>
      <w:r>
        <w:rPr>
          <w:rFonts w:hint="default" w:ascii="Times New Roman" w:hAnsi="Times New Roman" w:eastAsia="宋体" w:cs="Times New Roman"/>
          <w:bCs w:val="0"/>
          <w:color w:val="auto"/>
          <w:sz w:val="24"/>
          <w:szCs w:val="24"/>
          <w:highlight w:val="none"/>
        </w:rPr>
        <w:t>符合性分析见表</w:t>
      </w:r>
      <w:r>
        <w:rPr>
          <w:rFonts w:hint="default" w:ascii="Times New Roman" w:hAnsi="Times New Roman" w:eastAsia="宋体" w:cs="Times New Roman"/>
          <w:bCs w:val="0"/>
          <w:color w:val="auto"/>
          <w:sz w:val="24"/>
          <w:szCs w:val="24"/>
          <w:highlight w:val="none"/>
          <w:lang w:val="en-US" w:eastAsia="zh-CN"/>
        </w:rPr>
        <w:t>1.3-5。</w:t>
      </w:r>
    </w:p>
    <w:p w14:paraId="38B57475">
      <w:pPr>
        <w:pStyle w:val="2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1.3</w:t>
      </w:r>
      <w:r>
        <w:rPr>
          <w:rFonts w:hint="default" w:ascii="Times New Roman" w:hAnsi="Times New Roman" w:eastAsia="宋体" w:cs="Times New Roman"/>
          <w:b/>
          <w:bCs w:val="0"/>
          <w:color w:val="auto"/>
          <w:sz w:val="21"/>
          <w:szCs w:val="21"/>
          <w:highlight w:val="none"/>
        </w:rPr>
        <w:t>-</w:t>
      </w:r>
      <w:r>
        <w:rPr>
          <w:rFonts w:hint="default" w:ascii="Times New Roman" w:hAnsi="Times New Roman" w:eastAsia="宋体" w:cs="Times New Roman"/>
          <w:b/>
          <w:bCs w:val="0"/>
          <w:color w:val="auto"/>
          <w:sz w:val="21"/>
          <w:szCs w:val="21"/>
          <w:highlight w:val="none"/>
          <w:lang w:val="en-US" w:eastAsia="zh-CN"/>
        </w:rPr>
        <w:t>5</w:t>
      </w:r>
      <w:r>
        <w:rPr>
          <w:rFonts w:hint="default" w:ascii="Times New Roman" w:hAnsi="Times New Roman" w:eastAsia="宋体" w:cs="Times New Roman"/>
          <w:b/>
          <w:bCs w:val="0"/>
          <w:color w:val="auto"/>
          <w:sz w:val="21"/>
          <w:szCs w:val="21"/>
          <w:highlight w:val="none"/>
        </w:rPr>
        <w:t xml:space="preserve">  与《</w:t>
      </w:r>
      <w:r>
        <w:rPr>
          <w:rFonts w:hint="eastAsia" w:eastAsia="宋体" w:cs="Times New Roman"/>
          <w:b/>
          <w:bCs w:val="0"/>
          <w:color w:val="auto"/>
          <w:sz w:val="21"/>
          <w:szCs w:val="21"/>
          <w:highlight w:val="none"/>
          <w:lang w:eastAsia="zh-CN"/>
        </w:rPr>
        <w:t>新疆维吾尔自治区重点行业生态环境准入条件（2024年）</w:t>
      </w:r>
      <w:r>
        <w:rPr>
          <w:rFonts w:hint="default" w:ascii="Times New Roman" w:hAnsi="Times New Roman" w:eastAsia="宋体" w:cs="Times New Roman"/>
          <w:b/>
          <w:bCs w:val="0"/>
          <w:color w:val="auto"/>
          <w:sz w:val="21"/>
          <w:szCs w:val="21"/>
          <w:highlight w:val="none"/>
        </w:rPr>
        <w:t>》符合性分析</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4013"/>
        <w:gridCol w:w="2218"/>
        <w:gridCol w:w="1002"/>
      </w:tblGrid>
      <w:tr w14:paraId="677F6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tcBorders>
              <w:tl2br w:val="nil"/>
              <w:tr2bl w:val="nil"/>
            </w:tcBorders>
            <w:shd w:val="clear" w:color="auto" w:fill="auto"/>
            <w:vAlign w:val="center"/>
          </w:tcPr>
          <w:p w14:paraId="2C67FCF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项目</w:t>
            </w:r>
          </w:p>
        </w:tc>
        <w:tc>
          <w:tcPr>
            <w:tcW w:w="2243" w:type="pct"/>
            <w:tcBorders>
              <w:tl2br w:val="nil"/>
              <w:tr2bl w:val="nil"/>
            </w:tcBorders>
            <w:shd w:val="clear" w:color="auto" w:fill="auto"/>
            <w:vAlign w:val="center"/>
          </w:tcPr>
          <w:p w14:paraId="604BAE9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《新疆维吾尔自治区重点行业生态环境准入条件（2024年）》要求</w:t>
            </w:r>
          </w:p>
        </w:tc>
        <w:tc>
          <w:tcPr>
            <w:tcW w:w="1240" w:type="pct"/>
            <w:tcBorders>
              <w:tl2br w:val="nil"/>
              <w:tr2bl w:val="nil"/>
            </w:tcBorders>
            <w:shd w:val="clear" w:color="auto" w:fill="auto"/>
            <w:vAlign w:val="center"/>
          </w:tcPr>
          <w:p w14:paraId="4C60C6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本项目</w:t>
            </w:r>
            <w:r>
              <w:rPr>
                <w:rFonts w:hint="eastAsia" w:cs="Times New Roman"/>
                <w:b/>
                <w:bCs/>
                <w:color w:val="auto"/>
                <w:kern w:val="0"/>
                <w:sz w:val="21"/>
                <w:szCs w:val="21"/>
                <w:highlight w:val="none"/>
                <w:lang w:val="en-US" w:eastAsia="zh-CN"/>
              </w:rPr>
              <w:t>具体情况</w:t>
            </w:r>
          </w:p>
        </w:tc>
        <w:tc>
          <w:tcPr>
            <w:tcW w:w="560" w:type="pct"/>
            <w:tcBorders>
              <w:tl2br w:val="nil"/>
              <w:tr2bl w:val="nil"/>
            </w:tcBorders>
            <w:shd w:val="clear" w:color="auto" w:fill="auto"/>
            <w:vAlign w:val="center"/>
          </w:tcPr>
          <w:p w14:paraId="0C43DE4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是否符合要求</w:t>
            </w:r>
          </w:p>
        </w:tc>
      </w:tr>
      <w:tr w14:paraId="0983D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vMerge w:val="restart"/>
            <w:tcBorders>
              <w:tl2br w:val="nil"/>
              <w:tr2bl w:val="nil"/>
            </w:tcBorders>
            <w:shd w:val="clear" w:color="auto" w:fill="auto"/>
            <w:vAlign w:val="center"/>
          </w:tcPr>
          <w:p w14:paraId="4705854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生态环境准入总体要求</w:t>
            </w:r>
          </w:p>
        </w:tc>
        <w:tc>
          <w:tcPr>
            <w:tcW w:w="2243" w:type="pct"/>
            <w:tcBorders>
              <w:tl2br w:val="nil"/>
              <w:tr2bl w:val="nil"/>
            </w:tcBorders>
            <w:shd w:val="clear" w:color="auto" w:fill="auto"/>
            <w:vAlign w:val="center"/>
          </w:tcPr>
          <w:p w14:paraId="4F56246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建设单位应依法依规组织编制环境影响评价文件，并报具有审批权限的生态环境部门审批。</w:t>
            </w:r>
          </w:p>
        </w:tc>
        <w:tc>
          <w:tcPr>
            <w:tcW w:w="1240" w:type="pct"/>
            <w:tcBorders>
              <w:tl2br w:val="nil"/>
              <w:tr2bl w:val="nil"/>
            </w:tcBorders>
            <w:shd w:val="clear" w:color="auto" w:fill="auto"/>
            <w:vAlign w:val="center"/>
          </w:tcPr>
          <w:p w14:paraId="60279A5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建设单位</w:t>
            </w:r>
            <w:r>
              <w:rPr>
                <w:rFonts w:hint="eastAsia" w:cs="Times New Roman"/>
                <w:color w:val="auto"/>
                <w:kern w:val="0"/>
                <w:sz w:val="21"/>
                <w:szCs w:val="21"/>
                <w:highlight w:val="none"/>
                <w:lang w:val="en-US" w:eastAsia="zh-CN"/>
              </w:rPr>
              <w:t>委托乌鲁木齐湘永丽景环保科技有限公司编制</w:t>
            </w:r>
            <w:r>
              <w:rPr>
                <w:rFonts w:hint="eastAsia" w:ascii="Times New Roman" w:hAnsi="Times New Roman" w:cs="Times New Roman"/>
                <w:color w:val="auto"/>
                <w:kern w:val="0"/>
                <w:sz w:val="21"/>
                <w:szCs w:val="21"/>
                <w:highlight w:val="none"/>
              </w:rPr>
              <w:t>环境影响评价文件</w:t>
            </w:r>
          </w:p>
        </w:tc>
        <w:tc>
          <w:tcPr>
            <w:tcW w:w="560" w:type="pct"/>
            <w:tcBorders>
              <w:tl2br w:val="nil"/>
              <w:tr2bl w:val="nil"/>
            </w:tcBorders>
            <w:shd w:val="clear" w:color="auto" w:fill="auto"/>
            <w:vAlign w:val="center"/>
          </w:tcPr>
          <w:p w14:paraId="661535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5D69B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vMerge w:val="continue"/>
            <w:tcBorders>
              <w:tl2br w:val="nil"/>
              <w:tr2bl w:val="nil"/>
            </w:tcBorders>
            <w:shd w:val="clear" w:color="auto" w:fill="auto"/>
            <w:vAlign w:val="center"/>
          </w:tcPr>
          <w:p w14:paraId="6B35477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746345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建设项目应符合国家、自治区相关法律法</w:t>
            </w:r>
            <w:r>
              <w:rPr>
                <w:rFonts w:hint="eastAsia" w:cs="Times New Roman"/>
                <w:color w:val="auto"/>
                <w:kern w:val="0"/>
                <w:sz w:val="21"/>
                <w:szCs w:val="21"/>
                <w:highlight w:val="none"/>
                <w:lang w:eastAsia="zh-CN"/>
              </w:rPr>
              <w:t>规和</w:t>
            </w:r>
            <w:r>
              <w:rPr>
                <w:rFonts w:hint="default" w:ascii="Times New Roman" w:hAnsi="Times New Roman" w:cs="Times New Roman"/>
                <w:color w:val="auto"/>
                <w:kern w:val="0"/>
                <w:sz w:val="21"/>
                <w:szCs w:val="21"/>
                <w:highlight w:val="none"/>
                <w:lang w:eastAsia="zh-CN"/>
              </w:rPr>
              <w:t>规章</w:t>
            </w:r>
            <w:r>
              <w:rPr>
                <w:rFonts w:hint="default" w:ascii="Times New Roman" w:hAnsi="Times New Roman" w:cs="Times New Roman"/>
                <w:color w:val="auto"/>
                <w:kern w:val="0"/>
                <w:sz w:val="21"/>
                <w:szCs w:val="21"/>
                <w:highlight w:val="none"/>
              </w:rPr>
              <w:t>、产业政策要求，采用的工艺、技术和设备应符合《产业结构调整指导目录》《产业转移指导目录》《鼓励外商投资产业目录》《西部地区鼓励类产业目录》等相关要求，不得采用国家和自治区</w:t>
            </w:r>
            <w:r>
              <w:rPr>
                <w:rFonts w:hint="default" w:ascii="Times New Roman" w:hAnsi="Times New Roman" w:cs="Times New Roman"/>
                <w:color w:val="auto"/>
                <w:kern w:val="0"/>
                <w:sz w:val="21"/>
                <w:szCs w:val="21"/>
                <w:highlight w:val="none"/>
                <w:lang w:eastAsia="zh-CN"/>
              </w:rPr>
              <w:t>限制、</w:t>
            </w:r>
            <w:r>
              <w:rPr>
                <w:rFonts w:hint="default" w:ascii="Times New Roman" w:hAnsi="Times New Roman" w:cs="Times New Roman"/>
                <w:color w:val="auto"/>
                <w:kern w:val="0"/>
                <w:sz w:val="21"/>
                <w:szCs w:val="21"/>
                <w:highlight w:val="none"/>
              </w:rPr>
              <w:t>淘汰或禁止使用的工艺、技术和设备。在环评审批中，严格落实国家及自治区有关行业产能替代、压减等措施。</w:t>
            </w:r>
          </w:p>
        </w:tc>
        <w:tc>
          <w:tcPr>
            <w:tcW w:w="1240" w:type="pct"/>
            <w:tcBorders>
              <w:tl2br w:val="nil"/>
              <w:tr2bl w:val="nil"/>
            </w:tcBorders>
            <w:shd w:val="clear" w:color="auto" w:fill="auto"/>
            <w:vAlign w:val="center"/>
          </w:tcPr>
          <w:p w14:paraId="7043F79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本项目符合国家、自治区相关法律法规</w:t>
            </w:r>
            <w:r>
              <w:rPr>
                <w:rFonts w:hint="default" w:ascii="Times New Roman" w:hAnsi="Times New Roman" w:cs="Times New Roman"/>
                <w:color w:val="auto"/>
                <w:kern w:val="0"/>
                <w:sz w:val="21"/>
                <w:szCs w:val="21"/>
                <w:highlight w:val="none"/>
                <w:lang w:eastAsia="zh-CN"/>
              </w:rPr>
              <w:t>规章</w:t>
            </w:r>
            <w:r>
              <w:rPr>
                <w:rFonts w:hint="default" w:ascii="Times New Roman" w:hAnsi="Times New Roman" w:cs="Times New Roman"/>
                <w:color w:val="auto"/>
                <w:kern w:val="0"/>
                <w:sz w:val="21"/>
                <w:szCs w:val="21"/>
                <w:highlight w:val="none"/>
              </w:rPr>
              <w:t>、产业政策要求</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未采用国家和自治区淘汰或禁止使用的工艺、技术和设备，属于《产业结构调整指导目录（2024年本）》中</w:t>
            </w:r>
            <w:r>
              <w:rPr>
                <w:rFonts w:hint="default" w:ascii="Times New Roman" w:hAnsi="Times New Roman" w:cs="Times New Roman"/>
                <w:color w:val="auto"/>
                <w:kern w:val="0"/>
                <w:sz w:val="21"/>
                <w:szCs w:val="21"/>
                <w:highlight w:val="none"/>
                <w:lang w:val="en-US" w:eastAsia="zh-CN"/>
              </w:rPr>
              <w:t>鼓励</w:t>
            </w:r>
            <w:r>
              <w:rPr>
                <w:rFonts w:hint="default" w:ascii="Times New Roman" w:hAnsi="Times New Roman" w:cs="Times New Roman"/>
                <w:color w:val="auto"/>
                <w:kern w:val="0"/>
                <w:sz w:val="21"/>
                <w:szCs w:val="21"/>
                <w:highlight w:val="none"/>
              </w:rPr>
              <w:t>类项目，符合各项产业政策要求。</w:t>
            </w:r>
            <w:r>
              <w:rPr>
                <w:rFonts w:hint="default" w:ascii="Times New Roman" w:hAnsi="Times New Roman" w:cs="Times New Roman"/>
                <w:color w:val="auto"/>
                <w:kern w:val="0"/>
                <w:sz w:val="21"/>
                <w:szCs w:val="21"/>
                <w:highlight w:val="none"/>
                <w:lang w:val="en-US" w:eastAsia="zh-CN"/>
              </w:rPr>
              <w:t>本项目不涉及产能替代。</w:t>
            </w:r>
          </w:p>
        </w:tc>
        <w:tc>
          <w:tcPr>
            <w:tcW w:w="560" w:type="pct"/>
            <w:tcBorders>
              <w:tl2br w:val="nil"/>
              <w:tr2bl w:val="nil"/>
            </w:tcBorders>
            <w:shd w:val="clear" w:color="auto" w:fill="auto"/>
            <w:vAlign w:val="center"/>
          </w:tcPr>
          <w:p w14:paraId="3E6FE7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3E776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vMerge w:val="continue"/>
            <w:tcBorders>
              <w:tl2br w:val="nil"/>
              <w:tr2bl w:val="nil"/>
            </w:tcBorders>
            <w:shd w:val="clear" w:color="auto" w:fill="auto"/>
            <w:vAlign w:val="center"/>
          </w:tcPr>
          <w:p w14:paraId="6744981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44514BD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一切开发建设活动应符合国家、自治区主体功能区规划、自治区和各地颁布实施的国民经济发展规划、生态功能</w:t>
            </w:r>
            <w:r>
              <w:rPr>
                <w:rFonts w:hint="default" w:ascii="Times New Roman" w:hAnsi="Times New Roman" w:cs="Times New Roman"/>
                <w:color w:val="auto"/>
                <w:kern w:val="0"/>
                <w:sz w:val="21"/>
                <w:szCs w:val="21"/>
                <w:highlight w:val="none"/>
                <w:lang w:eastAsia="zh-CN"/>
              </w:rPr>
              <w:t>区规</w:t>
            </w:r>
            <w:r>
              <w:rPr>
                <w:rFonts w:hint="default" w:ascii="Times New Roman" w:hAnsi="Times New Roman" w:cs="Times New Roman"/>
                <w:color w:val="auto"/>
                <w:kern w:val="0"/>
                <w:sz w:val="21"/>
                <w:szCs w:val="21"/>
                <w:highlight w:val="none"/>
              </w:rPr>
              <w:t>划、国土空间规划、产业发展规划等相关规划及生态环境分区管控要求</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符合区域（流域）或产业规划环评及审查意见要求。</w:t>
            </w:r>
          </w:p>
        </w:tc>
        <w:tc>
          <w:tcPr>
            <w:tcW w:w="1240" w:type="pct"/>
            <w:tcBorders>
              <w:tl2br w:val="nil"/>
              <w:tr2bl w:val="nil"/>
            </w:tcBorders>
            <w:shd w:val="clear" w:color="auto" w:fill="auto"/>
            <w:vAlign w:val="center"/>
          </w:tcPr>
          <w:p w14:paraId="12BD1F3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本项目符合自治区主体功能区规划、自治区和</w:t>
            </w:r>
            <w:r>
              <w:rPr>
                <w:rFonts w:hint="eastAsia" w:cs="Times New Roman"/>
                <w:color w:val="auto"/>
                <w:kern w:val="0"/>
                <w:sz w:val="21"/>
                <w:szCs w:val="21"/>
                <w:highlight w:val="none"/>
                <w:lang w:val="en-US" w:eastAsia="zh-CN"/>
              </w:rPr>
              <w:t>吐鲁番的</w:t>
            </w:r>
            <w:r>
              <w:rPr>
                <w:rFonts w:hint="default" w:ascii="Times New Roman" w:hAnsi="Times New Roman" w:cs="Times New Roman"/>
                <w:color w:val="auto"/>
                <w:kern w:val="0"/>
                <w:sz w:val="21"/>
                <w:szCs w:val="21"/>
                <w:highlight w:val="none"/>
              </w:rPr>
              <w:t>国民经济发展规划等要求。</w:t>
            </w:r>
          </w:p>
        </w:tc>
        <w:tc>
          <w:tcPr>
            <w:tcW w:w="560" w:type="pct"/>
            <w:tcBorders>
              <w:tl2br w:val="nil"/>
              <w:tr2bl w:val="nil"/>
            </w:tcBorders>
            <w:shd w:val="clear" w:color="auto" w:fill="auto"/>
            <w:vAlign w:val="center"/>
          </w:tcPr>
          <w:p w14:paraId="0E41CF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350B0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vMerge w:val="continue"/>
            <w:tcBorders>
              <w:tl2br w:val="nil"/>
              <w:tr2bl w:val="nil"/>
            </w:tcBorders>
            <w:shd w:val="clear" w:color="auto" w:fill="auto"/>
            <w:vAlign w:val="center"/>
          </w:tcPr>
          <w:p w14:paraId="17878D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7248230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禁止在自然保护区、世界自然遗产地、风景名胜区、自然公园（森林公园、地质公园、湿地公园、沙漠公园等）、重要湿地、饮用水水源保护区等依法划定禁止开发建设的环境敏感区及其它法律法规</w:t>
            </w:r>
            <w:r>
              <w:rPr>
                <w:rFonts w:hint="default" w:ascii="Times New Roman" w:hAnsi="Times New Roman" w:cs="Times New Roman"/>
                <w:color w:val="auto"/>
                <w:kern w:val="0"/>
                <w:sz w:val="21"/>
                <w:szCs w:val="21"/>
                <w:highlight w:val="none"/>
                <w:lang w:eastAsia="zh-CN"/>
              </w:rPr>
              <w:t>规章</w:t>
            </w:r>
            <w:r>
              <w:rPr>
                <w:rFonts w:hint="default" w:ascii="Times New Roman" w:hAnsi="Times New Roman" w:cs="Times New Roman"/>
                <w:color w:val="auto"/>
                <w:kern w:val="0"/>
                <w:sz w:val="21"/>
                <w:szCs w:val="21"/>
                <w:highlight w:val="none"/>
              </w:rPr>
              <w:t>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 生态环境部 国家林业和草原局关于加强生态保护红线管理的通知（试行）》（自然资发〔2022〕142号）执行，生态保护红线管控要求调整、更新的，从其规定。</w:t>
            </w:r>
          </w:p>
        </w:tc>
        <w:tc>
          <w:tcPr>
            <w:tcW w:w="1240" w:type="pct"/>
            <w:tcBorders>
              <w:tl2br w:val="nil"/>
              <w:tr2bl w:val="nil"/>
            </w:tcBorders>
            <w:shd w:val="clear" w:color="auto" w:fill="auto"/>
            <w:vAlign w:val="center"/>
          </w:tcPr>
          <w:p w14:paraId="3B6676B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w:t>
            </w:r>
            <w:r>
              <w:rPr>
                <w:rFonts w:hint="default" w:ascii="Times New Roman" w:hAnsi="Times New Roman" w:cs="Times New Roman"/>
                <w:color w:val="auto"/>
                <w:kern w:val="0"/>
                <w:sz w:val="21"/>
                <w:szCs w:val="21"/>
                <w:highlight w:val="none"/>
                <w:lang w:val="en-US" w:eastAsia="zh-CN"/>
              </w:rPr>
              <w:t>位于鄯善县厚旺铜矿有限责任公司现有厂区内</w:t>
            </w:r>
            <w:r>
              <w:rPr>
                <w:rFonts w:hint="default" w:ascii="Times New Roman" w:hAnsi="Times New Roman" w:cs="Times New Roman"/>
                <w:color w:val="auto"/>
                <w:kern w:val="0"/>
                <w:sz w:val="21"/>
                <w:szCs w:val="21"/>
                <w:highlight w:val="none"/>
              </w:rPr>
              <w:t>，不涉及重点保护区域内及</w:t>
            </w:r>
            <w:r>
              <w:rPr>
                <w:rFonts w:hint="eastAsia" w:cs="Times New Roman"/>
                <w:color w:val="auto"/>
                <w:kern w:val="0"/>
                <w:sz w:val="21"/>
                <w:szCs w:val="21"/>
                <w:highlight w:val="none"/>
                <w:lang w:val="en-US" w:eastAsia="zh-CN"/>
              </w:rPr>
              <w:t>其他</w:t>
            </w:r>
            <w:r>
              <w:rPr>
                <w:rFonts w:hint="default" w:ascii="Times New Roman" w:hAnsi="Times New Roman" w:cs="Times New Roman"/>
                <w:color w:val="auto"/>
                <w:kern w:val="0"/>
                <w:sz w:val="21"/>
                <w:szCs w:val="21"/>
                <w:highlight w:val="none"/>
              </w:rPr>
              <w:t>法律法规禁止的区域</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不涉及生态保护红线</w:t>
            </w:r>
            <w:r>
              <w:rPr>
                <w:rFonts w:hint="default" w:ascii="Times New Roman" w:hAnsi="Times New Roman" w:cs="Times New Roman"/>
                <w:color w:val="auto"/>
                <w:kern w:val="0"/>
                <w:sz w:val="21"/>
                <w:szCs w:val="21"/>
                <w:highlight w:val="none"/>
              </w:rPr>
              <w:t>。</w:t>
            </w:r>
          </w:p>
        </w:tc>
        <w:tc>
          <w:tcPr>
            <w:tcW w:w="560" w:type="pct"/>
            <w:tcBorders>
              <w:tl2br w:val="nil"/>
              <w:tr2bl w:val="nil"/>
            </w:tcBorders>
            <w:shd w:val="clear" w:color="auto" w:fill="auto"/>
            <w:vAlign w:val="center"/>
          </w:tcPr>
          <w:p w14:paraId="12F74E5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19469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41" w:hRule="atLeast"/>
        </w:trPr>
        <w:tc>
          <w:tcPr>
            <w:tcW w:w="956" w:type="pct"/>
            <w:vMerge w:val="continue"/>
            <w:tcBorders>
              <w:tl2br w:val="nil"/>
              <w:tr2bl w:val="nil"/>
            </w:tcBorders>
            <w:shd w:val="clear" w:color="auto" w:fill="auto"/>
            <w:vAlign w:val="center"/>
          </w:tcPr>
          <w:p w14:paraId="44DBD84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1E5DD48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建设项目用地原则上不得占用基本农田，确需占用的，应符合《中华人民共和国基本农田保护条例》相关要求；占用耕地、林地或草地的建设项目应符合国家、自治区有关规定。</w:t>
            </w:r>
          </w:p>
        </w:tc>
        <w:tc>
          <w:tcPr>
            <w:tcW w:w="1240" w:type="pct"/>
            <w:tcBorders>
              <w:tl2br w:val="nil"/>
              <w:tr2bl w:val="nil"/>
            </w:tcBorders>
            <w:shd w:val="clear" w:color="auto" w:fill="auto"/>
            <w:vAlign w:val="center"/>
          </w:tcPr>
          <w:p w14:paraId="07D1C47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本项目位于</w:t>
            </w:r>
            <w:r>
              <w:rPr>
                <w:rFonts w:hint="default" w:ascii="Times New Roman" w:hAnsi="Times New Roman" w:cs="Times New Roman"/>
                <w:color w:val="auto"/>
                <w:kern w:val="0"/>
                <w:sz w:val="21"/>
                <w:szCs w:val="21"/>
                <w:highlight w:val="none"/>
                <w:lang w:val="en-US" w:eastAsia="zh-CN"/>
              </w:rPr>
              <w:t>鄯善县厚旺铜矿有限责任公司现有厂区内</w:t>
            </w:r>
            <w:r>
              <w:rPr>
                <w:rFonts w:hint="default" w:ascii="Times New Roman" w:hAnsi="Times New Roman" w:cs="Times New Roman"/>
                <w:color w:val="auto"/>
                <w:kern w:val="0"/>
                <w:sz w:val="21"/>
                <w:szCs w:val="21"/>
                <w:highlight w:val="none"/>
              </w:rPr>
              <w:t>，占用土地为工业用地，不涉及基本农田。</w:t>
            </w:r>
          </w:p>
        </w:tc>
        <w:tc>
          <w:tcPr>
            <w:tcW w:w="560" w:type="pct"/>
            <w:tcBorders>
              <w:tl2br w:val="nil"/>
              <w:tr2bl w:val="nil"/>
            </w:tcBorders>
            <w:shd w:val="clear" w:color="auto" w:fill="auto"/>
            <w:vAlign w:val="center"/>
          </w:tcPr>
          <w:p w14:paraId="663B92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7D627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84" w:hRule="atLeast"/>
        </w:trPr>
        <w:tc>
          <w:tcPr>
            <w:tcW w:w="956" w:type="pct"/>
            <w:vMerge w:val="continue"/>
            <w:tcBorders>
              <w:tl2br w:val="nil"/>
              <w:tr2bl w:val="nil"/>
            </w:tcBorders>
            <w:shd w:val="clear" w:color="auto" w:fill="auto"/>
            <w:vAlign w:val="center"/>
          </w:tcPr>
          <w:p w14:paraId="330C872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12A2304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煤电、石化、化工、钢铁、有色金属冶炼、建材等六个行业建设项目应将碳排放影响评价纳入环境影响评价体系，统筹开展污染物和碳排放的源项识别、源强核算、减污降碳措施可行性论证及方案比选，提出协同控制最优方案。</w:t>
            </w:r>
          </w:p>
        </w:tc>
        <w:tc>
          <w:tcPr>
            <w:tcW w:w="1240" w:type="pct"/>
            <w:tcBorders>
              <w:tl2br w:val="nil"/>
              <w:tr2bl w:val="nil"/>
            </w:tcBorders>
            <w:shd w:val="clear" w:color="auto" w:fill="auto"/>
            <w:vAlign w:val="center"/>
          </w:tcPr>
          <w:p w14:paraId="6BAEAD4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本次无燃料燃烧、工业生产过程中无</w:t>
            </w:r>
            <w:r>
              <w:rPr>
                <w:rFonts w:hint="eastAsia" w:cs="Times New Roman"/>
                <w:color w:val="auto"/>
                <w:kern w:val="0"/>
                <w:sz w:val="21"/>
                <w:szCs w:val="21"/>
                <w:highlight w:val="none"/>
                <w:lang w:val="en-US" w:eastAsia="zh-CN"/>
              </w:rPr>
              <w:t>工艺</w:t>
            </w:r>
            <w:r>
              <w:rPr>
                <w:rFonts w:hint="default" w:ascii="Times New Roman" w:hAnsi="Times New Roman" w:cs="Times New Roman"/>
                <w:color w:val="auto"/>
                <w:kern w:val="0"/>
                <w:sz w:val="21"/>
                <w:szCs w:val="21"/>
                <w:highlight w:val="none"/>
              </w:rPr>
              <w:t>排放CO</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w:t>
            </w:r>
          </w:p>
        </w:tc>
        <w:tc>
          <w:tcPr>
            <w:tcW w:w="560" w:type="pct"/>
            <w:tcBorders>
              <w:tl2br w:val="nil"/>
              <w:tr2bl w:val="nil"/>
            </w:tcBorders>
            <w:shd w:val="clear" w:color="auto" w:fill="auto"/>
            <w:vAlign w:val="center"/>
          </w:tcPr>
          <w:p w14:paraId="00204C0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26487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956" w:type="pct"/>
            <w:vMerge w:val="continue"/>
            <w:tcBorders>
              <w:tl2br w:val="nil"/>
              <w:tr2bl w:val="nil"/>
            </w:tcBorders>
            <w:shd w:val="clear" w:color="auto" w:fill="auto"/>
            <w:vAlign w:val="center"/>
          </w:tcPr>
          <w:p w14:paraId="6D28232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7B558C1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存在地下水和土壤污染途径的建设项目应采取分区防渗措施，防止地下水和土壤污染。存在环境风险的建设项目，提出有效的环境风险防范措施及环境风险应急预案编制原则和要求，纳入区域环境风险应急联动机制。</w:t>
            </w:r>
          </w:p>
        </w:tc>
        <w:tc>
          <w:tcPr>
            <w:tcW w:w="1240" w:type="pct"/>
            <w:tcBorders>
              <w:tl2br w:val="nil"/>
              <w:tr2bl w:val="nil"/>
            </w:tcBorders>
            <w:shd w:val="clear" w:color="auto" w:fill="auto"/>
            <w:vAlign w:val="center"/>
          </w:tcPr>
          <w:p w14:paraId="736FC11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项目采取分区防渗措施防止地下水和土壤污染；环评要求项目运营期间按照管理及安全生产措施，设计、运输和储存中的措施预防事故，编制环境风险应急预案</w:t>
            </w:r>
          </w:p>
        </w:tc>
        <w:tc>
          <w:tcPr>
            <w:tcW w:w="560" w:type="pct"/>
            <w:tcBorders>
              <w:tl2br w:val="nil"/>
              <w:tr2bl w:val="nil"/>
            </w:tcBorders>
            <w:shd w:val="clear" w:color="auto" w:fill="auto"/>
            <w:vAlign w:val="center"/>
          </w:tcPr>
          <w:p w14:paraId="71F2CEE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07639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956" w:type="pct"/>
            <w:vMerge w:val="continue"/>
            <w:tcBorders>
              <w:tl2br w:val="nil"/>
              <w:tr2bl w:val="nil"/>
            </w:tcBorders>
            <w:shd w:val="clear" w:color="auto" w:fill="auto"/>
            <w:vAlign w:val="center"/>
          </w:tcPr>
          <w:p w14:paraId="7DB3392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3CAE21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企业排污车间或工段与环境敏感区距离应满足国家、地方规定或环境影响评价文件提出的大气环境防护距离要求，环境防护距离范围内不应有居民区、学校、医院等环境敏感目标。</w:t>
            </w:r>
          </w:p>
        </w:tc>
        <w:tc>
          <w:tcPr>
            <w:tcW w:w="1240" w:type="pct"/>
            <w:tcBorders>
              <w:tl2br w:val="nil"/>
              <w:tr2bl w:val="nil"/>
            </w:tcBorders>
            <w:shd w:val="clear" w:color="auto" w:fill="auto"/>
            <w:vAlign w:val="center"/>
          </w:tcPr>
          <w:p w14:paraId="26A8B2C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项目位于鄯善县厚旺铜矿有限责任公司现有厂区内，项目北侧500m处为农田，东侧为新疆新华联凌云矿业有限公司，西侧和南侧均为戈壁滩和沙丘</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周边无居民区、学校、医院等环境敏感目标</w:t>
            </w:r>
          </w:p>
        </w:tc>
        <w:tc>
          <w:tcPr>
            <w:tcW w:w="560" w:type="pct"/>
            <w:tcBorders>
              <w:tl2br w:val="nil"/>
              <w:tr2bl w:val="nil"/>
            </w:tcBorders>
            <w:shd w:val="clear" w:color="auto" w:fill="auto"/>
            <w:vAlign w:val="center"/>
          </w:tcPr>
          <w:p w14:paraId="545F55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680DD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956" w:type="pct"/>
            <w:vMerge w:val="continue"/>
            <w:tcBorders>
              <w:tl2br w:val="nil"/>
              <w:tr2bl w:val="nil"/>
            </w:tcBorders>
            <w:shd w:val="clear" w:color="auto" w:fill="auto"/>
            <w:vAlign w:val="center"/>
          </w:tcPr>
          <w:p w14:paraId="0DA66E7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2F070EB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根据《固体废物鉴别标准 通则》（GB34330</w:t>
            </w:r>
            <w:r>
              <w:rPr>
                <w:rFonts w:hint="eastAsia"/>
                <w:color w:val="auto"/>
                <w:sz w:val="21"/>
                <w:szCs w:val="21"/>
                <w:highlight w:val="none"/>
                <w:lang w:eastAsia="zh-CN"/>
              </w:rPr>
              <w:t>）和</w:t>
            </w:r>
            <w:r>
              <w:rPr>
                <w:rFonts w:hint="eastAsia"/>
                <w:color w:val="auto"/>
                <w:sz w:val="21"/>
                <w:szCs w:val="21"/>
                <w:highlight w:val="none"/>
              </w:rPr>
              <w:t>《建设项目危险废物环境影响评价指南》，对建设项目产生的所有副产物，应依据产生来源、利用和处置过程鉴别该副产物是否属于固体废物，作为固体废物管理的副产物应按照《国家危险废物名录》《危险废物鉴别标准 通则》（GB5085.7）等进行危险废物属性判定或鉴别。环评阶段不具备开展危险特性鉴别条件的可能含有危险特性的固体废物，应明确疑似危险废物的名称、种类、可能的有害成分，并明确暂按危险废物从严管理，并要求在该类固体废物产生后开展危险特性鉴别。建设单位应持续提高资源产出率，大宗工业固体废物综合利用率应达到国家及自治区有关要求。</w:t>
            </w:r>
          </w:p>
        </w:tc>
        <w:tc>
          <w:tcPr>
            <w:tcW w:w="1240" w:type="pct"/>
            <w:tcBorders>
              <w:tl2br w:val="nil"/>
              <w:tr2bl w:val="nil"/>
            </w:tcBorders>
            <w:shd w:val="clear" w:color="auto" w:fill="auto"/>
            <w:vAlign w:val="center"/>
          </w:tcPr>
          <w:p w14:paraId="1ADE56C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浸出渣暂存于尾矿库中，并采取苫盖防尘网定期洒水等措施有效抑制扬尘产生，外售下游企业</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收集尘回用于生产；废布袋、</w:t>
            </w:r>
            <w:r>
              <w:rPr>
                <w:rFonts w:hint="default" w:ascii="Times New Roman" w:hAnsi="Times New Roman" w:cs="Times New Roman"/>
                <w:color w:val="auto"/>
                <w:kern w:val="0"/>
                <w:sz w:val="21"/>
                <w:szCs w:val="21"/>
                <w:highlight w:val="none"/>
              </w:rPr>
              <w:t>废机油、</w:t>
            </w:r>
            <w:r>
              <w:rPr>
                <w:rFonts w:hint="eastAsia" w:cs="Times New Roman"/>
                <w:color w:val="auto"/>
                <w:kern w:val="0"/>
                <w:sz w:val="21"/>
                <w:szCs w:val="21"/>
                <w:highlight w:val="none"/>
                <w:lang w:eastAsia="zh-CN"/>
              </w:rPr>
              <w:t>空油桶</w:t>
            </w:r>
            <w:r>
              <w:rPr>
                <w:rFonts w:hint="default" w:ascii="Times New Roman" w:hAnsi="Times New Roman" w:cs="Times New Roman"/>
                <w:color w:val="auto"/>
                <w:kern w:val="0"/>
                <w:sz w:val="21"/>
                <w:szCs w:val="21"/>
                <w:highlight w:val="none"/>
              </w:rPr>
              <w:t>、氢氧化钠包装袋暂存于危险废物贮存点，定期交由有相应处置资质单位处置。</w:t>
            </w:r>
          </w:p>
        </w:tc>
        <w:tc>
          <w:tcPr>
            <w:tcW w:w="560" w:type="pct"/>
            <w:tcBorders>
              <w:tl2br w:val="nil"/>
              <w:tr2bl w:val="nil"/>
            </w:tcBorders>
            <w:shd w:val="clear" w:color="auto" w:fill="auto"/>
            <w:vAlign w:val="center"/>
          </w:tcPr>
          <w:p w14:paraId="08C97FA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17811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1" w:hRule="atLeast"/>
        </w:trPr>
        <w:tc>
          <w:tcPr>
            <w:tcW w:w="956" w:type="pct"/>
            <w:vMerge w:val="continue"/>
            <w:tcBorders>
              <w:tl2br w:val="nil"/>
              <w:tr2bl w:val="nil"/>
            </w:tcBorders>
            <w:shd w:val="clear" w:color="auto" w:fill="auto"/>
            <w:vAlign w:val="center"/>
          </w:tcPr>
          <w:p w14:paraId="07C38D8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33B0AE2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建设项目清洁生产水平应达到国家清洁生产标准的国际先进、国内领先水平或满足清洁生产评价指标体系中的清洁生产企业要求。无国家清洁生产标准和清洁生产评价指标体系的建设项目，其生产工艺与装备要求、资源能源利用指标、污染物产生指标、废物回收利用指标、环境管理要求等各项指标水平应达到国内同行业现有企业先进水平。</w:t>
            </w:r>
          </w:p>
        </w:tc>
        <w:tc>
          <w:tcPr>
            <w:tcW w:w="1240" w:type="pct"/>
            <w:tcBorders>
              <w:tl2br w:val="nil"/>
              <w:tr2bl w:val="nil"/>
            </w:tcBorders>
            <w:shd w:val="clear" w:color="auto" w:fill="auto"/>
            <w:vAlign w:val="center"/>
          </w:tcPr>
          <w:p w14:paraId="41C152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项目铜电解业清洁生产大多数达到一级水平，全部能达到二级水平，因此，项目的清洁生产水平属于国内先进水平。</w:t>
            </w:r>
          </w:p>
        </w:tc>
        <w:tc>
          <w:tcPr>
            <w:tcW w:w="560" w:type="pct"/>
            <w:tcBorders>
              <w:tl2br w:val="nil"/>
              <w:tr2bl w:val="nil"/>
            </w:tcBorders>
            <w:shd w:val="clear" w:color="auto" w:fill="auto"/>
            <w:vAlign w:val="center"/>
          </w:tcPr>
          <w:p w14:paraId="7743531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135E4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83" w:hRule="atLeast"/>
        </w:trPr>
        <w:tc>
          <w:tcPr>
            <w:tcW w:w="956" w:type="pct"/>
            <w:vMerge w:val="continue"/>
            <w:tcBorders>
              <w:tl2br w:val="nil"/>
              <w:tr2bl w:val="nil"/>
            </w:tcBorders>
            <w:shd w:val="clear" w:color="auto" w:fill="auto"/>
            <w:vAlign w:val="center"/>
          </w:tcPr>
          <w:p w14:paraId="4B53D7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34E93A8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鼓励合理利用资源、能源。尽可能采用清洁能源，生产过程中产生的余热、余气、余压应合理利用。采用天然气作原料的应符合天然气利用政策，高污染燃料的使用应符合本通则及其他相关政策要求。按照“清污分流、一水多用、循环使用”的原则，加强节水和统筹用水的管理。鼓励矿井水、中水利用，严格限制使用地下水，最大限度提高水的复用率，减少外排量或实现零排放。</w:t>
            </w:r>
          </w:p>
        </w:tc>
        <w:tc>
          <w:tcPr>
            <w:tcW w:w="1240" w:type="pct"/>
            <w:tcBorders>
              <w:tl2br w:val="nil"/>
              <w:tr2bl w:val="nil"/>
            </w:tcBorders>
            <w:shd w:val="clear" w:color="auto" w:fill="auto"/>
            <w:vAlign w:val="center"/>
          </w:tcPr>
          <w:p w14:paraId="102BB2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本项目</w:t>
            </w:r>
            <w:r>
              <w:rPr>
                <w:rFonts w:hint="default" w:ascii="Times New Roman" w:hAnsi="Times New Roman" w:cs="Times New Roman"/>
                <w:color w:val="auto"/>
                <w:kern w:val="0"/>
                <w:sz w:val="21"/>
                <w:szCs w:val="21"/>
                <w:highlight w:val="none"/>
              </w:rPr>
              <w:t>采用湿法浸出</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固液分离-萃取-电积工艺，本工艺</w:t>
            </w:r>
            <w:r>
              <w:rPr>
                <w:rFonts w:hint="eastAsia" w:cs="Times New Roman"/>
                <w:color w:val="auto"/>
                <w:kern w:val="0"/>
                <w:sz w:val="21"/>
                <w:szCs w:val="21"/>
                <w:highlight w:val="none"/>
                <w:lang w:val="en-US" w:eastAsia="zh-CN"/>
              </w:rPr>
              <w:t>用水</w:t>
            </w:r>
            <w:r>
              <w:rPr>
                <w:rFonts w:hint="eastAsia" w:cs="Times New Roman"/>
                <w:color w:val="auto"/>
                <w:kern w:val="0"/>
                <w:sz w:val="21"/>
                <w:szCs w:val="21"/>
                <w:highlight w:val="none"/>
                <w:lang w:eastAsia="zh-CN"/>
              </w:rPr>
              <w:t>属于</w:t>
            </w:r>
            <w:r>
              <w:rPr>
                <w:rFonts w:hint="default" w:ascii="Times New Roman" w:hAnsi="Times New Roman" w:cs="Times New Roman"/>
                <w:color w:val="auto"/>
                <w:kern w:val="0"/>
                <w:sz w:val="21"/>
                <w:szCs w:val="21"/>
                <w:highlight w:val="none"/>
              </w:rPr>
              <w:t>闭路循环系统，无废水排放</w:t>
            </w:r>
          </w:p>
        </w:tc>
        <w:tc>
          <w:tcPr>
            <w:tcW w:w="560" w:type="pct"/>
            <w:tcBorders>
              <w:tl2br w:val="nil"/>
              <w:tr2bl w:val="nil"/>
            </w:tcBorders>
            <w:shd w:val="clear" w:color="auto" w:fill="auto"/>
            <w:vAlign w:val="center"/>
          </w:tcPr>
          <w:p w14:paraId="2A054D6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bl>
    <w:p w14:paraId="7D02619E">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w:t>
      </w:r>
      <w:r>
        <w:rPr>
          <w:rFonts w:hint="default" w:ascii="Times New Roman" w:hAnsi="Times New Roman" w:cs="Times New Roman"/>
          <w:b/>
          <w:bCs/>
          <w:color w:val="auto"/>
          <w:sz w:val="24"/>
          <w:szCs w:val="24"/>
          <w:highlight w:val="none"/>
          <w:lang w:val="en-US" w:eastAsia="zh-CN"/>
        </w:rPr>
        <w:t>3.7</w:t>
      </w:r>
      <w:r>
        <w:rPr>
          <w:rFonts w:hint="default" w:ascii="Times New Roman" w:hAnsi="Times New Roman" w:cs="Times New Roman"/>
          <w:b/>
          <w:bCs/>
          <w:color w:val="auto"/>
          <w:sz w:val="24"/>
          <w:szCs w:val="24"/>
          <w:highlight w:val="none"/>
        </w:rPr>
        <w:t>与《新疆维吾尔自治区2025年空气质量持续改善行动实施方案》</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新政办发〔2024〕58号</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符合性分析</w:t>
      </w:r>
    </w:p>
    <w:p w14:paraId="683C588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olor w:val="auto"/>
          <w:highlight w:val="none"/>
        </w:rPr>
      </w:pPr>
      <w:r>
        <w:rPr>
          <w:rFonts w:hint="eastAsia" w:cs="Times New Roman"/>
          <w:color w:val="auto"/>
          <w:spacing w:val="-6"/>
          <w:sz w:val="24"/>
          <w:highlight w:val="none"/>
          <w:lang w:val="en-US" w:eastAsia="zh-CN"/>
        </w:rPr>
        <w:t>根据方案</w:t>
      </w:r>
      <w:r>
        <w:rPr>
          <w:rFonts w:hint="default" w:ascii="Times New Roman" w:hAnsi="Times New Roman" w:cs="Times New Roman"/>
          <w:color w:val="auto"/>
          <w:spacing w:val="-6"/>
          <w:sz w:val="24"/>
          <w:highlight w:val="none"/>
        </w:rPr>
        <w:t>要求“</w:t>
      </w:r>
      <w:r>
        <w:rPr>
          <w:rFonts w:hint="eastAsia"/>
          <w:color w:val="auto"/>
          <w:highlight w:val="none"/>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p>
    <w:p w14:paraId="186C5EC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6"/>
          <w:sz w:val="24"/>
          <w:highlight w:val="none"/>
        </w:rPr>
      </w:pPr>
      <w:r>
        <w:rPr>
          <w:rFonts w:hint="eastAsia"/>
          <w:color w:val="auto"/>
          <w:highlight w:val="none"/>
        </w:rPr>
        <w:t>严格落实钢铁产能置换，联防联控区严禁新增钢铁产能。推行钢铁、焦化、烧结一体化布局，大幅减少独立焦化、烧结、球团和热轧企业及工序。到2025年，短流程炼钢产量占比力争提升至15%。</w:t>
      </w:r>
      <w:r>
        <w:rPr>
          <w:rFonts w:hint="default" w:ascii="Times New Roman" w:hAnsi="Times New Roman" w:cs="Times New Roman"/>
          <w:color w:val="auto"/>
          <w:spacing w:val="-6"/>
          <w:sz w:val="24"/>
          <w:highlight w:val="none"/>
        </w:rPr>
        <w:t>”</w:t>
      </w:r>
    </w:p>
    <w:p w14:paraId="30C03F01">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本项</w:t>
      </w:r>
      <w:r>
        <w:rPr>
          <w:rFonts w:hint="eastAsia" w:cs="Times New Roman"/>
          <w:color w:val="auto"/>
          <w:spacing w:val="0"/>
          <w:sz w:val="24"/>
          <w:highlight w:val="none"/>
          <w:lang w:eastAsia="zh-CN"/>
        </w:rPr>
        <w:t>目是</w:t>
      </w:r>
      <w:r>
        <w:rPr>
          <w:rFonts w:hint="default" w:ascii="Times New Roman" w:hAnsi="Times New Roman" w:cs="Times New Roman"/>
          <w:color w:val="auto"/>
          <w:spacing w:val="0"/>
          <w:sz w:val="24"/>
          <w:highlight w:val="none"/>
        </w:rPr>
        <w:t>低品位铜矿湿法冶炼项目</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不属于高耗能、高排放、低水平项目；符合国家和自治区产业政策、生态环境分区管控方案、重点污染物总量控制等相关要求。</w:t>
      </w:r>
    </w:p>
    <w:p w14:paraId="5F659BB3">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根据《重污染天气重点行业应急减排措施制定技术指南（2020年修订版）》中</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十、铜冶炼（二）主要生产工艺：包括熔炼、吹炼、精炼工艺。熔炼分为闪速熔炼、富氧底吹、富氧顶吹、富氧侧吹、合成炉熔炼等富氧熔池熔炼工艺；吹炼包括转炉、闪速、顶吹浸没、底吹、侧吹等吹炼工艺；火法精炼分为回转炉精炼和倾动炉精炼等精炼工艺，湿法精炼主要有电解精炼。</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内容，本项目不属于执行环保绩效A级的铜冶炼类型。</w:t>
      </w:r>
    </w:p>
    <w:p w14:paraId="0F193020">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综上，本项目符合《新疆维吾尔自治区2025年空气质量持续改善行动实施方案》（新政办发〔2024〕58号）相关要求。</w:t>
      </w:r>
    </w:p>
    <w:bookmarkEnd w:id="47"/>
    <w:bookmarkEnd w:id="48"/>
    <w:p w14:paraId="1892A2CC">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1.3.4与“生态环境分区管控方案”的符合性分析</w:t>
      </w:r>
    </w:p>
    <w:p w14:paraId="676D92BF">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根据《关于以改善环境质量为核心加强环境影响评价管理的通知》（环环评〔2016〕150号）：为适应以改善环境质量为核心的环境管理要求，切实加强环境影响评价管理，落实：“生态保护红线、环境质量底线、资源利用上线和环境准入负面清单约束”。建立项目环评审批与规划环评、现有项目环境管理、区域环境质量联动机制（以下简称“三挂钩”机制），更好地发挥环评制度从源头防范污染和生态破坏的作用，加快推进改善环境质量。</w:t>
      </w:r>
    </w:p>
    <w:p w14:paraId="0A436C58">
      <w:pPr>
        <w:pStyle w:val="5"/>
        <w:pageBreakBefore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1.3.4.1</w:t>
      </w:r>
      <w:r>
        <w:rPr>
          <w:rFonts w:hint="default" w:ascii="Times New Roman" w:hAnsi="Times New Roman" w:cs="Times New Roman"/>
          <w:b/>
          <w:bCs/>
          <w:color w:val="auto"/>
          <w:sz w:val="24"/>
          <w:szCs w:val="24"/>
          <w:highlight w:val="none"/>
        </w:rPr>
        <w:t>与“关于印发《新疆维吾尔自治区生态环境分区管控动态更新成果》的通知”（新环环评发〔2024〕157号）符合性分析</w:t>
      </w:r>
    </w:p>
    <w:p w14:paraId="7C545219">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 xml:space="preserve">（1）生态保护红线 </w:t>
      </w:r>
    </w:p>
    <w:p w14:paraId="2CC5F3AC">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生态保护红线指在生态空间范围内具有特殊重要生态功能、必须强制性严格保护的区域，是保障和维护国家生态安全的底线和生命线，通常包括具有重要水源涵养、</w:t>
      </w:r>
      <w:r>
        <w:rPr>
          <w:rFonts w:hint="eastAsia" w:cs="Times New Roman"/>
          <w:color w:val="auto"/>
          <w:kern w:val="0"/>
          <w:szCs w:val="24"/>
          <w:highlight w:val="none"/>
          <w:lang w:eastAsia="zh-CN" w:bidi="ar"/>
        </w:rPr>
        <w:t>生物多样性保护</w:t>
      </w:r>
      <w:r>
        <w:rPr>
          <w:rFonts w:hint="default" w:ascii="Times New Roman" w:hAnsi="Times New Roman" w:cs="Times New Roman"/>
          <w:color w:val="auto"/>
          <w:kern w:val="0"/>
          <w:szCs w:val="24"/>
          <w:highlight w:val="none"/>
          <w:lang w:bidi="ar"/>
        </w:rPr>
        <w:t>、水土保持、防风固沙、海岸生态稳定等功能的生态功能重要区域，以及水土流失、土地沙化、石漠化、盐渍化等生态环境敏感脆弱区域，本项目位于鄯善县厚旺铜矿有限责任公司现有厂区内</w:t>
      </w:r>
      <w:r>
        <w:rPr>
          <w:rFonts w:hint="eastAsia" w:cs="Times New Roman"/>
          <w:color w:val="auto"/>
          <w:kern w:val="0"/>
          <w:szCs w:val="24"/>
          <w:highlight w:val="none"/>
          <w:lang w:eastAsia="zh-CN" w:bidi="ar"/>
        </w:rPr>
        <w:t>，</w:t>
      </w:r>
      <w:r>
        <w:rPr>
          <w:rFonts w:hint="eastAsia" w:cs="Times New Roman"/>
          <w:color w:val="auto"/>
          <w:kern w:val="0"/>
          <w:szCs w:val="24"/>
          <w:highlight w:val="none"/>
          <w:lang w:val="en-US" w:eastAsia="zh-CN" w:bidi="ar"/>
        </w:rPr>
        <w:t>不涉及生态保护红线</w:t>
      </w:r>
      <w:r>
        <w:rPr>
          <w:rFonts w:hint="default" w:ascii="Times New Roman" w:hAnsi="Times New Roman" w:cs="Times New Roman"/>
          <w:color w:val="auto"/>
          <w:kern w:val="0"/>
          <w:szCs w:val="24"/>
          <w:highlight w:val="none"/>
          <w:lang w:bidi="ar"/>
        </w:rPr>
        <w:t>。</w:t>
      </w:r>
    </w:p>
    <w:p w14:paraId="16E20275">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（2）环境质量底线</w:t>
      </w:r>
    </w:p>
    <w:p w14:paraId="00AF726E">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本次评价现状调查结果显示，项目区评价区域内环境空气除</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kern w:val="0"/>
          <w:szCs w:val="24"/>
          <w:highlight w:val="none"/>
          <w:lang w:bidi="ar"/>
        </w:rPr>
        <w:t>外其他因子均满足《环境空气质量标准》（GB3095-2012）中的二级标准；各水质取样点处地下水各监测因子均未出现超标情况，可以满足《地下水水质标准》（GB/T14848-2017）Ⅲ类标准；项目区声环境质量良好，满足《声环境质量标准》（GB3096-2008）</w:t>
      </w:r>
      <w:r>
        <w:rPr>
          <w:rFonts w:hint="eastAsia" w:cs="Times New Roman"/>
          <w:color w:val="auto"/>
          <w:kern w:val="0"/>
          <w:szCs w:val="24"/>
          <w:highlight w:val="none"/>
          <w:lang w:val="en-US" w:eastAsia="zh-CN" w:bidi="ar"/>
        </w:rPr>
        <w:t>3</w:t>
      </w:r>
      <w:r>
        <w:rPr>
          <w:rFonts w:hint="default" w:ascii="Times New Roman" w:hAnsi="Times New Roman" w:cs="Times New Roman"/>
          <w:color w:val="auto"/>
          <w:kern w:val="0"/>
          <w:szCs w:val="24"/>
          <w:highlight w:val="none"/>
          <w:lang w:bidi="ar"/>
        </w:rPr>
        <w:t>类区标准；根据监测结果可知，项目区土壤环境质量满足《土壤环境质量建设用地土壤污染风险管控标准（试行）》（GB36600-2018）第二类用地风险筛选值标准和《土壤环境质量农用地土壤污染风险管控标准（试行）》（GB15618-2018）中风险筛选值。</w:t>
      </w:r>
    </w:p>
    <w:p w14:paraId="010EFA69">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（3）资源利用上线</w:t>
      </w:r>
    </w:p>
    <w:p w14:paraId="0FC421C4">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eastAsia" w:cs="Times New Roman"/>
          <w:color w:val="auto"/>
          <w:kern w:val="0"/>
          <w:szCs w:val="24"/>
          <w:highlight w:val="none"/>
          <w:lang w:eastAsia="zh-CN" w:bidi="ar"/>
        </w:rPr>
        <w:t>本项目</w:t>
      </w:r>
      <w:r>
        <w:rPr>
          <w:rFonts w:hint="default" w:ascii="Times New Roman" w:hAnsi="Times New Roman" w:cs="Times New Roman"/>
          <w:color w:val="auto"/>
          <w:kern w:val="0"/>
          <w:szCs w:val="24"/>
          <w:highlight w:val="none"/>
          <w:lang w:bidi="ar"/>
        </w:rPr>
        <w:t>开发过程中的生产废水进行综合利用，节约了水资源；能源利用均在区域</w:t>
      </w:r>
      <w:r>
        <w:rPr>
          <w:rFonts w:hint="eastAsia" w:cs="Times New Roman"/>
          <w:color w:val="auto"/>
          <w:kern w:val="0"/>
          <w:szCs w:val="24"/>
          <w:highlight w:val="none"/>
          <w:lang w:eastAsia="zh-CN" w:bidi="ar"/>
        </w:rPr>
        <w:t>用电负荷</w:t>
      </w:r>
      <w:r>
        <w:rPr>
          <w:rFonts w:hint="default" w:ascii="Times New Roman" w:hAnsi="Times New Roman" w:cs="Times New Roman"/>
          <w:color w:val="auto"/>
          <w:kern w:val="0"/>
          <w:szCs w:val="24"/>
          <w:highlight w:val="none"/>
          <w:lang w:bidi="ar"/>
        </w:rPr>
        <w:t>范围内，消耗未超出区域负荷上限。</w:t>
      </w:r>
      <w:r>
        <w:rPr>
          <w:rFonts w:hint="eastAsia" w:cs="Times New Roman"/>
          <w:color w:val="auto"/>
          <w:kern w:val="0"/>
          <w:szCs w:val="24"/>
          <w:highlight w:val="none"/>
          <w:lang w:eastAsia="zh-CN" w:bidi="ar"/>
        </w:rPr>
        <w:t>本项目</w:t>
      </w:r>
      <w:r>
        <w:rPr>
          <w:rFonts w:hint="eastAsia" w:cs="Times New Roman"/>
          <w:color w:val="auto"/>
          <w:kern w:val="0"/>
          <w:szCs w:val="24"/>
          <w:highlight w:val="none"/>
          <w:lang w:val="en-US" w:eastAsia="zh-CN" w:bidi="ar"/>
        </w:rPr>
        <w:t>不新增占地</w:t>
      </w:r>
      <w:r>
        <w:rPr>
          <w:rFonts w:hint="default" w:ascii="Times New Roman" w:hAnsi="Times New Roman" w:cs="Times New Roman"/>
          <w:color w:val="auto"/>
          <w:kern w:val="0"/>
          <w:szCs w:val="24"/>
          <w:highlight w:val="none"/>
          <w:lang w:bidi="ar"/>
        </w:rPr>
        <w:t>，土地资源消耗符合要求。</w:t>
      </w:r>
      <w:r>
        <w:rPr>
          <w:rFonts w:hint="eastAsia" w:cs="Times New Roman"/>
          <w:color w:val="auto"/>
          <w:kern w:val="0"/>
          <w:szCs w:val="24"/>
          <w:highlight w:val="none"/>
          <w:lang w:eastAsia="zh-CN" w:bidi="ar"/>
        </w:rPr>
        <w:t>本项目</w:t>
      </w:r>
      <w:r>
        <w:rPr>
          <w:rFonts w:hint="default" w:ascii="Times New Roman" w:hAnsi="Times New Roman" w:cs="Times New Roman"/>
          <w:color w:val="auto"/>
          <w:kern w:val="0"/>
          <w:szCs w:val="24"/>
          <w:highlight w:val="none"/>
          <w:lang w:bidi="ar"/>
        </w:rPr>
        <w:t>开发符合资源利用上线要求。</w:t>
      </w:r>
    </w:p>
    <w:p w14:paraId="1CC167CD">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3.4.1</w:t>
      </w:r>
      <w:r>
        <w:rPr>
          <w:rFonts w:hint="default" w:ascii="Times New Roman" w:hAnsi="Times New Roman" w:cs="Times New Roman"/>
          <w:b/>
          <w:bCs/>
          <w:color w:val="auto"/>
          <w:sz w:val="24"/>
          <w:szCs w:val="24"/>
          <w:highlight w:val="none"/>
          <w:lang w:val="en-US" w:eastAsia="zh-CN"/>
        </w:rPr>
        <w:t>与《吐鲁番的生态环境分区管控方案》符合性分析</w:t>
      </w:r>
    </w:p>
    <w:p w14:paraId="5BCDBC01">
      <w:pPr>
        <w:pageBreakBefore w:val="0"/>
        <w:wordWrap/>
        <w:topLinePunct w:val="0"/>
        <w:bidi w:val="0"/>
        <w:adjustRightInd w:val="0"/>
        <w:snapToGrid w:val="0"/>
        <w:ind w:left="0" w:leftChars="0" w:right="0" w:firstLine="480"/>
        <w:rPr>
          <w:rFonts w:hint="default" w:ascii="Times New Roman" w:hAnsi="Times New Roman" w:cs="Times New Roman"/>
          <w:b/>
          <w:bCs/>
          <w:snapToGrid w:val="0"/>
          <w:color w:val="auto"/>
          <w:spacing w:val="-2"/>
          <w:kern w:val="0"/>
          <w:sz w:val="21"/>
          <w:szCs w:val="21"/>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内，项目所在单元属于</w:t>
      </w:r>
      <w:r>
        <w:rPr>
          <w:rFonts w:hint="eastAsia" w:cs="Times New Roman"/>
          <w:color w:val="auto"/>
          <w:highlight w:val="none"/>
          <w:lang w:val="en-US" w:eastAsia="zh-CN"/>
        </w:rPr>
        <w:t>鄯善县</w:t>
      </w:r>
      <w:r>
        <w:rPr>
          <w:rFonts w:hint="default" w:ascii="Times New Roman" w:hAnsi="Times New Roman" w:cs="Times New Roman"/>
          <w:color w:val="auto"/>
          <w:highlight w:val="none"/>
        </w:rPr>
        <w:t>艾丁湖矿区重点管控单元（环境管控单元编码：</w:t>
      </w:r>
      <w:r>
        <w:rPr>
          <w:rFonts w:hint="default" w:ascii="Times New Roman" w:hAnsi="Times New Roman" w:cs="Times New Roman"/>
          <w:color w:val="auto"/>
          <w:highlight w:val="none"/>
          <w:lang w:eastAsia="zh-CN"/>
        </w:rPr>
        <w:t>ZH65042120012</w:t>
      </w:r>
      <w:r>
        <w:rPr>
          <w:rFonts w:hint="eastAsia" w:cs="Times New Roman"/>
          <w:color w:val="auto"/>
          <w:highlight w:val="none"/>
          <w:lang w:eastAsia="zh-CN"/>
        </w:rPr>
        <w:t>）</w:t>
      </w:r>
      <w:r>
        <w:rPr>
          <w:rFonts w:hint="default" w:ascii="Times New Roman" w:hAnsi="Times New Roman" w:cs="Times New Roman"/>
          <w:color w:val="auto"/>
          <w:highlight w:val="none"/>
        </w:rPr>
        <w:t>，该环境管控单元分类准入清单及符合性分析见表1.3-</w:t>
      </w:r>
      <w:r>
        <w:rPr>
          <w:rFonts w:hint="eastAsia" w:cs="Times New Roman"/>
          <w:color w:val="auto"/>
          <w:highlight w:val="none"/>
          <w:lang w:val="en-US" w:eastAsia="zh-CN"/>
        </w:rPr>
        <w:t>6</w:t>
      </w:r>
      <w:r>
        <w:rPr>
          <w:rFonts w:hint="default" w:ascii="Times New Roman" w:hAnsi="Times New Roman" w:cs="Times New Roman"/>
          <w:color w:val="auto"/>
          <w:highlight w:val="none"/>
        </w:rPr>
        <w:t>，</w:t>
      </w:r>
      <w:r>
        <w:rPr>
          <w:rFonts w:hint="eastAsia" w:cs="Times New Roman"/>
          <w:color w:val="auto"/>
          <w:highlight w:val="none"/>
          <w:lang w:val="en-US" w:eastAsia="zh-CN"/>
        </w:rPr>
        <w:t>分区管控单元见</w:t>
      </w:r>
      <w:r>
        <w:rPr>
          <w:rFonts w:hint="default" w:ascii="Times New Roman" w:hAnsi="Times New Roman" w:cs="Times New Roman"/>
          <w:color w:val="auto"/>
          <w:highlight w:val="none"/>
          <w:lang w:val="en-US" w:eastAsia="zh-CN"/>
        </w:rPr>
        <w:t>附图1</w:t>
      </w:r>
      <w:r>
        <w:rPr>
          <w:rFonts w:hint="default" w:ascii="Times New Roman" w:hAnsi="Times New Roman" w:cs="Times New Roman"/>
          <w:color w:val="auto"/>
          <w:highlight w:val="none"/>
        </w:rPr>
        <w:t>。</w:t>
      </w:r>
    </w:p>
    <w:p w14:paraId="51D74702">
      <w:pPr>
        <w:pageBreakBefore w:val="0"/>
        <w:widowControl/>
        <w:kinsoku w:val="0"/>
        <w:wordWrap/>
        <w:topLinePunct w:val="0"/>
        <w:autoSpaceDE w:val="0"/>
        <w:autoSpaceDN w:val="0"/>
        <w:bidi w:val="0"/>
        <w:adjustRightInd w:val="0"/>
        <w:snapToGrid w:val="0"/>
        <w:spacing w:line="212" w:lineRule="auto"/>
        <w:ind w:left="0" w:leftChars="0" w:right="0" w:firstLine="0" w:firstLineChars="0"/>
        <w:jc w:val="center"/>
        <w:textAlignment w:val="baseline"/>
        <w:rPr>
          <w:rFonts w:hint="default" w:ascii="Times New Roman" w:hAnsi="Times New Roman" w:eastAsia="黑体" w:cs="Times New Roman"/>
          <w:snapToGrid w:val="0"/>
          <w:color w:val="auto"/>
          <w:kern w:val="0"/>
          <w:sz w:val="21"/>
          <w:szCs w:val="21"/>
          <w:highlight w:val="none"/>
        </w:rPr>
      </w:pPr>
      <w:r>
        <w:rPr>
          <w:rFonts w:hint="default" w:ascii="Times New Roman" w:hAnsi="Times New Roman" w:cs="Times New Roman"/>
          <w:b/>
          <w:bCs/>
          <w:snapToGrid w:val="0"/>
          <w:color w:val="auto"/>
          <w:spacing w:val="-2"/>
          <w:kern w:val="0"/>
          <w:sz w:val="21"/>
          <w:szCs w:val="21"/>
          <w:highlight w:val="none"/>
        </w:rPr>
        <w:t>表1.3-</w:t>
      </w:r>
      <w:r>
        <w:rPr>
          <w:rFonts w:hint="eastAsia" w:cs="Times New Roman"/>
          <w:b/>
          <w:bCs/>
          <w:snapToGrid w:val="0"/>
          <w:color w:val="auto"/>
          <w:spacing w:val="-2"/>
          <w:kern w:val="0"/>
          <w:sz w:val="21"/>
          <w:szCs w:val="21"/>
          <w:highlight w:val="none"/>
          <w:lang w:val="en-US" w:eastAsia="zh-CN"/>
        </w:rPr>
        <w:t>6</w:t>
      </w:r>
      <w:r>
        <w:rPr>
          <w:rFonts w:hint="default" w:ascii="Times New Roman" w:hAnsi="Times New Roman" w:cs="Times New Roman"/>
          <w:b/>
          <w:bCs/>
          <w:snapToGrid w:val="0"/>
          <w:color w:val="auto"/>
          <w:spacing w:val="-2"/>
          <w:kern w:val="0"/>
          <w:sz w:val="21"/>
          <w:szCs w:val="21"/>
          <w:highlight w:val="none"/>
        </w:rPr>
        <w:t xml:space="preserve">  </w:t>
      </w:r>
      <w:r>
        <w:rPr>
          <w:rFonts w:hint="default" w:ascii="Times New Roman" w:hAnsi="Times New Roman" w:cs="Times New Roman"/>
          <w:b/>
          <w:bCs/>
          <w:snapToGrid w:val="0"/>
          <w:color w:val="auto"/>
          <w:spacing w:val="-1"/>
          <w:kern w:val="0"/>
          <w:sz w:val="21"/>
          <w:szCs w:val="21"/>
          <w:highlight w:val="none"/>
        </w:rPr>
        <w:t>鄯善县重点管控单元分类准入清单及符合性分析</w:t>
      </w:r>
    </w:p>
    <w:tbl>
      <w:tblPr>
        <w:tblStyle w:val="121"/>
        <w:tblW w:w="8293" w:type="dxa"/>
        <w:tblInd w:w="159"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44"/>
        <w:gridCol w:w="4726"/>
        <w:gridCol w:w="2280"/>
        <w:gridCol w:w="643"/>
      </w:tblGrid>
      <w:tr w14:paraId="5E7B59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blHeader/>
        </w:trPr>
        <w:tc>
          <w:tcPr>
            <w:tcW w:w="644" w:type="dxa"/>
            <w:tcBorders>
              <w:tl2br w:val="nil"/>
              <w:tr2bl w:val="nil"/>
            </w:tcBorders>
            <w:vAlign w:val="center"/>
          </w:tcPr>
          <w:p w14:paraId="099FD3C9">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spacing w:val="-3"/>
                <w:kern w:val="0"/>
                <w:sz w:val="21"/>
                <w:szCs w:val="21"/>
                <w:highlight w:val="none"/>
              </w:rPr>
              <w:t>项</w:t>
            </w:r>
            <w:r>
              <w:rPr>
                <w:rFonts w:hint="default" w:ascii="Times New Roman" w:hAnsi="Times New Roman" w:eastAsia="宋体" w:cs="Times New Roman"/>
                <w:b/>
                <w:bCs/>
                <w:snapToGrid w:val="0"/>
                <w:color w:val="auto"/>
                <w:spacing w:val="-2"/>
                <w:kern w:val="0"/>
                <w:sz w:val="21"/>
                <w:szCs w:val="21"/>
                <w:highlight w:val="none"/>
              </w:rPr>
              <w:t>目</w:t>
            </w:r>
          </w:p>
        </w:tc>
        <w:tc>
          <w:tcPr>
            <w:tcW w:w="4726" w:type="dxa"/>
            <w:tcBorders>
              <w:tl2br w:val="nil"/>
              <w:tr2bl w:val="nil"/>
            </w:tcBorders>
            <w:vAlign w:val="center"/>
          </w:tcPr>
          <w:p w14:paraId="2238C041">
            <w:pPr>
              <w:pageBreakBefore w:val="0"/>
              <w:widowControl/>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spacing w:val="-1"/>
                <w:kern w:val="0"/>
                <w:sz w:val="21"/>
                <w:szCs w:val="21"/>
                <w:highlight w:val="none"/>
              </w:rPr>
              <w:t>重点管控单元</w:t>
            </w:r>
            <w:r>
              <w:rPr>
                <w:rFonts w:hint="default" w:ascii="Times New Roman" w:hAnsi="Times New Roman" w:eastAsia="宋体" w:cs="Times New Roman"/>
                <w:b/>
                <w:bCs/>
                <w:snapToGrid w:val="0"/>
                <w:color w:val="auto"/>
                <w:kern w:val="0"/>
                <w:sz w:val="21"/>
                <w:szCs w:val="21"/>
                <w:highlight w:val="none"/>
              </w:rPr>
              <w:t>管控要求</w:t>
            </w:r>
          </w:p>
        </w:tc>
        <w:tc>
          <w:tcPr>
            <w:tcW w:w="2280" w:type="dxa"/>
            <w:tcBorders>
              <w:tl2br w:val="nil"/>
              <w:tr2bl w:val="nil"/>
            </w:tcBorders>
            <w:vAlign w:val="center"/>
          </w:tcPr>
          <w:p w14:paraId="6B9C575A">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spacing w:val="-2"/>
                <w:kern w:val="0"/>
                <w:sz w:val="21"/>
                <w:szCs w:val="21"/>
                <w:highlight w:val="none"/>
              </w:rPr>
              <w:t>符合</w:t>
            </w:r>
            <w:r>
              <w:rPr>
                <w:rFonts w:hint="default" w:ascii="Times New Roman" w:hAnsi="Times New Roman" w:eastAsia="宋体" w:cs="Times New Roman"/>
                <w:b/>
                <w:bCs/>
                <w:snapToGrid w:val="0"/>
                <w:color w:val="auto"/>
                <w:spacing w:val="-1"/>
                <w:kern w:val="0"/>
                <w:sz w:val="21"/>
                <w:szCs w:val="21"/>
                <w:highlight w:val="none"/>
              </w:rPr>
              <w:t>性分析</w:t>
            </w:r>
          </w:p>
        </w:tc>
        <w:tc>
          <w:tcPr>
            <w:tcW w:w="643" w:type="dxa"/>
            <w:tcBorders>
              <w:tl2br w:val="nil"/>
              <w:tr2bl w:val="nil"/>
            </w:tcBorders>
            <w:vAlign w:val="center"/>
          </w:tcPr>
          <w:p w14:paraId="4F6C5D5F">
            <w:pPr>
              <w:pageBreakBefore w:val="0"/>
              <w:widowControl/>
              <w:wordWrap/>
              <w:topLinePunct w:val="0"/>
              <w:autoSpaceDE w:val="0"/>
              <w:autoSpaceDN w:val="0"/>
              <w:bidi w:val="0"/>
              <w:adjustRightInd w:val="0"/>
              <w:snapToGrid w:val="0"/>
              <w:spacing w:line="222" w:lineRule="auto"/>
              <w:ind w:left="0" w:leftChars="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spacing w:val="-4"/>
                <w:kern w:val="0"/>
                <w:sz w:val="21"/>
                <w:szCs w:val="21"/>
                <w:highlight w:val="none"/>
              </w:rPr>
              <w:t>结</w:t>
            </w:r>
            <w:r>
              <w:rPr>
                <w:rFonts w:hint="default" w:ascii="Times New Roman" w:hAnsi="Times New Roman" w:eastAsia="宋体" w:cs="Times New Roman"/>
                <w:b/>
                <w:bCs/>
                <w:snapToGrid w:val="0"/>
                <w:color w:val="auto"/>
                <w:spacing w:val="-2"/>
                <w:kern w:val="0"/>
                <w:sz w:val="21"/>
                <w:szCs w:val="21"/>
                <w:highlight w:val="none"/>
              </w:rPr>
              <w:t>论</w:t>
            </w:r>
          </w:p>
        </w:tc>
      </w:tr>
      <w:tr w14:paraId="674312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4" w:type="dxa"/>
            <w:tcBorders>
              <w:tl2br w:val="nil"/>
              <w:tr2bl w:val="nil"/>
            </w:tcBorders>
            <w:vAlign w:val="center"/>
          </w:tcPr>
          <w:p w14:paraId="65260B78">
            <w:pPr>
              <w:pageBreakBefore w:val="0"/>
              <w:widowControl/>
              <w:wordWrap/>
              <w:topLinePunct w:val="0"/>
              <w:autoSpaceDE w:val="0"/>
              <w:autoSpaceDN w:val="0"/>
              <w:bidi w:val="0"/>
              <w:adjustRightInd w:val="0"/>
              <w:snapToGrid w:val="0"/>
              <w:spacing w:line="249" w:lineRule="auto"/>
              <w:ind w:left="0" w:leftChars="0" w:right="0" w:firstLine="6"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7"/>
                <w:kern w:val="0"/>
                <w:sz w:val="21"/>
                <w:szCs w:val="21"/>
                <w:highlight w:val="none"/>
              </w:rPr>
              <w:t>空</w:t>
            </w:r>
            <w:r>
              <w:rPr>
                <w:rFonts w:hint="default" w:ascii="Times New Roman" w:hAnsi="Times New Roman" w:eastAsia="宋体" w:cs="Times New Roman"/>
                <w:snapToGrid w:val="0"/>
                <w:color w:val="auto"/>
                <w:spacing w:val="-6"/>
                <w:kern w:val="0"/>
                <w:sz w:val="21"/>
                <w:szCs w:val="21"/>
                <w:highlight w:val="none"/>
              </w:rPr>
              <w:t>间</w:t>
            </w:r>
            <w:r>
              <w:rPr>
                <w:rFonts w:hint="default" w:ascii="Times New Roman" w:hAnsi="Times New Roman" w:eastAsia="宋体" w:cs="Times New Roman"/>
                <w:snapToGrid w:val="0"/>
                <w:color w:val="auto"/>
                <w:spacing w:val="-3"/>
                <w:kern w:val="0"/>
                <w:sz w:val="21"/>
                <w:szCs w:val="21"/>
                <w:highlight w:val="none"/>
              </w:rPr>
              <w:t>布局约束</w:t>
            </w:r>
          </w:p>
        </w:tc>
        <w:tc>
          <w:tcPr>
            <w:tcW w:w="4726" w:type="dxa"/>
            <w:tcBorders>
              <w:tl2br w:val="nil"/>
              <w:tr2bl w:val="nil"/>
            </w:tcBorders>
            <w:vAlign w:val="center"/>
          </w:tcPr>
          <w:p w14:paraId="5FE53D93">
            <w:pPr>
              <w:pageBreakBefore w:val="0"/>
              <w:widowControl/>
              <w:wordWrap/>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1.围绕大型煤电基地和现代煤化工项目用煤需要，在充分利用现有煤矿生产能力的前提下，严格依照规划新建煤矿项目，并严格执行煤炭产能置换的相关政策。</w:t>
            </w:r>
          </w:p>
          <w:p w14:paraId="51951AED">
            <w:pPr>
              <w:pageBreakBefore w:val="0"/>
              <w:widowControl/>
              <w:wordWrap/>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2.煤炭资源开发项目原则上要按照国家和自治区有关政策要求配套建设相应的洗选厂。</w:t>
            </w:r>
          </w:p>
          <w:p w14:paraId="03C02BB0">
            <w:pPr>
              <w:pageBreakBefore w:val="0"/>
              <w:widowControl/>
              <w:wordWrap/>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3.合理权衡煤炭开采方式。禁止新建非机械化开采的煤矿；禁止建设45 万吨/年以下能力的改扩建矿井；禁止核准新建120 万吨/年矿井及400 万吨/年露天以下规模的煤矿项目。禁止开采放射性核素超过《</w:t>
            </w:r>
            <w:bookmarkStart w:id="49" w:name="OLE_LINK16"/>
            <w:r>
              <w:rPr>
                <w:rFonts w:hint="default" w:ascii="Times New Roman" w:hAnsi="Times New Roman" w:eastAsia="宋体" w:cs="Times New Roman"/>
                <w:snapToGrid w:val="0"/>
                <w:color w:val="auto"/>
                <w:kern w:val="0"/>
                <w:sz w:val="21"/>
                <w:szCs w:val="21"/>
                <w:highlight w:val="none"/>
              </w:rPr>
              <w:t>新疆煤炭资源开采天然放射性核素限量</w:t>
            </w:r>
            <w:bookmarkEnd w:id="49"/>
            <w:r>
              <w:rPr>
                <w:rFonts w:hint="default" w:ascii="Times New Roman" w:hAnsi="Times New Roman" w:eastAsia="宋体" w:cs="Times New Roman"/>
                <w:snapToGrid w:val="0"/>
                <w:color w:val="auto"/>
                <w:kern w:val="0"/>
                <w:sz w:val="21"/>
                <w:szCs w:val="21"/>
                <w:highlight w:val="none"/>
              </w:rPr>
              <w:t>》（DB65/T3471）要求的煤炭资源。新建和改扩建煤炭采选项目选址应符合《煤炭工业矿井设计规范》（GB50215）、《煤炭洗选工程设计规范》（GB50359）。</w:t>
            </w:r>
          </w:p>
        </w:tc>
        <w:tc>
          <w:tcPr>
            <w:tcW w:w="2280" w:type="dxa"/>
            <w:tcBorders>
              <w:tl2br w:val="nil"/>
              <w:tr2bl w:val="nil"/>
            </w:tcBorders>
            <w:vAlign w:val="center"/>
          </w:tcPr>
          <w:p w14:paraId="42BBCB83">
            <w:pPr>
              <w:pageBreakBefore w:val="0"/>
              <w:widowControl/>
              <w:wordWrap/>
              <w:topLinePunct w:val="0"/>
              <w:autoSpaceDE w:val="0"/>
              <w:autoSpaceDN w:val="0"/>
              <w:bidi w:val="0"/>
              <w:adjustRightInd w:val="0"/>
              <w:snapToGrid w:val="0"/>
              <w:spacing w:line="239"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本项目为低品位铜矿湿法冶炼项目，采用湿法浸出－固液分离-萃取-电积工艺，不涉及煤炭开采。</w:t>
            </w:r>
          </w:p>
        </w:tc>
        <w:tc>
          <w:tcPr>
            <w:tcW w:w="643" w:type="dxa"/>
            <w:tcBorders>
              <w:tl2br w:val="nil"/>
              <w:tr2bl w:val="nil"/>
            </w:tcBorders>
            <w:vAlign w:val="center"/>
          </w:tcPr>
          <w:p w14:paraId="55AC933A">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2"/>
                <w:kern w:val="0"/>
                <w:sz w:val="21"/>
                <w:szCs w:val="21"/>
                <w:highlight w:val="none"/>
              </w:rPr>
              <w:t>符合</w:t>
            </w:r>
          </w:p>
        </w:tc>
      </w:tr>
      <w:tr w14:paraId="14498C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4" w:type="dxa"/>
            <w:tcBorders>
              <w:tl2br w:val="nil"/>
              <w:tr2bl w:val="nil"/>
            </w:tcBorders>
            <w:vAlign w:val="center"/>
          </w:tcPr>
          <w:p w14:paraId="6A41FF5D">
            <w:pPr>
              <w:pageBreakBefore w:val="0"/>
              <w:widowControl/>
              <w:wordWrap/>
              <w:topLinePunct w:val="0"/>
              <w:autoSpaceDE w:val="0"/>
              <w:autoSpaceDN w:val="0"/>
              <w:bidi w:val="0"/>
              <w:adjustRightInd w:val="0"/>
              <w:snapToGrid w:val="0"/>
              <w:spacing w:line="249" w:lineRule="auto"/>
              <w:ind w:left="0" w:leftChars="0" w:right="0" w:firstLine="6" w:firstLineChars="0"/>
              <w:jc w:val="center"/>
              <w:textAlignment w:val="baseline"/>
              <w:rPr>
                <w:rFonts w:hint="default" w:ascii="Times New Roman" w:hAnsi="Times New Roman" w:eastAsia="宋体" w:cs="Times New Roman"/>
                <w:snapToGrid w:val="0"/>
                <w:color w:val="auto"/>
                <w:spacing w:val="-7"/>
                <w:kern w:val="0"/>
                <w:sz w:val="21"/>
                <w:szCs w:val="21"/>
                <w:highlight w:val="none"/>
              </w:rPr>
            </w:pPr>
            <w:r>
              <w:rPr>
                <w:rFonts w:hint="default" w:ascii="Times New Roman" w:hAnsi="Times New Roman" w:eastAsia="宋体" w:cs="Times New Roman"/>
                <w:snapToGrid w:val="0"/>
                <w:color w:val="auto"/>
                <w:kern w:val="0"/>
                <w:sz w:val="21"/>
                <w:szCs w:val="21"/>
                <w:highlight w:val="none"/>
              </w:rPr>
              <w:t>污染物排放管控</w:t>
            </w:r>
          </w:p>
        </w:tc>
        <w:tc>
          <w:tcPr>
            <w:tcW w:w="4726" w:type="dxa"/>
            <w:tcBorders>
              <w:tl2br w:val="nil"/>
              <w:tr2bl w:val="nil"/>
            </w:tcBorders>
            <w:vAlign w:val="center"/>
          </w:tcPr>
          <w:p w14:paraId="31B79EB2">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spacing w:val="-6"/>
                <w:kern w:val="0"/>
                <w:sz w:val="21"/>
                <w:szCs w:val="21"/>
                <w:highlight w:val="none"/>
              </w:rPr>
            </w:pPr>
            <w:r>
              <w:rPr>
                <w:rFonts w:hint="default" w:ascii="Times New Roman" w:hAnsi="Times New Roman" w:eastAsia="宋体" w:cs="Times New Roman"/>
                <w:snapToGrid w:val="0"/>
                <w:color w:val="auto"/>
                <w:spacing w:val="-6"/>
                <w:kern w:val="0"/>
                <w:sz w:val="21"/>
                <w:szCs w:val="21"/>
                <w:highlight w:val="none"/>
              </w:rPr>
              <w:t>1.建设绿色煤炭矿山。</w:t>
            </w:r>
          </w:p>
          <w:p w14:paraId="0B867448">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spacing w:val="-6"/>
                <w:kern w:val="0"/>
                <w:sz w:val="21"/>
                <w:szCs w:val="21"/>
                <w:highlight w:val="none"/>
              </w:rPr>
            </w:pPr>
            <w:r>
              <w:rPr>
                <w:rFonts w:hint="default" w:ascii="Times New Roman" w:hAnsi="Times New Roman" w:eastAsia="宋体" w:cs="Times New Roman"/>
                <w:snapToGrid w:val="0"/>
                <w:color w:val="auto"/>
                <w:spacing w:val="-6"/>
                <w:kern w:val="0"/>
                <w:sz w:val="21"/>
                <w:szCs w:val="21"/>
                <w:highlight w:val="none"/>
              </w:rPr>
              <w:t>2.煤炭贮存、转载、装卸等过程中产生的无组织污染物必须采取防尘抑尘措施，新建及改扩建采煤项目原煤须采用筒仓或封闭式煤场，厂内输送采用封闭式皮带走廊。锅炉灰渣及煤矸石优先综合利用。煤矸石无害化处置率达到100%；露天矿的剥离物集中排入排土场，处置率达100%。</w:t>
            </w:r>
          </w:p>
          <w:p w14:paraId="70DC9B63">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color w:val="auto"/>
                <w:highlight w:val="none"/>
                <w:lang w:bidi="en-US"/>
              </w:rPr>
            </w:pPr>
            <w:r>
              <w:rPr>
                <w:rFonts w:hint="default" w:ascii="Times New Roman" w:hAnsi="Times New Roman" w:eastAsia="宋体" w:cs="Times New Roman"/>
                <w:snapToGrid w:val="0"/>
                <w:color w:val="auto"/>
                <w:spacing w:val="-6"/>
                <w:kern w:val="0"/>
                <w:sz w:val="21"/>
                <w:szCs w:val="21"/>
                <w:highlight w:val="none"/>
              </w:rPr>
              <w:t>3.矿区其他易起尘的堆场均应采取封闭、覆盖、设置防风抑尘网等措施；矿区内道路应尽量进行硬化。</w:t>
            </w:r>
          </w:p>
        </w:tc>
        <w:tc>
          <w:tcPr>
            <w:tcW w:w="2280" w:type="dxa"/>
            <w:tcBorders>
              <w:tl2br w:val="nil"/>
              <w:tr2bl w:val="nil"/>
            </w:tcBorders>
            <w:vAlign w:val="center"/>
          </w:tcPr>
          <w:p w14:paraId="00045D3B">
            <w:pPr>
              <w:pageBreakBefore w:val="0"/>
              <w:widowControl/>
              <w:wordWrap/>
              <w:topLinePunct w:val="0"/>
              <w:autoSpaceDE w:val="0"/>
              <w:autoSpaceDN w:val="0"/>
              <w:bidi w:val="0"/>
              <w:adjustRightInd w:val="0"/>
              <w:snapToGrid w:val="0"/>
              <w:spacing w:line="239" w:lineRule="auto"/>
              <w:ind w:left="0" w:leftChars="0" w:right="0" w:firstLine="0" w:firstLineChars="0"/>
              <w:jc w:val="center"/>
              <w:textAlignment w:val="baseline"/>
              <w:rPr>
                <w:rFonts w:hint="default" w:ascii="Times New Roman" w:hAnsi="Times New Roman" w:eastAsia="宋体" w:cs="Times New Roman"/>
                <w:snapToGrid w:val="0"/>
                <w:color w:val="auto"/>
                <w:spacing w:val="-6"/>
                <w:kern w:val="0"/>
                <w:sz w:val="21"/>
                <w:szCs w:val="21"/>
                <w:highlight w:val="none"/>
              </w:rPr>
            </w:pPr>
            <w:r>
              <w:rPr>
                <w:rFonts w:hint="default" w:ascii="Times New Roman" w:hAnsi="Times New Roman" w:eastAsia="宋体" w:cs="Times New Roman"/>
                <w:snapToGrid w:val="0"/>
                <w:color w:val="auto"/>
                <w:spacing w:val="-6"/>
                <w:kern w:val="0"/>
                <w:sz w:val="21"/>
                <w:szCs w:val="21"/>
                <w:highlight w:val="none"/>
              </w:rPr>
              <w:t>本项目污染物均能实现稳定达标排放，废水不外排</w:t>
            </w:r>
            <w:r>
              <w:rPr>
                <w:rFonts w:hint="default" w:ascii="Times New Roman" w:hAnsi="Times New Roman" w:eastAsia="宋体" w:cs="Times New Roman"/>
                <w:snapToGrid w:val="0"/>
                <w:color w:val="auto"/>
                <w:kern w:val="0"/>
                <w:sz w:val="21"/>
                <w:szCs w:val="21"/>
                <w:highlight w:val="none"/>
              </w:rPr>
              <w:t>；项目不涉及煤化工、</w:t>
            </w:r>
            <w:r>
              <w:rPr>
                <w:rFonts w:hint="default" w:ascii="Times New Roman" w:hAnsi="Times New Roman" w:eastAsia="宋体" w:cs="Times New Roman"/>
                <w:snapToGrid w:val="0"/>
                <w:color w:val="auto"/>
                <w:kern w:val="0"/>
                <w:sz w:val="21"/>
                <w:szCs w:val="21"/>
                <w:highlight w:val="none"/>
                <w:lang w:val="en-US" w:eastAsia="zh-CN"/>
              </w:rPr>
              <w:t>煤矿开采</w:t>
            </w:r>
            <w:r>
              <w:rPr>
                <w:rFonts w:hint="default" w:ascii="Times New Roman" w:hAnsi="Times New Roman" w:eastAsia="宋体" w:cs="Times New Roman"/>
                <w:snapToGrid w:val="0"/>
                <w:color w:val="auto"/>
                <w:kern w:val="0"/>
                <w:sz w:val="21"/>
                <w:szCs w:val="21"/>
                <w:highlight w:val="none"/>
              </w:rPr>
              <w:t>等行业；项目对生产废水综合利用，不排放生产废水。</w:t>
            </w:r>
          </w:p>
        </w:tc>
        <w:tc>
          <w:tcPr>
            <w:tcW w:w="643" w:type="dxa"/>
            <w:tcBorders>
              <w:tl2br w:val="nil"/>
              <w:tr2bl w:val="nil"/>
            </w:tcBorders>
            <w:vAlign w:val="center"/>
          </w:tcPr>
          <w:p w14:paraId="15F84CDC">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2"/>
                <w:kern w:val="0"/>
                <w:sz w:val="21"/>
                <w:szCs w:val="21"/>
                <w:highlight w:val="none"/>
              </w:rPr>
              <w:t>符合</w:t>
            </w:r>
          </w:p>
        </w:tc>
      </w:tr>
      <w:tr w14:paraId="3FD308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4" w:type="dxa"/>
            <w:tcBorders>
              <w:tl2br w:val="nil"/>
              <w:tr2bl w:val="nil"/>
            </w:tcBorders>
            <w:vAlign w:val="center"/>
          </w:tcPr>
          <w:p w14:paraId="6ACBD0D9">
            <w:pPr>
              <w:pageBreakBefore w:val="0"/>
              <w:widowControl/>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环境风险防控</w:t>
            </w:r>
          </w:p>
        </w:tc>
        <w:tc>
          <w:tcPr>
            <w:tcW w:w="4726" w:type="dxa"/>
            <w:tcBorders>
              <w:tl2br w:val="nil"/>
              <w:tr2bl w:val="nil"/>
            </w:tcBorders>
            <w:vAlign w:val="center"/>
          </w:tcPr>
          <w:p w14:paraId="43F88D22">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1.完善危险源防控机制，提升矿井综合抗灾能力，实施安全闭合管理，确保隐患治理到位。</w:t>
            </w:r>
          </w:p>
        </w:tc>
        <w:tc>
          <w:tcPr>
            <w:tcW w:w="2280" w:type="dxa"/>
            <w:tcBorders>
              <w:tl2br w:val="nil"/>
              <w:tr2bl w:val="nil"/>
            </w:tcBorders>
            <w:vAlign w:val="center"/>
          </w:tcPr>
          <w:p w14:paraId="3B642145">
            <w:pPr>
              <w:pageBreakBefore w:val="0"/>
              <w:widowControl/>
              <w:wordWrap/>
              <w:topLinePunct w:val="0"/>
              <w:autoSpaceDE w:val="0"/>
              <w:autoSpaceDN w:val="0"/>
              <w:bidi w:val="0"/>
              <w:adjustRightInd w:val="0"/>
              <w:snapToGrid w:val="0"/>
              <w:spacing w:line="239" w:lineRule="auto"/>
              <w:ind w:left="0" w:leftChars="0" w:right="0" w:firstLine="0" w:firstLineChars="0"/>
              <w:jc w:val="center"/>
              <w:textAlignment w:val="baseline"/>
              <w:rPr>
                <w:rFonts w:hint="default" w:ascii="Times New Roman" w:hAnsi="Times New Roman" w:eastAsia="宋体" w:cs="Times New Roman"/>
                <w:snapToGrid w:val="0"/>
                <w:color w:val="auto"/>
                <w:spacing w:val="-6"/>
                <w:kern w:val="0"/>
                <w:sz w:val="21"/>
                <w:szCs w:val="21"/>
                <w:highlight w:val="none"/>
              </w:rPr>
            </w:pPr>
            <w:r>
              <w:rPr>
                <w:rFonts w:hint="default" w:ascii="Times New Roman" w:hAnsi="Times New Roman" w:eastAsia="宋体" w:cs="Times New Roman"/>
                <w:snapToGrid w:val="0"/>
                <w:color w:val="auto"/>
                <w:spacing w:val="-6"/>
                <w:kern w:val="0"/>
                <w:sz w:val="21"/>
                <w:szCs w:val="21"/>
                <w:highlight w:val="none"/>
                <w:lang w:val="en-US" w:eastAsia="zh-CN"/>
              </w:rPr>
              <w:t>本项目不涉及矿井工程，</w:t>
            </w:r>
            <w:r>
              <w:rPr>
                <w:rFonts w:hint="default" w:ascii="Times New Roman" w:hAnsi="Times New Roman" w:eastAsia="宋体" w:cs="Times New Roman"/>
                <w:snapToGrid w:val="0"/>
                <w:color w:val="auto"/>
                <w:spacing w:val="-6"/>
                <w:kern w:val="0"/>
                <w:sz w:val="21"/>
                <w:szCs w:val="21"/>
                <w:highlight w:val="none"/>
              </w:rPr>
              <w:t>危险废物运输采用危废专用车辆运输，</w:t>
            </w:r>
            <w:r>
              <w:rPr>
                <w:rFonts w:hint="eastAsia" w:cs="Times New Roman"/>
                <w:snapToGrid w:val="0"/>
                <w:color w:val="auto"/>
                <w:spacing w:val="-6"/>
                <w:kern w:val="0"/>
                <w:sz w:val="21"/>
                <w:szCs w:val="21"/>
                <w:highlight w:val="none"/>
                <w:lang w:eastAsia="zh-CN"/>
              </w:rPr>
              <w:t>危废贮存库</w:t>
            </w:r>
            <w:r>
              <w:rPr>
                <w:rFonts w:hint="default" w:ascii="Times New Roman" w:hAnsi="Times New Roman" w:eastAsia="宋体" w:cs="Times New Roman"/>
                <w:snapToGrid w:val="0"/>
                <w:color w:val="auto"/>
                <w:spacing w:val="-6"/>
                <w:kern w:val="0"/>
                <w:sz w:val="21"/>
                <w:szCs w:val="21"/>
                <w:highlight w:val="none"/>
              </w:rPr>
              <w:t>进行防渗处理，厂区</w:t>
            </w:r>
            <w:r>
              <w:rPr>
                <w:rFonts w:hint="eastAsia" w:cs="Times New Roman"/>
                <w:snapToGrid w:val="0"/>
                <w:color w:val="auto"/>
                <w:spacing w:val="-6"/>
                <w:kern w:val="0"/>
                <w:sz w:val="21"/>
                <w:szCs w:val="21"/>
                <w:highlight w:val="none"/>
                <w:lang w:val="en-US" w:eastAsia="zh-CN"/>
              </w:rPr>
              <w:t>新建</w:t>
            </w:r>
            <w:r>
              <w:rPr>
                <w:rFonts w:hint="default" w:ascii="Times New Roman" w:hAnsi="Times New Roman" w:eastAsia="宋体" w:cs="Times New Roman"/>
                <w:snapToGrid w:val="0"/>
                <w:color w:val="auto"/>
                <w:spacing w:val="-6"/>
                <w:kern w:val="0"/>
                <w:sz w:val="21"/>
                <w:szCs w:val="21"/>
                <w:highlight w:val="none"/>
              </w:rPr>
              <w:t>500m</w:t>
            </w:r>
            <w:r>
              <w:rPr>
                <w:rFonts w:hint="default" w:ascii="Times New Roman" w:hAnsi="Times New Roman" w:eastAsia="宋体" w:cs="Times New Roman"/>
                <w:snapToGrid w:val="0"/>
                <w:color w:val="auto"/>
                <w:spacing w:val="-6"/>
                <w:kern w:val="0"/>
                <w:sz w:val="21"/>
                <w:szCs w:val="21"/>
                <w:highlight w:val="none"/>
                <w:vertAlign w:val="superscript"/>
              </w:rPr>
              <w:t>3</w:t>
            </w:r>
            <w:r>
              <w:rPr>
                <w:rFonts w:hint="default" w:ascii="Times New Roman" w:hAnsi="Times New Roman" w:eastAsia="宋体" w:cs="Times New Roman"/>
                <w:snapToGrid w:val="0"/>
                <w:color w:val="auto"/>
                <w:spacing w:val="-6"/>
                <w:kern w:val="0"/>
                <w:sz w:val="21"/>
                <w:szCs w:val="21"/>
                <w:highlight w:val="none"/>
              </w:rPr>
              <w:t>的应急事故池。</w:t>
            </w:r>
          </w:p>
        </w:tc>
        <w:tc>
          <w:tcPr>
            <w:tcW w:w="643" w:type="dxa"/>
            <w:tcBorders>
              <w:tl2br w:val="nil"/>
              <w:tr2bl w:val="nil"/>
            </w:tcBorders>
            <w:vAlign w:val="center"/>
          </w:tcPr>
          <w:p w14:paraId="17826B3B">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2"/>
                <w:kern w:val="0"/>
                <w:sz w:val="21"/>
                <w:szCs w:val="21"/>
                <w:highlight w:val="none"/>
              </w:rPr>
              <w:t>符合</w:t>
            </w:r>
          </w:p>
        </w:tc>
      </w:tr>
      <w:tr w14:paraId="7EB006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4" w:type="dxa"/>
            <w:tcBorders>
              <w:tl2br w:val="nil"/>
              <w:tr2bl w:val="nil"/>
            </w:tcBorders>
            <w:vAlign w:val="center"/>
          </w:tcPr>
          <w:p w14:paraId="2BC72D01">
            <w:pPr>
              <w:pageBreakBefore w:val="0"/>
              <w:widowControl/>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资源利用效率</w:t>
            </w:r>
          </w:p>
        </w:tc>
        <w:tc>
          <w:tcPr>
            <w:tcW w:w="4726" w:type="dxa"/>
            <w:tcBorders>
              <w:tl2br w:val="nil"/>
              <w:tr2bl w:val="nil"/>
            </w:tcBorders>
            <w:vAlign w:val="center"/>
          </w:tcPr>
          <w:p w14:paraId="557969B9">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1.加强煤炭安全绿色开发和清洁高效利用，推广使用优质煤、洁净型煤。</w:t>
            </w:r>
          </w:p>
          <w:p w14:paraId="2963E670">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2.严把耗煤新项目准入关，控制煤炭消费总量。</w:t>
            </w:r>
          </w:p>
          <w:p w14:paraId="2B4242A3">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 进一步提高选矿废水综合利用率，促进煤矸石、矿井水等资源综合利用。新建矿山和现有生产矿山的地质环境得到全面治理和复垦，“三废”达标排放率达到95%，废水综合利用率达到70%以上，固体废物综合利用率达到50%以上；对全县的历史遗留地质环境问题，进行逐一恢复治理。</w:t>
            </w:r>
          </w:p>
        </w:tc>
        <w:tc>
          <w:tcPr>
            <w:tcW w:w="2280" w:type="dxa"/>
            <w:tcBorders>
              <w:tl2br w:val="nil"/>
              <w:tr2bl w:val="nil"/>
            </w:tcBorders>
            <w:vAlign w:val="center"/>
          </w:tcPr>
          <w:p w14:paraId="29B5ABCE">
            <w:pPr>
              <w:pageBreakBefore w:val="0"/>
              <w:widowControl/>
              <w:wordWrap/>
              <w:topLinePunct w:val="0"/>
              <w:autoSpaceDE w:val="0"/>
              <w:autoSpaceDN w:val="0"/>
              <w:bidi w:val="0"/>
              <w:adjustRightInd w:val="0"/>
              <w:snapToGrid w:val="0"/>
              <w:spacing w:line="239" w:lineRule="auto"/>
              <w:ind w:left="0" w:leftChars="0" w:right="0" w:firstLine="0" w:firstLineChars="0"/>
              <w:jc w:val="center"/>
              <w:textAlignment w:val="baseline"/>
              <w:rPr>
                <w:rFonts w:hint="eastAsia" w:ascii="Times New Roman" w:hAnsi="Times New Roman" w:eastAsia="宋体" w:cs="Times New Roman"/>
                <w:snapToGrid w:val="0"/>
                <w:color w:val="auto"/>
                <w:spacing w:val="-6"/>
                <w:kern w:val="0"/>
                <w:sz w:val="21"/>
                <w:szCs w:val="21"/>
                <w:highlight w:val="none"/>
                <w:lang w:eastAsia="zh-CN"/>
              </w:rPr>
            </w:pPr>
            <w:r>
              <w:rPr>
                <w:rFonts w:hint="default" w:ascii="Times New Roman" w:hAnsi="Times New Roman" w:eastAsia="宋体" w:cs="Times New Roman"/>
                <w:snapToGrid w:val="0"/>
                <w:color w:val="auto"/>
                <w:spacing w:val="-6"/>
                <w:kern w:val="0"/>
                <w:sz w:val="21"/>
                <w:szCs w:val="21"/>
                <w:highlight w:val="none"/>
              </w:rPr>
              <w:t>本项目不使用煤炭资源，项目生产废水经处理后循环使用</w:t>
            </w:r>
            <w:r>
              <w:rPr>
                <w:rFonts w:hint="eastAsia" w:cs="Times New Roman"/>
                <w:snapToGrid w:val="0"/>
                <w:color w:val="auto"/>
                <w:spacing w:val="-6"/>
                <w:kern w:val="0"/>
                <w:sz w:val="21"/>
                <w:szCs w:val="21"/>
                <w:highlight w:val="none"/>
                <w:lang w:eastAsia="zh-CN"/>
              </w:rPr>
              <w:t>，</w:t>
            </w:r>
            <w:r>
              <w:rPr>
                <w:rFonts w:hint="default" w:ascii="Times New Roman" w:hAnsi="Times New Roman" w:eastAsia="宋体" w:cs="Times New Roman"/>
                <w:snapToGrid w:val="0"/>
                <w:color w:val="auto"/>
                <w:spacing w:val="-6"/>
                <w:kern w:val="0"/>
                <w:sz w:val="21"/>
                <w:szCs w:val="21"/>
                <w:highlight w:val="none"/>
              </w:rPr>
              <w:t>不外排</w:t>
            </w:r>
            <w:r>
              <w:rPr>
                <w:rFonts w:hint="eastAsia"/>
                <w:color w:val="auto"/>
                <w:highlight w:val="none"/>
                <w:lang w:eastAsia="zh-CN"/>
              </w:rPr>
              <w:t>。</w:t>
            </w:r>
          </w:p>
        </w:tc>
        <w:tc>
          <w:tcPr>
            <w:tcW w:w="643" w:type="dxa"/>
            <w:tcBorders>
              <w:tl2br w:val="nil"/>
              <w:tr2bl w:val="nil"/>
            </w:tcBorders>
            <w:vAlign w:val="center"/>
          </w:tcPr>
          <w:p w14:paraId="68683D15">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2"/>
                <w:kern w:val="0"/>
                <w:sz w:val="21"/>
                <w:szCs w:val="21"/>
                <w:highlight w:val="none"/>
              </w:rPr>
              <w:t>符合</w:t>
            </w:r>
          </w:p>
        </w:tc>
      </w:tr>
    </w:tbl>
    <w:p w14:paraId="7E30367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综合分析，本项目符合《</w:t>
      </w:r>
      <w:r>
        <w:rPr>
          <w:rFonts w:hint="eastAsia" w:cs="Times New Roman"/>
          <w:color w:val="auto"/>
          <w:highlight w:val="none"/>
          <w:lang w:eastAsia="zh-CN"/>
        </w:rPr>
        <w:t>吐鲁番</w:t>
      </w:r>
      <w:r>
        <w:rPr>
          <w:rFonts w:hint="default" w:ascii="Times New Roman" w:hAnsi="Times New Roman" w:cs="Times New Roman"/>
          <w:color w:val="auto"/>
          <w:highlight w:val="none"/>
        </w:rPr>
        <w:t>生态环境分区管控方案》要求。</w:t>
      </w:r>
    </w:p>
    <w:p w14:paraId="12ADAC67">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1.3.5 选址合理性分析 </w:t>
      </w:r>
    </w:p>
    <w:p w14:paraId="753ACC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lang w:val="zh-CN"/>
        </w:rPr>
        <w:t>鄯善县厚旺铜矿有限责任公司</w:t>
      </w:r>
      <w:r>
        <w:rPr>
          <w:rFonts w:hint="default" w:ascii="Times New Roman" w:hAnsi="Times New Roman" w:cs="Times New Roman"/>
          <w:color w:val="auto"/>
          <w:highlight w:val="none"/>
        </w:rPr>
        <w:t>现有厂区内，本项目为湿化铜冶炼项目，不需要入园，项目所在地为矿加工区，企业周边多为铜选矿企业，可以利用选矿企业的低品位氧化矿尾矿进行生产，使得本项目原料有保证；可以利用企业</w:t>
      </w:r>
      <w:r>
        <w:rPr>
          <w:rFonts w:hint="eastAsia" w:cs="Times New Roman"/>
          <w:color w:val="auto"/>
          <w:highlight w:val="none"/>
          <w:lang w:eastAsia="zh-CN"/>
        </w:rPr>
        <w:t>现有</w:t>
      </w:r>
      <w:r>
        <w:rPr>
          <w:rFonts w:hint="default" w:ascii="Times New Roman" w:hAnsi="Times New Roman" w:cs="Times New Roman"/>
          <w:color w:val="auto"/>
          <w:highlight w:val="none"/>
        </w:rPr>
        <w:t>的破碎工序等生产线，减少了项目本身的投资；三可利用企业现有尾矿库，减少新增尾矿库的风险，符合《新疆维吾尔自治区重点行业环境准入条件（</w:t>
      </w:r>
      <w:r>
        <w:rPr>
          <w:rFonts w:hint="eastAsia" w:cs="Times New Roman"/>
          <w:color w:val="auto"/>
          <w:highlight w:val="none"/>
          <w:lang w:val="en-US" w:eastAsia="zh-CN"/>
        </w:rPr>
        <w:t>2024</w:t>
      </w:r>
      <w:r>
        <w:rPr>
          <w:rFonts w:hint="default" w:ascii="Times New Roman" w:hAnsi="Times New Roman" w:cs="Times New Roman"/>
          <w:color w:val="auto"/>
          <w:highlight w:val="none"/>
        </w:rPr>
        <w:t>）》要求，选址合理。</w:t>
      </w:r>
    </w:p>
    <w:p w14:paraId="4C51B1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（1）环境敏感程度</w:t>
      </w:r>
    </w:p>
    <w:p w14:paraId="768548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本项目为湿法冶炼，不在准入条件中“六、有色金属冶炼行业 （一）适用范围适用于自治区行政区域内采用火法冶金（干式冶金）的铜、铅、锌、镍等有色金属和电解铝新、改、扩建生产项目的环境管理活动；不包括经环境影响比选论证后，适宜在矿区就地开展采选冶一体化、尾矿再生利用项目。”不属于必须入园的冶炼项目。</w:t>
      </w:r>
    </w:p>
    <w:p w14:paraId="087C6A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鄯善县厚旺铜矿有限责任公司现有厂区内，项目评价范围内无国家</w:t>
      </w:r>
      <w:r>
        <w:rPr>
          <w:rFonts w:hint="eastAsia" w:cs="Times New Roman"/>
          <w:color w:val="auto"/>
          <w:highlight w:val="none"/>
          <w:lang w:eastAsia="zh-CN"/>
        </w:rPr>
        <w:t>法律法规</w:t>
      </w:r>
      <w:r>
        <w:rPr>
          <w:rFonts w:hint="default" w:ascii="Times New Roman" w:hAnsi="Times New Roman" w:cs="Times New Roman"/>
          <w:color w:val="auto"/>
          <w:highlight w:val="none"/>
        </w:rPr>
        <w:t>及规划确定或县级以上人民政府批准的自然保护区、生态功能保护区、风景名胜区、饮用水水源保护区等需要特殊保护的地区；无医院和食品、药品等对环境条件要求高的企业，故本项目厂址环境敏感程度不高。</w:t>
      </w:r>
    </w:p>
    <w:p w14:paraId="5796AD2A">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（2）周边环境</w:t>
      </w:r>
    </w:p>
    <w:p w14:paraId="37A7053C">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本项目位于鄯善县迪坎矿产加工区鄯善县厚旺铜矿有限责任公司现有厂区内，建设场地周边交通方便，项目交通运输、供水供电等条件能够满足项目建设需要，可确保本项目与周边总体协调发展。</w:t>
      </w:r>
    </w:p>
    <w:p w14:paraId="0CB2B5AB">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（3）环境容量分析</w:t>
      </w:r>
    </w:p>
    <w:p w14:paraId="48921041">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根据环境功能区划，项目所在区域 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满足《环境空气质量标准》GB3095-2012）的二级标准要求</w:t>
      </w:r>
      <w:r>
        <w:rPr>
          <w:rFonts w:hint="eastAsia" w:cs="Times New Roman"/>
          <w:color w:val="auto"/>
          <w:highlight w:val="none"/>
          <w:lang w:eastAsia="zh-CN"/>
        </w:rPr>
        <w:t>，</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不满足《环境空气质量标准》GB3095-2012）的二级标准要求，本项目所在区域为环境空气不达标区；地下水达到《地下水质量标准》</w:t>
      </w:r>
      <w:r>
        <w:rPr>
          <w:rFonts w:hint="eastAsia" w:cs="Times New Roman"/>
          <w:color w:val="auto"/>
          <w:highlight w:val="none"/>
          <w:lang w:eastAsia="zh-CN"/>
        </w:rPr>
        <w:t>（</w:t>
      </w:r>
      <w:r>
        <w:rPr>
          <w:rFonts w:hint="default" w:ascii="Times New Roman" w:hAnsi="Times New Roman" w:cs="Times New Roman"/>
          <w:color w:val="auto"/>
          <w:highlight w:val="none"/>
        </w:rPr>
        <w:t>GB/T14848-2017）中Ⅲ类标准；声环境质量达到《声环境质量标准》</w:t>
      </w:r>
      <w:r>
        <w:rPr>
          <w:rFonts w:hint="eastAsia" w:cs="Times New Roman"/>
          <w:color w:val="auto"/>
          <w:highlight w:val="none"/>
          <w:lang w:eastAsia="zh-CN"/>
        </w:rPr>
        <w:t>（</w:t>
      </w:r>
      <w:r>
        <w:rPr>
          <w:rFonts w:hint="default" w:ascii="Times New Roman" w:hAnsi="Times New Roman" w:cs="Times New Roman"/>
          <w:color w:val="auto"/>
          <w:highlight w:val="none"/>
        </w:rPr>
        <w:t>GB3096-2008</w:t>
      </w:r>
      <w:r>
        <w:rPr>
          <w:rFonts w:hint="eastAsia" w:cs="Times New Roman"/>
          <w:color w:val="auto"/>
          <w:highlight w:val="none"/>
          <w:lang w:eastAsia="zh-CN"/>
        </w:rPr>
        <w:t>）</w:t>
      </w:r>
      <w:r>
        <w:rPr>
          <w:rFonts w:hint="default" w:ascii="Times New Roman" w:hAnsi="Times New Roman" w:cs="Times New Roman"/>
          <w:color w:val="auto"/>
          <w:highlight w:val="none"/>
        </w:rPr>
        <w:t>3类区标准。</w:t>
      </w:r>
    </w:p>
    <w:p w14:paraId="76DA4252">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区域环境现状能够满足环境功能区划的要求，项目所在地具有一定的环境容量，厂址与区域的环境质量现状基本相容。从环境影响预测结果来看，本项目建设不会改变区域地下水、土壤、环境空气、声环境等的功能要求。</w:t>
      </w:r>
    </w:p>
    <w:p w14:paraId="3A87422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评价区域内无风景、历史遗迹等保护区，无特殊自然观赏价值较高的景观</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距离所需原料</w:t>
      </w:r>
      <w:r>
        <w:rPr>
          <w:rFonts w:hint="default" w:ascii="Times New Roman" w:hAnsi="Times New Roman" w:cs="Times New Roman"/>
          <w:color w:val="auto"/>
          <w:szCs w:val="24"/>
          <w:highlight w:val="none"/>
          <w:lang w:val="en-US" w:eastAsia="zh-CN"/>
        </w:rPr>
        <w:t>堆</w:t>
      </w:r>
      <w:r>
        <w:rPr>
          <w:rFonts w:hint="default" w:ascii="Times New Roman" w:hAnsi="Times New Roman" w:cs="Times New Roman"/>
          <w:color w:val="auto"/>
          <w:szCs w:val="24"/>
          <w:highlight w:val="none"/>
        </w:rPr>
        <w:t>场较近，运输方便，减少运输成本</w:t>
      </w:r>
      <w:r>
        <w:rPr>
          <w:rFonts w:hint="default" w:ascii="Times New Roman" w:hAnsi="Times New Roman" w:cs="Times New Roman"/>
          <w:color w:val="auto"/>
          <w:szCs w:val="24"/>
          <w:highlight w:val="none"/>
          <w:lang w:eastAsia="zh-CN"/>
        </w:rPr>
        <w:t>以及</w:t>
      </w:r>
      <w:r>
        <w:rPr>
          <w:rFonts w:hint="default" w:ascii="Times New Roman" w:hAnsi="Times New Roman" w:cs="Times New Roman"/>
          <w:color w:val="auto"/>
          <w:szCs w:val="24"/>
          <w:highlight w:val="none"/>
        </w:rPr>
        <w:t>因运输带来的环境问题，正常生产对环境的影响不大，风险影响范围小，厂址周围环境不敏感，距离居住区远，</w:t>
      </w:r>
      <w:r>
        <w:rPr>
          <w:rFonts w:hint="default" w:ascii="Times New Roman" w:hAnsi="Times New Roman" w:cs="Times New Roman"/>
          <w:color w:val="auto"/>
          <w:szCs w:val="24"/>
          <w:highlight w:val="none"/>
          <w:lang w:val="en-US" w:eastAsia="zh-CN"/>
        </w:rPr>
        <w:t>因此</w:t>
      </w:r>
      <w:r>
        <w:rPr>
          <w:rFonts w:hint="default" w:ascii="Times New Roman" w:hAnsi="Times New Roman" w:cs="Times New Roman"/>
          <w:color w:val="auto"/>
          <w:szCs w:val="24"/>
          <w:highlight w:val="none"/>
        </w:rPr>
        <w:t>本项目选址</w:t>
      </w:r>
      <w:r>
        <w:rPr>
          <w:rFonts w:hint="default" w:ascii="Times New Roman" w:hAnsi="Times New Roman" w:cs="Times New Roman"/>
          <w:color w:val="auto"/>
          <w:szCs w:val="24"/>
          <w:highlight w:val="none"/>
          <w:lang w:val="en-US" w:eastAsia="zh-CN"/>
        </w:rPr>
        <w:t>整体比较</w:t>
      </w:r>
      <w:r>
        <w:rPr>
          <w:rFonts w:hint="default" w:ascii="Times New Roman" w:hAnsi="Times New Roman" w:cs="Times New Roman"/>
          <w:color w:val="auto"/>
          <w:szCs w:val="24"/>
          <w:highlight w:val="none"/>
        </w:rPr>
        <w:t>合理。</w:t>
      </w:r>
    </w:p>
    <w:p w14:paraId="05489E13">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50" w:name="_Toc27115"/>
      <w:bookmarkStart w:id="51" w:name="_Toc10999"/>
      <w:r>
        <w:rPr>
          <w:rFonts w:hint="default" w:ascii="Times New Roman" w:hAnsi="Times New Roman" w:eastAsia="宋体" w:cs="Times New Roman"/>
          <w:color w:val="auto"/>
          <w:highlight w:val="none"/>
        </w:rPr>
        <w:t>1.4 关注的主要环境问题及环境影响</w:t>
      </w:r>
      <w:bookmarkEnd w:id="50"/>
      <w:bookmarkEnd w:id="51"/>
    </w:p>
    <w:p w14:paraId="5FC989A6">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本项目的环境影响评价工作，结合项目区环境特点、工程特点，重点关注以下环境问题：</w:t>
      </w:r>
    </w:p>
    <w:p w14:paraId="070D4146">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（1）本项目各装置采用的工艺技术、工艺流程、技术装备、污染物排放水平、清洁生产指标是否满足国内各项政策、标准要求；</w:t>
      </w:r>
    </w:p>
    <w:p w14:paraId="4C65934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（2）本项目以废气、废水和固废排放为主要污染特征，其废气达标排放并满足总量控制、废水</w:t>
      </w:r>
      <w:r>
        <w:rPr>
          <w:rFonts w:hint="eastAsia" w:cs="Times New Roman"/>
          <w:color w:val="auto"/>
          <w:highlight w:val="none"/>
          <w:lang w:val="en-US" w:eastAsia="zh-CN"/>
        </w:rPr>
        <w:t>循环利用</w:t>
      </w:r>
      <w:r>
        <w:rPr>
          <w:rFonts w:hint="default" w:ascii="Times New Roman" w:hAnsi="Times New Roman" w:cs="Times New Roman"/>
          <w:color w:val="auto"/>
          <w:highlight w:val="none"/>
        </w:rPr>
        <w:t>以及固废去向是项目减少对环境污染的重点关注问题；</w:t>
      </w:r>
    </w:p>
    <w:p w14:paraId="5411EC1B">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（3）本项目建设后排放一定量的废气，项目采取相应的环保措施后是否能确保污染物稳定达标排放、环境风险是否可控也属于重点关注问题。</w:t>
      </w:r>
    </w:p>
    <w:p w14:paraId="21681B2E">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52" w:name="_Toc30662"/>
      <w:bookmarkStart w:id="53" w:name="_Toc17446"/>
      <w:bookmarkStart w:id="54" w:name="_Toc527982431"/>
      <w:r>
        <w:rPr>
          <w:rFonts w:hint="default" w:ascii="Times New Roman" w:hAnsi="Times New Roman" w:eastAsia="宋体" w:cs="Times New Roman"/>
          <w:color w:val="auto"/>
          <w:highlight w:val="none"/>
        </w:rPr>
        <w:t>1.5 环境影响评价的主要结论</w:t>
      </w:r>
      <w:bookmarkEnd w:id="52"/>
      <w:bookmarkEnd w:id="53"/>
      <w:bookmarkEnd w:id="54"/>
    </w:p>
    <w:p w14:paraId="2C58AF46">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sectPr>
          <w:footerReference r:id="rId15" w:type="first"/>
          <w:footerReference r:id="rId14" w:type="default"/>
          <w:pgSz w:w="11906" w:h="16838"/>
          <w:pgMar w:top="1587" w:right="1587" w:bottom="1587" w:left="1587" w:header="1134" w:footer="1134" w:gutter="0"/>
          <w:pgBorders>
            <w:top w:val="none" w:sz="0" w:space="0"/>
            <w:left w:val="none" w:sz="0" w:space="0"/>
            <w:bottom w:val="none" w:sz="0" w:space="0"/>
            <w:right w:val="none" w:sz="0" w:space="0"/>
          </w:pgBorders>
          <w:pgNumType w:fmt="decimal" w:start="1"/>
          <w:cols w:space="425" w:num="1"/>
          <w:titlePg/>
          <w:docGrid w:type="lines" w:linePitch="312" w:charSpace="0"/>
        </w:sectPr>
      </w:pPr>
      <w:r>
        <w:rPr>
          <w:rFonts w:hint="default" w:ascii="Times New Roman" w:hAnsi="Times New Roman" w:cs="Times New Roman"/>
          <w:color w:val="auto"/>
          <w:kern w:val="0"/>
          <w:highlight w:val="none"/>
        </w:rPr>
        <w:t>本次技术改造项目符合国家及地方产业政策，生产过程中采用清洁生产工艺，所采用的污染防治措施技术经济可行，能保证各种污染物稳定达标排放，污染物的排放符合总量控制的要求，预测表明本项目正常工况下排放的污染物对周围环境影响较小，环境风险可接受。在落实本报告书提出的各项环保措施要求，严格执行环保“三同时”的前提下，从环保角度分析，</w:t>
      </w:r>
      <w:r>
        <w:rPr>
          <w:rFonts w:hint="eastAsia" w:cs="Times New Roman"/>
          <w:color w:val="auto"/>
          <w:kern w:val="0"/>
          <w:highlight w:val="none"/>
          <w:lang w:val="en-US" w:eastAsia="zh-CN"/>
        </w:rPr>
        <w:t>本项目</w:t>
      </w:r>
      <w:r>
        <w:rPr>
          <w:rFonts w:hint="default" w:ascii="Times New Roman" w:hAnsi="Times New Roman" w:cs="Times New Roman"/>
          <w:color w:val="auto"/>
          <w:kern w:val="0"/>
          <w:highlight w:val="none"/>
        </w:rPr>
        <w:t>建设可行，环境影响可行。</w:t>
      </w:r>
    </w:p>
    <w:p w14:paraId="1AC115B4">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55" w:name="_Toc27075"/>
      <w:bookmarkStart w:id="56" w:name="_Toc9331"/>
      <w:r>
        <w:rPr>
          <w:rFonts w:hint="default" w:ascii="Times New Roman" w:hAnsi="Times New Roman" w:eastAsia="宋体" w:cs="Times New Roman"/>
          <w:color w:val="auto"/>
          <w:highlight w:val="none"/>
        </w:rPr>
        <w:t>2 总则</w:t>
      </w:r>
      <w:bookmarkEnd w:id="55"/>
      <w:bookmarkEnd w:id="56"/>
    </w:p>
    <w:p w14:paraId="4B7A1E04">
      <w:pPr>
        <w:pStyle w:val="3"/>
        <w:pageBreakBefore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57" w:name="_Toc29774"/>
      <w:bookmarkStart w:id="58" w:name="_Toc21170"/>
      <w:r>
        <w:rPr>
          <w:rFonts w:hint="default" w:ascii="Times New Roman" w:hAnsi="Times New Roman" w:eastAsia="宋体" w:cs="Times New Roman"/>
          <w:color w:val="auto"/>
          <w:highlight w:val="none"/>
        </w:rPr>
        <w:t xml:space="preserve">2.1 </w:t>
      </w:r>
      <w:bookmarkStart w:id="59" w:name="_Toc6940"/>
      <w:r>
        <w:rPr>
          <w:rFonts w:hint="default" w:ascii="Times New Roman" w:hAnsi="Times New Roman" w:eastAsia="宋体" w:cs="Times New Roman"/>
          <w:color w:val="auto"/>
          <w:highlight w:val="none"/>
        </w:rPr>
        <w:t>评价目的与评价原则</w:t>
      </w:r>
      <w:bookmarkEnd w:id="57"/>
      <w:bookmarkEnd w:id="58"/>
      <w:bookmarkEnd w:id="59"/>
    </w:p>
    <w:p w14:paraId="7F54B218">
      <w:pPr>
        <w:pStyle w:val="4"/>
        <w:pageBreakBefore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bookmarkStart w:id="60" w:name="_Toc516660292"/>
      <w:bookmarkStart w:id="61" w:name="_Toc515961452"/>
      <w:bookmarkStart w:id="62" w:name="_Toc22536"/>
      <w:r>
        <w:rPr>
          <w:rFonts w:hint="default" w:ascii="Times New Roman" w:hAnsi="Times New Roman" w:cs="Times New Roman"/>
          <w:color w:val="auto"/>
          <w:highlight w:val="none"/>
          <w:lang w:val="en-US" w:eastAsia="zh-CN"/>
        </w:rPr>
        <w:t>2.1.1</w:t>
      </w:r>
      <w:r>
        <w:rPr>
          <w:rFonts w:hint="default" w:ascii="Times New Roman" w:hAnsi="Times New Roman" w:cs="Times New Roman"/>
          <w:color w:val="auto"/>
          <w:highlight w:val="none"/>
        </w:rPr>
        <w:t>评价目的</w:t>
      </w:r>
      <w:bookmarkEnd w:id="60"/>
      <w:bookmarkEnd w:id="61"/>
      <w:bookmarkEnd w:id="62"/>
    </w:p>
    <w:p w14:paraId="4178EA70">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通过本次环评工作，拟达到如下目的：</w:t>
      </w:r>
    </w:p>
    <w:p w14:paraId="4D8E09E8">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（1）根据产业政策和区域发展规划，论述项目与产业政策和规划的</w:t>
      </w:r>
      <w:r>
        <w:rPr>
          <w:rFonts w:hint="eastAsia" w:cs="Times New Roman"/>
          <w:color w:val="auto"/>
          <w:szCs w:val="24"/>
          <w:highlight w:val="none"/>
          <w:lang w:eastAsia="zh-CN"/>
        </w:rPr>
        <w:t>符合性</w:t>
      </w:r>
      <w:r>
        <w:rPr>
          <w:rFonts w:hint="default" w:ascii="Times New Roman" w:hAnsi="Times New Roman" w:cs="Times New Roman"/>
          <w:color w:val="auto"/>
          <w:szCs w:val="24"/>
          <w:highlight w:val="none"/>
        </w:rPr>
        <w:t>；</w:t>
      </w:r>
    </w:p>
    <w:p w14:paraId="08780C6A">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（2）通过环境影响预测，分析项目可能对周围环境的影响程度和范围、采取的</w:t>
      </w:r>
      <w:r>
        <w:rPr>
          <w:rFonts w:hint="eastAsia" w:cs="Times New Roman"/>
          <w:color w:val="auto"/>
          <w:szCs w:val="24"/>
          <w:highlight w:val="none"/>
          <w:lang w:eastAsia="zh-CN"/>
        </w:rPr>
        <w:t>环境治理</w:t>
      </w:r>
      <w:r>
        <w:rPr>
          <w:rFonts w:hint="default" w:ascii="Times New Roman" w:hAnsi="Times New Roman" w:cs="Times New Roman"/>
          <w:color w:val="auto"/>
          <w:szCs w:val="24"/>
          <w:highlight w:val="none"/>
        </w:rPr>
        <w:t>措施、污染防治措施的技术经济可行性及替代方案，最大限度降低对周围环境的影响，为项目生产和环境管理提供科学依据；</w:t>
      </w:r>
    </w:p>
    <w:p w14:paraId="46B42860">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（3）通过风险识别和预测，分析项目环境风险的可接受水平，制定风险防范措施和区域联动应急预案；</w:t>
      </w:r>
    </w:p>
    <w:p w14:paraId="5B142C87">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（4）从环境保护的角度，分析、论证本项目环境影响的可行性。</w:t>
      </w:r>
    </w:p>
    <w:p w14:paraId="4F572711">
      <w:pPr>
        <w:pStyle w:val="4"/>
        <w:pageBreakBefore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bookmarkStart w:id="63" w:name="_Toc516660293"/>
      <w:bookmarkStart w:id="64" w:name="_Toc515961453"/>
      <w:bookmarkStart w:id="65" w:name="_Toc5806"/>
      <w:r>
        <w:rPr>
          <w:rFonts w:hint="default" w:ascii="Times New Roman" w:hAnsi="Times New Roman" w:cs="Times New Roman"/>
          <w:color w:val="auto"/>
          <w:highlight w:val="none"/>
          <w:lang w:val="en-US" w:eastAsia="zh-CN"/>
        </w:rPr>
        <w:t>2.1.2</w:t>
      </w:r>
      <w:r>
        <w:rPr>
          <w:rFonts w:hint="default" w:ascii="Times New Roman" w:hAnsi="Times New Roman" w:cs="Times New Roman"/>
          <w:color w:val="auto"/>
          <w:highlight w:val="none"/>
        </w:rPr>
        <w:t>评价原则</w:t>
      </w:r>
      <w:bookmarkEnd w:id="63"/>
      <w:bookmarkEnd w:id="64"/>
      <w:bookmarkEnd w:id="65"/>
    </w:p>
    <w:p w14:paraId="4F0C955C">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bookmarkStart w:id="66" w:name="_Toc330460754"/>
      <w:bookmarkStart w:id="67" w:name="_Toc15475"/>
      <w:bookmarkStart w:id="68" w:name="_Toc5797098"/>
      <w:bookmarkStart w:id="69" w:name="_Toc321821698"/>
      <w:bookmarkStart w:id="70" w:name="_Toc41991078"/>
      <w:bookmarkStart w:id="71" w:name="_Toc329793428"/>
      <w:r>
        <w:rPr>
          <w:rFonts w:hint="default" w:ascii="Times New Roman" w:hAnsi="Times New Roman" w:cs="Times New Roman"/>
          <w:color w:val="auto"/>
          <w:szCs w:val="24"/>
          <w:highlight w:val="none"/>
        </w:rPr>
        <w:t>（1）依法评价</w:t>
      </w:r>
    </w:p>
    <w:p w14:paraId="4269D223">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贯彻执行我国环境保护相关法律法规、标准、政策和规划等，满足国家、地方</w:t>
      </w:r>
      <w:r>
        <w:rPr>
          <w:rFonts w:hint="default" w:ascii="Times New Roman" w:hAnsi="Times New Roman" w:cs="Times New Roman"/>
          <w:color w:val="auto"/>
          <w:szCs w:val="24"/>
          <w:highlight w:val="none"/>
          <w:lang w:val="en-US" w:eastAsia="zh-CN"/>
        </w:rPr>
        <w:t>生态环境</w:t>
      </w:r>
      <w:r>
        <w:rPr>
          <w:rFonts w:hint="default" w:ascii="Times New Roman" w:hAnsi="Times New Roman" w:cs="Times New Roman"/>
          <w:color w:val="auto"/>
          <w:szCs w:val="24"/>
          <w:highlight w:val="none"/>
        </w:rPr>
        <w:t>部门及</w:t>
      </w:r>
      <w:r>
        <w:rPr>
          <w:rFonts w:hint="eastAsia" w:cs="Times New Roman"/>
          <w:color w:val="auto"/>
          <w:szCs w:val="24"/>
          <w:highlight w:val="none"/>
          <w:lang w:eastAsia="zh-CN"/>
        </w:rPr>
        <w:t>行业建设单位主</w:t>
      </w:r>
      <w:r>
        <w:rPr>
          <w:rFonts w:hint="default" w:ascii="Times New Roman" w:hAnsi="Times New Roman" w:cs="Times New Roman"/>
          <w:color w:val="auto"/>
          <w:szCs w:val="24"/>
          <w:highlight w:val="none"/>
        </w:rPr>
        <w:t>管部门有关建设项目的环保要求；优化项目建设，服务环境管理。</w:t>
      </w:r>
    </w:p>
    <w:p w14:paraId="53C68E63">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（2）科学评价</w:t>
      </w:r>
    </w:p>
    <w:p w14:paraId="3CCAB3F2">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规范环境影响评价方法，科学分析项目建设对环境质量的影响。</w:t>
      </w:r>
    </w:p>
    <w:p w14:paraId="24D3FF0D">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（3）突出重点</w:t>
      </w:r>
    </w:p>
    <w:p w14:paraId="28D1BB50">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根据建设项目的工程内容及特点，明确与环境要素间的作用效应关系，充分利用符合</w:t>
      </w:r>
      <w:r>
        <w:rPr>
          <w:rFonts w:hint="eastAsia" w:cs="Times New Roman"/>
          <w:color w:val="auto"/>
          <w:szCs w:val="24"/>
          <w:highlight w:val="none"/>
          <w:lang w:eastAsia="zh-CN"/>
        </w:rPr>
        <w:t>实效</w:t>
      </w:r>
      <w:r>
        <w:rPr>
          <w:rFonts w:hint="default" w:ascii="Times New Roman" w:hAnsi="Times New Roman" w:cs="Times New Roman"/>
          <w:color w:val="auto"/>
          <w:szCs w:val="24"/>
          <w:highlight w:val="none"/>
        </w:rPr>
        <w:t>的数据资料</w:t>
      </w:r>
      <w:r>
        <w:rPr>
          <w:rFonts w:hint="eastAsia" w:cs="Times New Roman"/>
          <w:color w:val="auto"/>
          <w:szCs w:val="24"/>
          <w:highlight w:val="none"/>
          <w:lang w:eastAsia="zh-CN"/>
        </w:rPr>
        <w:t>和</w:t>
      </w:r>
      <w:r>
        <w:rPr>
          <w:rFonts w:hint="default" w:ascii="Times New Roman" w:hAnsi="Times New Roman" w:cs="Times New Roman"/>
          <w:color w:val="auto"/>
          <w:szCs w:val="24"/>
          <w:highlight w:val="none"/>
        </w:rPr>
        <w:t>成果，对建设项目主要环境影响予以重点分析和评价。</w:t>
      </w:r>
    </w:p>
    <w:bookmarkEnd w:id="66"/>
    <w:bookmarkEnd w:id="67"/>
    <w:bookmarkEnd w:id="68"/>
    <w:bookmarkEnd w:id="69"/>
    <w:bookmarkEnd w:id="70"/>
    <w:bookmarkEnd w:id="71"/>
    <w:p w14:paraId="6422432A">
      <w:pPr>
        <w:pStyle w:val="4"/>
        <w:pageBreakBefore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2.1.3评价重点</w:t>
      </w:r>
    </w:p>
    <w:p w14:paraId="53B32C73">
      <w:pPr>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根据建设项目的环境影响特点和周边环境敏感程度，通过工程分析和环境影响识别，确定本次评价重点为：</w:t>
      </w:r>
    </w:p>
    <w:p w14:paraId="257DA414">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（1）工程分析</w:t>
      </w:r>
    </w:p>
    <w:p w14:paraId="294154A0">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结合工艺过程，分析生产过程中“三废”及噪声排放情况。</w:t>
      </w:r>
    </w:p>
    <w:p w14:paraId="245E2319">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（2）环境影响预测及评价</w:t>
      </w:r>
    </w:p>
    <w:p w14:paraId="08491550">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结合生产过程“三废”及噪声排放特点以及评价范围内环境概况，综合考虑本项目的污染源及污染物情况，重点分析对环境的影响程度和范围。</w:t>
      </w:r>
    </w:p>
    <w:p w14:paraId="4D89D1D6">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（3）污染防治措施分析</w:t>
      </w:r>
    </w:p>
    <w:p w14:paraId="39CF6980">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根据工程“三废”及噪声排放特点，结合</w:t>
      </w:r>
      <w:r>
        <w:rPr>
          <w:rFonts w:hint="eastAsia" w:cs="Times New Roman"/>
          <w:color w:val="auto"/>
          <w:szCs w:val="24"/>
          <w:highlight w:val="none"/>
          <w:lang w:val="en-US" w:eastAsia="zh-CN"/>
        </w:rPr>
        <w:t>同类</w:t>
      </w:r>
      <w:r>
        <w:rPr>
          <w:rFonts w:hint="default" w:ascii="Times New Roman" w:hAnsi="Times New Roman" w:cs="Times New Roman"/>
          <w:color w:val="auto"/>
          <w:szCs w:val="24"/>
          <w:highlight w:val="none"/>
        </w:rPr>
        <w:t>企业实际治理经验，对拟采取的</w:t>
      </w:r>
      <w:r>
        <w:rPr>
          <w:rFonts w:hint="eastAsia" w:cs="Times New Roman"/>
          <w:color w:val="auto"/>
          <w:szCs w:val="24"/>
          <w:highlight w:val="none"/>
          <w:lang w:val="en-US" w:eastAsia="zh-CN"/>
        </w:rPr>
        <w:t>污染</w:t>
      </w:r>
      <w:r>
        <w:rPr>
          <w:rFonts w:hint="default" w:ascii="Times New Roman" w:hAnsi="Times New Roman" w:cs="Times New Roman"/>
          <w:color w:val="auto"/>
          <w:szCs w:val="24"/>
          <w:highlight w:val="none"/>
        </w:rPr>
        <w:t>治理措施可行性进行可行性论证，并提出建议，确保本项目各污染物达标排放。</w:t>
      </w:r>
    </w:p>
    <w:p w14:paraId="3E33561F">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（4）环境风险评价</w:t>
      </w:r>
    </w:p>
    <w:p w14:paraId="1B449018">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结合本项目生产工艺特点，分析确定风险因素，预测风险发生时对环境造成的危害，提出环境风险防范措施，并提出修编应急预案的要求。</w:t>
      </w:r>
    </w:p>
    <w:p w14:paraId="5EFFC6C2">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（5）环境管理与监控计划</w:t>
      </w:r>
    </w:p>
    <w:p w14:paraId="733FAA55">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结合环境管理要求，对环境管理与监控计划、竣工验收管理进行重点评价。</w:t>
      </w:r>
    </w:p>
    <w:p w14:paraId="167E549E">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72" w:name="_Toc5512"/>
      <w:bookmarkStart w:id="73" w:name="_Toc26241"/>
      <w:r>
        <w:rPr>
          <w:rFonts w:hint="default" w:ascii="Times New Roman" w:hAnsi="Times New Roman" w:eastAsia="宋体" w:cs="Times New Roman"/>
          <w:color w:val="auto"/>
          <w:highlight w:val="none"/>
        </w:rPr>
        <w:t>2.2 编制依据</w:t>
      </w:r>
      <w:bookmarkEnd w:id="72"/>
      <w:bookmarkEnd w:id="73"/>
    </w:p>
    <w:p w14:paraId="678A3E56">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2.2.1 环境保护</w:t>
      </w:r>
      <w:r>
        <w:rPr>
          <w:rFonts w:hint="eastAsia" w:cs="Times New Roman"/>
          <w:color w:val="auto"/>
          <w:highlight w:val="none"/>
          <w:lang w:eastAsia="zh-CN"/>
        </w:rPr>
        <w:t>法律法规</w:t>
      </w:r>
      <w:r>
        <w:rPr>
          <w:rFonts w:hint="default" w:ascii="Times New Roman" w:hAnsi="Times New Roman" w:cs="Times New Roman"/>
          <w:color w:val="auto"/>
          <w:highlight w:val="none"/>
        </w:rPr>
        <w:t>及政策</w:t>
      </w:r>
    </w:p>
    <w:tbl>
      <w:tblPr>
        <w:tblStyle w:val="33"/>
        <w:tblW w:w="838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8"/>
        <w:gridCol w:w="4587"/>
        <w:gridCol w:w="2148"/>
        <w:gridCol w:w="1114"/>
      </w:tblGrid>
      <w:tr w14:paraId="7B8D53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71630D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587" w:type="dxa"/>
            <w:tcBorders>
              <w:tl2br w:val="nil"/>
              <w:tr2bl w:val="nil"/>
            </w:tcBorders>
            <w:vAlign w:val="center"/>
          </w:tcPr>
          <w:p w14:paraId="15004E1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依据名称</w:t>
            </w:r>
          </w:p>
        </w:tc>
        <w:tc>
          <w:tcPr>
            <w:tcW w:w="2148" w:type="dxa"/>
            <w:tcBorders>
              <w:tl2br w:val="nil"/>
              <w:tr2bl w:val="nil"/>
            </w:tcBorders>
            <w:vAlign w:val="center"/>
          </w:tcPr>
          <w:p w14:paraId="59012CC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会议、主席令、文号</w:t>
            </w:r>
          </w:p>
        </w:tc>
        <w:tc>
          <w:tcPr>
            <w:tcW w:w="1114" w:type="dxa"/>
            <w:tcBorders>
              <w:tl2br w:val="nil"/>
              <w:tr2bl w:val="nil"/>
            </w:tcBorders>
            <w:vAlign w:val="center"/>
          </w:tcPr>
          <w:p w14:paraId="0F84CA7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实施时间</w:t>
            </w:r>
          </w:p>
        </w:tc>
      </w:tr>
      <w:tr w14:paraId="6BB337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CDC3F3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w w:val="99"/>
                <w:sz w:val="21"/>
                <w:szCs w:val="21"/>
                <w:highlight w:val="none"/>
              </w:rPr>
              <w:t>一</w:t>
            </w:r>
          </w:p>
        </w:tc>
        <w:tc>
          <w:tcPr>
            <w:tcW w:w="7849" w:type="dxa"/>
            <w:gridSpan w:val="3"/>
            <w:tcBorders>
              <w:tl2br w:val="nil"/>
              <w:tr2bl w:val="nil"/>
            </w:tcBorders>
            <w:vAlign w:val="center"/>
          </w:tcPr>
          <w:p w14:paraId="3F06D4B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环境保护相关法律</w:t>
            </w:r>
          </w:p>
        </w:tc>
      </w:tr>
      <w:tr w14:paraId="4FF6DA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38" w:hRule="atLeast"/>
          <w:jc w:val="center"/>
        </w:trPr>
        <w:tc>
          <w:tcPr>
            <w:tcW w:w="538" w:type="dxa"/>
            <w:tcBorders>
              <w:tl2br w:val="nil"/>
              <w:tr2bl w:val="nil"/>
            </w:tcBorders>
            <w:vAlign w:val="center"/>
          </w:tcPr>
          <w:p w14:paraId="7F368D7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587" w:type="dxa"/>
            <w:tcBorders>
              <w:tl2br w:val="nil"/>
              <w:tr2bl w:val="nil"/>
            </w:tcBorders>
            <w:vAlign w:val="center"/>
          </w:tcPr>
          <w:p w14:paraId="4A4E0BF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《中华人民共和国环境保护法》</w:t>
            </w:r>
          </w:p>
        </w:tc>
        <w:tc>
          <w:tcPr>
            <w:tcW w:w="2148" w:type="dxa"/>
            <w:tcBorders>
              <w:tl2br w:val="nil"/>
              <w:tr2bl w:val="nil"/>
            </w:tcBorders>
            <w:vAlign w:val="center"/>
          </w:tcPr>
          <w:p w14:paraId="47E7F86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12届人大第8次会议</w:t>
            </w:r>
          </w:p>
        </w:tc>
        <w:tc>
          <w:tcPr>
            <w:tcW w:w="1114" w:type="dxa"/>
            <w:tcBorders>
              <w:tl2br w:val="nil"/>
              <w:tr2bl w:val="nil"/>
            </w:tcBorders>
            <w:vAlign w:val="center"/>
          </w:tcPr>
          <w:p w14:paraId="34C2E7C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2015-01-01</w:t>
            </w:r>
          </w:p>
        </w:tc>
      </w:tr>
      <w:tr w14:paraId="3E887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6B4C27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587" w:type="dxa"/>
            <w:tcBorders>
              <w:tl2br w:val="nil"/>
              <w:tr2bl w:val="nil"/>
            </w:tcBorders>
            <w:vAlign w:val="center"/>
          </w:tcPr>
          <w:p w14:paraId="69F5E5A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《中华人民共和国环境影响评价法》</w:t>
            </w:r>
          </w:p>
        </w:tc>
        <w:tc>
          <w:tcPr>
            <w:tcW w:w="2148" w:type="dxa"/>
            <w:tcBorders>
              <w:tl2br w:val="nil"/>
              <w:tr2bl w:val="nil"/>
            </w:tcBorders>
            <w:vAlign w:val="center"/>
          </w:tcPr>
          <w:p w14:paraId="4E0D342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13届人大第7次会议</w:t>
            </w:r>
          </w:p>
        </w:tc>
        <w:tc>
          <w:tcPr>
            <w:tcW w:w="1114" w:type="dxa"/>
            <w:tcBorders>
              <w:tl2br w:val="nil"/>
              <w:tr2bl w:val="nil"/>
            </w:tcBorders>
            <w:vAlign w:val="center"/>
          </w:tcPr>
          <w:p w14:paraId="78C39F3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2018-12-29</w:t>
            </w:r>
          </w:p>
        </w:tc>
      </w:tr>
      <w:tr w14:paraId="03CDB7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D2A98F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587" w:type="dxa"/>
            <w:tcBorders>
              <w:tl2br w:val="nil"/>
              <w:tr2bl w:val="nil"/>
            </w:tcBorders>
            <w:vAlign w:val="center"/>
          </w:tcPr>
          <w:p w14:paraId="23B923B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《中华人民共和国大气污染防治法》</w:t>
            </w:r>
          </w:p>
        </w:tc>
        <w:tc>
          <w:tcPr>
            <w:tcW w:w="2148" w:type="dxa"/>
            <w:tcBorders>
              <w:tl2br w:val="nil"/>
              <w:tr2bl w:val="nil"/>
            </w:tcBorders>
            <w:vAlign w:val="center"/>
          </w:tcPr>
          <w:p w14:paraId="250C577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13届人大第6次会议</w:t>
            </w:r>
          </w:p>
        </w:tc>
        <w:tc>
          <w:tcPr>
            <w:tcW w:w="1114" w:type="dxa"/>
            <w:tcBorders>
              <w:tl2br w:val="nil"/>
              <w:tr2bl w:val="nil"/>
            </w:tcBorders>
            <w:vAlign w:val="center"/>
          </w:tcPr>
          <w:p w14:paraId="04BBFA8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3C2E9A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EA0FD6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587" w:type="dxa"/>
            <w:tcBorders>
              <w:tl2br w:val="nil"/>
              <w:tr2bl w:val="nil"/>
            </w:tcBorders>
            <w:vAlign w:val="center"/>
          </w:tcPr>
          <w:p w14:paraId="737A483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《中华人民共和国水污染防治法》</w:t>
            </w:r>
          </w:p>
        </w:tc>
        <w:tc>
          <w:tcPr>
            <w:tcW w:w="2148" w:type="dxa"/>
            <w:tcBorders>
              <w:tl2br w:val="nil"/>
              <w:tr2bl w:val="nil"/>
            </w:tcBorders>
            <w:vAlign w:val="center"/>
          </w:tcPr>
          <w:p w14:paraId="5BE633F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12届人大第28次会议</w:t>
            </w:r>
          </w:p>
        </w:tc>
        <w:tc>
          <w:tcPr>
            <w:tcW w:w="1114" w:type="dxa"/>
            <w:tcBorders>
              <w:tl2br w:val="nil"/>
              <w:tr2bl w:val="nil"/>
            </w:tcBorders>
            <w:vAlign w:val="center"/>
          </w:tcPr>
          <w:p w14:paraId="5A6AA5C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01</w:t>
            </w:r>
          </w:p>
        </w:tc>
      </w:tr>
      <w:tr w14:paraId="682A8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1A3382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587" w:type="dxa"/>
            <w:tcBorders>
              <w:tl2br w:val="nil"/>
              <w:tr2bl w:val="nil"/>
            </w:tcBorders>
            <w:vAlign w:val="center"/>
          </w:tcPr>
          <w:p w14:paraId="512ECEA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《中华人民共和国噪声污染防治法》</w:t>
            </w:r>
          </w:p>
        </w:tc>
        <w:tc>
          <w:tcPr>
            <w:tcW w:w="2148" w:type="dxa"/>
            <w:tcBorders>
              <w:tl2br w:val="nil"/>
              <w:tr2bl w:val="nil"/>
            </w:tcBorders>
            <w:vAlign w:val="center"/>
          </w:tcPr>
          <w:p w14:paraId="1DDF10B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w:t>
            </w:r>
            <w:r>
              <w:rPr>
                <w:rFonts w:hint="default" w:ascii="Times New Roman" w:hAnsi="Times New Roman" w:eastAsia="宋体" w:cs="Times New Roman"/>
                <w:color w:val="auto"/>
                <w:sz w:val="21"/>
                <w:szCs w:val="21"/>
                <w:highlight w:val="none"/>
                <w:lang w:eastAsia="zh-CN"/>
              </w:rPr>
              <w:t>32</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1CF6F14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2022-06-05</w:t>
            </w:r>
          </w:p>
        </w:tc>
      </w:tr>
      <w:tr w14:paraId="00A02D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FEA787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587" w:type="dxa"/>
            <w:tcBorders>
              <w:tl2br w:val="nil"/>
              <w:tr2bl w:val="nil"/>
            </w:tcBorders>
            <w:vAlign w:val="center"/>
          </w:tcPr>
          <w:p w14:paraId="407F55C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《中华人民共和国固体废物污染环境防治法》</w:t>
            </w:r>
          </w:p>
        </w:tc>
        <w:tc>
          <w:tcPr>
            <w:tcW w:w="2148" w:type="dxa"/>
            <w:tcBorders>
              <w:tl2br w:val="nil"/>
              <w:tr2bl w:val="nil"/>
            </w:tcBorders>
            <w:vAlign w:val="center"/>
          </w:tcPr>
          <w:p w14:paraId="223DE42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3</w:t>
            </w:r>
            <w:r>
              <w:rPr>
                <w:rFonts w:hint="default" w:ascii="Times New Roman" w:hAnsi="Times New Roman" w:eastAsia="宋体" w:cs="Times New Roman"/>
                <w:color w:val="auto"/>
                <w:sz w:val="21"/>
                <w:szCs w:val="21"/>
                <w:highlight w:val="none"/>
              </w:rPr>
              <w:t>届人大第</w:t>
            </w:r>
            <w:r>
              <w:rPr>
                <w:rFonts w:hint="default" w:ascii="Times New Roman" w:hAnsi="Times New Roman" w:eastAsia="宋体" w:cs="Times New Roman"/>
                <w:color w:val="auto"/>
                <w:sz w:val="21"/>
                <w:szCs w:val="21"/>
                <w:highlight w:val="none"/>
                <w:lang w:eastAsia="zh-CN"/>
              </w:rPr>
              <w:t>17</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4A895C0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eastAsia="zh-CN"/>
              </w:rPr>
              <w:t>20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01</w:t>
            </w:r>
          </w:p>
        </w:tc>
      </w:tr>
      <w:tr w14:paraId="717599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A2887F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7</w:t>
            </w:r>
          </w:p>
        </w:tc>
        <w:tc>
          <w:tcPr>
            <w:tcW w:w="4587" w:type="dxa"/>
            <w:tcBorders>
              <w:tl2br w:val="nil"/>
              <w:tr2bl w:val="nil"/>
            </w:tcBorders>
            <w:vAlign w:val="center"/>
          </w:tcPr>
          <w:p w14:paraId="47C5C2B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《中华人民共和国土壤污染防治法》</w:t>
            </w:r>
          </w:p>
        </w:tc>
        <w:tc>
          <w:tcPr>
            <w:tcW w:w="2148" w:type="dxa"/>
            <w:tcBorders>
              <w:tl2br w:val="nil"/>
              <w:tr2bl w:val="nil"/>
            </w:tcBorders>
            <w:vAlign w:val="center"/>
          </w:tcPr>
          <w:p w14:paraId="64BCC7B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3</w:t>
            </w:r>
            <w:r>
              <w:rPr>
                <w:rFonts w:hint="default" w:ascii="Times New Roman" w:hAnsi="Times New Roman" w:eastAsia="宋体" w:cs="Times New Roman"/>
                <w:color w:val="auto"/>
                <w:sz w:val="21"/>
                <w:szCs w:val="21"/>
                <w:highlight w:val="none"/>
              </w:rPr>
              <w:t>届人大第</w:t>
            </w:r>
            <w:r>
              <w:rPr>
                <w:rFonts w:hint="default" w:ascii="Times New Roman" w:hAnsi="Times New Roman" w:eastAsia="宋体" w:cs="Times New Roman"/>
                <w:color w:val="auto"/>
                <w:sz w:val="21"/>
                <w:szCs w:val="21"/>
                <w:highlight w:val="none"/>
                <w:lang w:eastAsia="zh-CN"/>
              </w:rPr>
              <w:t>5</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6EDF58D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eastAsia="zh-CN"/>
              </w:rPr>
              <w:t>19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01</w:t>
            </w:r>
          </w:p>
        </w:tc>
      </w:tr>
      <w:tr w14:paraId="2CEDA8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DBEA4D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8</w:t>
            </w:r>
          </w:p>
        </w:tc>
        <w:tc>
          <w:tcPr>
            <w:tcW w:w="4587" w:type="dxa"/>
            <w:tcBorders>
              <w:tl2br w:val="nil"/>
              <w:tr2bl w:val="nil"/>
            </w:tcBorders>
            <w:vAlign w:val="center"/>
          </w:tcPr>
          <w:p w14:paraId="20829D9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《中华人民共和国水法》</w:t>
            </w:r>
          </w:p>
        </w:tc>
        <w:tc>
          <w:tcPr>
            <w:tcW w:w="2148" w:type="dxa"/>
            <w:tcBorders>
              <w:tl2br w:val="nil"/>
              <w:tr2bl w:val="nil"/>
            </w:tcBorders>
            <w:vAlign w:val="center"/>
          </w:tcPr>
          <w:p w14:paraId="3BDD7A5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12届人大第21次会议</w:t>
            </w:r>
          </w:p>
        </w:tc>
        <w:tc>
          <w:tcPr>
            <w:tcW w:w="1114" w:type="dxa"/>
            <w:tcBorders>
              <w:tl2br w:val="nil"/>
              <w:tr2bl w:val="nil"/>
            </w:tcBorders>
            <w:vAlign w:val="center"/>
          </w:tcPr>
          <w:p w14:paraId="5F90FCB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2016-07-02</w:t>
            </w:r>
          </w:p>
        </w:tc>
      </w:tr>
      <w:tr w14:paraId="17D857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28452A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w:t>
            </w:r>
          </w:p>
        </w:tc>
        <w:tc>
          <w:tcPr>
            <w:tcW w:w="4587" w:type="dxa"/>
            <w:tcBorders>
              <w:tl2br w:val="nil"/>
              <w:tr2bl w:val="nil"/>
            </w:tcBorders>
            <w:vAlign w:val="center"/>
          </w:tcPr>
          <w:p w14:paraId="3D2844F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《中华人民共和国水土保持法》</w:t>
            </w:r>
          </w:p>
        </w:tc>
        <w:tc>
          <w:tcPr>
            <w:tcW w:w="2148" w:type="dxa"/>
            <w:tcBorders>
              <w:tl2br w:val="nil"/>
              <w:tr2bl w:val="nil"/>
            </w:tcBorders>
            <w:vAlign w:val="center"/>
          </w:tcPr>
          <w:p w14:paraId="09A27F0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11届人大第18次会议</w:t>
            </w:r>
          </w:p>
        </w:tc>
        <w:tc>
          <w:tcPr>
            <w:tcW w:w="1114" w:type="dxa"/>
            <w:tcBorders>
              <w:tl2br w:val="nil"/>
              <w:tr2bl w:val="nil"/>
            </w:tcBorders>
            <w:vAlign w:val="center"/>
          </w:tcPr>
          <w:p w14:paraId="0A3A1B2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2011-03-01</w:t>
            </w:r>
          </w:p>
        </w:tc>
      </w:tr>
      <w:tr w14:paraId="799DAA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7BD7F9C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10</w:t>
            </w:r>
          </w:p>
        </w:tc>
        <w:tc>
          <w:tcPr>
            <w:tcW w:w="4587" w:type="dxa"/>
            <w:tcBorders>
              <w:tl2br w:val="nil"/>
              <w:tr2bl w:val="nil"/>
            </w:tcBorders>
            <w:vAlign w:val="center"/>
          </w:tcPr>
          <w:p w14:paraId="06F2652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《中华人民共和国清洁生产促进法》</w:t>
            </w:r>
          </w:p>
        </w:tc>
        <w:tc>
          <w:tcPr>
            <w:tcW w:w="2148" w:type="dxa"/>
            <w:tcBorders>
              <w:tl2br w:val="nil"/>
              <w:tr2bl w:val="nil"/>
            </w:tcBorders>
            <w:vAlign w:val="center"/>
          </w:tcPr>
          <w:p w14:paraId="706A2BF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11届人大第25次会议</w:t>
            </w:r>
          </w:p>
        </w:tc>
        <w:tc>
          <w:tcPr>
            <w:tcW w:w="1114" w:type="dxa"/>
            <w:tcBorders>
              <w:tl2br w:val="nil"/>
              <w:tr2bl w:val="nil"/>
            </w:tcBorders>
            <w:vAlign w:val="center"/>
          </w:tcPr>
          <w:p w14:paraId="32DCD12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2012-07-01</w:t>
            </w:r>
          </w:p>
        </w:tc>
      </w:tr>
      <w:tr w14:paraId="1D02FF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AA0D0E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w:t>
            </w:r>
          </w:p>
        </w:tc>
        <w:tc>
          <w:tcPr>
            <w:tcW w:w="4587" w:type="dxa"/>
            <w:tcBorders>
              <w:tl2br w:val="nil"/>
              <w:tr2bl w:val="nil"/>
            </w:tcBorders>
            <w:vAlign w:val="center"/>
          </w:tcPr>
          <w:p w14:paraId="50E0DA2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《中华人民共和国循环经济促进法》</w:t>
            </w:r>
          </w:p>
        </w:tc>
        <w:tc>
          <w:tcPr>
            <w:tcW w:w="2148" w:type="dxa"/>
            <w:tcBorders>
              <w:tl2br w:val="nil"/>
              <w:tr2bl w:val="nil"/>
            </w:tcBorders>
            <w:vAlign w:val="center"/>
          </w:tcPr>
          <w:p w14:paraId="400C957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13</w:t>
            </w:r>
            <w:r>
              <w:rPr>
                <w:rFonts w:hint="default" w:ascii="Times New Roman" w:hAnsi="Times New Roman" w:eastAsia="宋体" w:cs="Times New Roman"/>
                <w:color w:val="auto"/>
                <w:sz w:val="21"/>
                <w:szCs w:val="21"/>
                <w:highlight w:val="none"/>
              </w:rPr>
              <w:t>届人大第</w:t>
            </w:r>
            <w:r>
              <w:rPr>
                <w:rFonts w:hint="default" w:ascii="Times New Roman" w:hAnsi="Times New Roman" w:eastAsia="宋体" w:cs="Times New Roman"/>
                <w:color w:val="auto"/>
                <w:sz w:val="21"/>
                <w:szCs w:val="21"/>
                <w:highlight w:val="none"/>
                <w:lang w:eastAsia="zh-CN"/>
              </w:rPr>
              <w:t>6</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13D14F0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7F3041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6622CC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12</w:t>
            </w:r>
          </w:p>
        </w:tc>
        <w:tc>
          <w:tcPr>
            <w:tcW w:w="4587" w:type="dxa"/>
            <w:tcBorders>
              <w:tl2br w:val="nil"/>
              <w:tr2bl w:val="nil"/>
            </w:tcBorders>
            <w:vAlign w:val="center"/>
          </w:tcPr>
          <w:p w14:paraId="6EBDDF4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《中华人民共和国节约能源法》</w:t>
            </w:r>
          </w:p>
        </w:tc>
        <w:tc>
          <w:tcPr>
            <w:tcW w:w="2148" w:type="dxa"/>
            <w:tcBorders>
              <w:tl2br w:val="nil"/>
              <w:tr2bl w:val="nil"/>
            </w:tcBorders>
            <w:vAlign w:val="center"/>
          </w:tcPr>
          <w:p w14:paraId="56E864C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13届人大第6次会议</w:t>
            </w:r>
          </w:p>
        </w:tc>
        <w:tc>
          <w:tcPr>
            <w:tcW w:w="1114" w:type="dxa"/>
            <w:tcBorders>
              <w:tl2br w:val="nil"/>
              <w:tr2bl w:val="nil"/>
            </w:tcBorders>
            <w:vAlign w:val="center"/>
          </w:tcPr>
          <w:p w14:paraId="68D8874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63B691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850B52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13</w:t>
            </w:r>
          </w:p>
        </w:tc>
        <w:tc>
          <w:tcPr>
            <w:tcW w:w="4587" w:type="dxa"/>
            <w:tcBorders>
              <w:tl2br w:val="nil"/>
              <w:tr2bl w:val="nil"/>
            </w:tcBorders>
            <w:vAlign w:val="center"/>
          </w:tcPr>
          <w:p w14:paraId="112F69A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《中华人民共和国安全生产法》</w:t>
            </w:r>
          </w:p>
        </w:tc>
        <w:tc>
          <w:tcPr>
            <w:tcW w:w="2148" w:type="dxa"/>
            <w:tcBorders>
              <w:tl2br w:val="nil"/>
              <w:tr2bl w:val="nil"/>
            </w:tcBorders>
            <w:vAlign w:val="center"/>
          </w:tcPr>
          <w:p w14:paraId="7BCE8A7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届人大第</w:t>
            </w:r>
            <w:r>
              <w:rPr>
                <w:rFonts w:hint="eastAsia"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lang w:eastAsia="zh-CN"/>
              </w:rPr>
              <w:t>次会议</w:t>
            </w:r>
          </w:p>
        </w:tc>
        <w:tc>
          <w:tcPr>
            <w:tcW w:w="1114" w:type="dxa"/>
            <w:tcBorders>
              <w:tl2br w:val="nil"/>
              <w:tr2bl w:val="nil"/>
            </w:tcBorders>
            <w:vAlign w:val="center"/>
          </w:tcPr>
          <w:p w14:paraId="5641A72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eastAsia="zh-CN"/>
              </w:rPr>
              <w:t>2</w:t>
            </w:r>
            <w:r>
              <w:rPr>
                <w:rFonts w:hint="eastAsia" w:cs="Times New Roman"/>
                <w:snapToGrid w:val="0"/>
                <w:color w:val="auto"/>
                <w:sz w:val="21"/>
                <w:szCs w:val="21"/>
                <w:highlight w:val="none"/>
                <w:lang w:val="en-US" w:eastAsia="zh-CN"/>
              </w:rPr>
              <w:t>002</w:t>
            </w:r>
            <w:r>
              <w:rPr>
                <w:rFonts w:hint="default" w:ascii="Times New Roman" w:hAnsi="Times New Roman" w:eastAsia="宋体" w:cs="Times New Roman"/>
                <w:snapToGrid w:val="0"/>
                <w:color w:val="auto"/>
                <w:sz w:val="21"/>
                <w:szCs w:val="21"/>
                <w:highlight w:val="none"/>
                <w:lang w:eastAsia="zh-CN"/>
              </w:rPr>
              <w:t>-</w:t>
            </w:r>
            <w:r>
              <w:rPr>
                <w:rFonts w:hint="eastAsia" w:cs="Times New Roman"/>
                <w:snapToGrid w:val="0"/>
                <w:color w:val="auto"/>
                <w:sz w:val="21"/>
                <w:szCs w:val="21"/>
                <w:highlight w:val="none"/>
                <w:lang w:val="en-US" w:eastAsia="zh-CN"/>
              </w:rPr>
              <w:t>11</w:t>
            </w:r>
            <w:r>
              <w:rPr>
                <w:rFonts w:hint="default" w:ascii="Times New Roman" w:hAnsi="Times New Roman" w:eastAsia="宋体" w:cs="Times New Roman"/>
                <w:snapToGrid w:val="0"/>
                <w:color w:val="auto"/>
                <w:sz w:val="21"/>
                <w:szCs w:val="21"/>
                <w:highlight w:val="none"/>
                <w:lang w:eastAsia="zh-CN"/>
              </w:rPr>
              <w:t>-</w:t>
            </w:r>
            <w:r>
              <w:rPr>
                <w:rFonts w:hint="eastAsia" w:cs="Times New Roman"/>
                <w:snapToGrid w:val="0"/>
                <w:color w:val="auto"/>
                <w:sz w:val="21"/>
                <w:szCs w:val="21"/>
                <w:highlight w:val="none"/>
                <w:lang w:val="en-US" w:eastAsia="zh-CN"/>
              </w:rPr>
              <w:t>01</w:t>
            </w:r>
          </w:p>
        </w:tc>
      </w:tr>
      <w:tr w14:paraId="504575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DEA224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14</w:t>
            </w:r>
          </w:p>
        </w:tc>
        <w:tc>
          <w:tcPr>
            <w:tcW w:w="4587" w:type="dxa"/>
            <w:tcBorders>
              <w:tl2br w:val="nil"/>
              <w:tr2bl w:val="nil"/>
            </w:tcBorders>
            <w:vAlign w:val="center"/>
          </w:tcPr>
          <w:p w14:paraId="3D59120C">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《中华人民共和国土地管理法》</w:t>
            </w:r>
          </w:p>
        </w:tc>
        <w:tc>
          <w:tcPr>
            <w:tcW w:w="2148" w:type="dxa"/>
            <w:tcBorders>
              <w:tl2br w:val="nil"/>
              <w:tr2bl w:val="nil"/>
            </w:tcBorders>
            <w:vAlign w:val="center"/>
          </w:tcPr>
          <w:p w14:paraId="728D745D">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13届人大第12次会议</w:t>
            </w:r>
          </w:p>
        </w:tc>
        <w:tc>
          <w:tcPr>
            <w:tcW w:w="1114" w:type="dxa"/>
            <w:tcBorders>
              <w:tl2br w:val="nil"/>
              <w:tr2bl w:val="nil"/>
            </w:tcBorders>
            <w:vAlign w:val="center"/>
          </w:tcPr>
          <w:p w14:paraId="2175AC1A">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2020-01-01</w:t>
            </w:r>
          </w:p>
        </w:tc>
      </w:tr>
      <w:tr w14:paraId="16F41B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58AE5C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15</w:t>
            </w:r>
          </w:p>
        </w:tc>
        <w:tc>
          <w:tcPr>
            <w:tcW w:w="4587" w:type="dxa"/>
            <w:tcBorders>
              <w:tl2br w:val="nil"/>
              <w:tr2bl w:val="nil"/>
            </w:tcBorders>
            <w:vAlign w:val="center"/>
          </w:tcPr>
          <w:p w14:paraId="0B740DF9">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《中华人民共和国防沙治沙法》</w:t>
            </w:r>
          </w:p>
        </w:tc>
        <w:tc>
          <w:tcPr>
            <w:tcW w:w="2148" w:type="dxa"/>
            <w:tcBorders>
              <w:tl2br w:val="nil"/>
              <w:tr2bl w:val="nil"/>
            </w:tcBorders>
            <w:vAlign w:val="center"/>
          </w:tcPr>
          <w:p w14:paraId="315A0F2F">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13届人大第6次会议</w:t>
            </w:r>
          </w:p>
        </w:tc>
        <w:tc>
          <w:tcPr>
            <w:tcW w:w="1114" w:type="dxa"/>
            <w:tcBorders>
              <w:tl2br w:val="nil"/>
              <w:tr2bl w:val="nil"/>
            </w:tcBorders>
            <w:vAlign w:val="center"/>
          </w:tcPr>
          <w:p w14:paraId="33E04E8F">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08253D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FB9A23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587" w:type="dxa"/>
            <w:tcBorders>
              <w:tl2br w:val="nil"/>
              <w:tr2bl w:val="nil"/>
            </w:tcBorders>
            <w:vAlign w:val="center"/>
          </w:tcPr>
          <w:p w14:paraId="0C468E50">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《中华人民共和国突发事件应对法</w:t>
            </w:r>
            <w:r>
              <w:rPr>
                <w:rFonts w:hint="eastAsia" w:cs="Times New Roman"/>
                <w:color w:val="auto"/>
                <w:kern w:val="0"/>
                <w:sz w:val="21"/>
                <w:szCs w:val="21"/>
                <w:highlight w:val="none"/>
                <w:lang w:eastAsia="zh-CN"/>
              </w:rPr>
              <w:t>》</w:t>
            </w:r>
          </w:p>
        </w:tc>
        <w:tc>
          <w:tcPr>
            <w:tcW w:w="2148" w:type="dxa"/>
            <w:tcBorders>
              <w:tl2br w:val="nil"/>
              <w:tr2bl w:val="nil"/>
            </w:tcBorders>
            <w:vAlign w:val="center"/>
          </w:tcPr>
          <w:p w14:paraId="14520ABF">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届人大第</w:t>
            </w:r>
            <w:r>
              <w:rPr>
                <w:rFonts w:hint="eastAsia" w:cs="Times New Roman"/>
                <w:color w:val="auto"/>
                <w:sz w:val="21"/>
                <w:szCs w:val="21"/>
                <w:highlight w:val="none"/>
                <w:lang w:val="en-US" w:eastAsia="zh-CN"/>
              </w:rPr>
              <w:t>29</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71BB542C">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2007-11-01</w:t>
            </w:r>
          </w:p>
        </w:tc>
      </w:tr>
      <w:tr w14:paraId="02A9BD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89A62F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w w:val="99"/>
                <w:sz w:val="21"/>
                <w:szCs w:val="21"/>
                <w:highlight w:val="none"/>
              </w:rPr>
              <w:t>二</w:t>
            </w:r>
          </w:p>
        </w:tc>
        <w:tc>
          <w:tcPr>
            <w:tcW w:w="7849" w:type="dxa"/>
            <w:gridSpan w:val="3"/>
            <w:tcBorders>
              <w:tl2br w:val="nil"/>
              <w:tr2bl w:val="nil"/>
            </w:tcBorders>
            <w:vAlign w:val="center"/>
          </w:tcPr>
          <w:p w14:paraId="76B51EE5">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行政法规与国务院发布的规范性文件</w:t>
            </w:r>
          </w:p>
        </w:tc>
      </w:tr>
      <w:tr w14:paraId="576812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538" w:type="dxa"/>
            <w:tcBorders>
              <w:tl2br w:val="nil"/>
              <w:tr2bl w:val="nil"/>
            </w:tcBorders>
            <w:vAlign w:val="center"/>
          </w:tcPr>
          <w:p w14:paraId="430BEDC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p>
        </w:tc>
        <w:tc>
          <w:tcPr>
            <w:tcW w:w="4587" w:type="dxa"/>
            <w:tcBorders>
              <w:tl2br w:val="nil"/>
              <w:tr2bl w:val="nil"/>
            </w:tcBorders>
            <w:vAlign w:val="center"/>
          </w:tcPr>
          <w:p w14:paraId="1374C89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《建设项目环境保护管理条例》</w:t>
            </w:r>
          </w:p>
        </w:tc>
        <w:tc>
          <w:tcPr>
            <w:tcW w:w="2148" w:type="dxa"/>
            <w:tcBorders>
              <w:tl2br w:val="nil"/>
              <w:tr2bl w:val="nil"/>
            </w:tcBorders>
            <w:vAlign w:val="center"/>
          </w:tcPr>
          <w:p w14:paraId="1E37EAE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国务院令682号</w:t>
            </w:r>
          </w:p>
        </w:tc>
        <w:tc>
          <w:tcPr>
            <w:tcW w:w="1114" w:type="dxa"/>
            <w:tcBorders>
              <w:tl2br w:val="nil"/>
              <w:tr2bl w:val="nil"/>
            </w:tcBorders>
            <w:vAlign w:val="center"/>
          </w:tcPr>
          <w:p w14:paraId="0375D85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2017-10-01</w:t>
            </w:r>
          </w:p>
        </w:tc>
      </w:tr>
      <w:tr w14:paraId="72BB3D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611496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w:t>
            </w:r>
          </w:p>
        </w:tc>
        <w:tc>
          <w:tcPr>
            <w:tcW w:w="4587" w:type="dxa"/>
            <w:tcBorders>
              <w:tl2br w:val="nil"/>
              <w:tr2bl w:val="nil"/>
            </w:tcBorders>
            <w:vAlign w:val="center"/>
          </w:tcPr>
          <w:p w14:paraId="5B0D870C">
            <w:pPr>
              <w:pStyle w:val="119"/>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《中华人民共和国土地管理法实施条例》</w:t>
            </w:r>
          </w:p>
        </w:tc>
        <w:tc>
          <w:tcPr>
            <w:tcW w:w="2148" w:type="dxa"/>
            <w:tcBorders>
              <w:tl2br w:val="nil"/>
              <w:tr2bl w:val="nil"/>
            </w:tcBorders>
            <w:vAlign w:val="center"/>
          </w:tcPr>
          <w:p w14:paraId="2C62332A">
            <w:pPr>
              <w:pStyle w:val="119"/>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国务院令第743号</w:t>
            </w:r>
          </w:p>
        </w:tc>
        <w:tc>
          <w:tcPr>
            <w:tcW w:w="1114" w:type="dxa"/>
            <w:tcBorders>
              <w:tl2br w:val="nil"/>
              <w:tr2bl w:val="nil"/>
            </w:tcBorders>
            <w:vAlign w:val="center"/>
          </w:tcPr>
          <w:p w14:paraId="5CDAF29D">
            <w:pPr>
              <w:pStyle w:val="119"/>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2021-09-01</w:t>
            </w:r>
          </w:p>
        </w:tc>
      </w:tr>
      <w:tr w14:paraId="2A2935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5E038D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w:t>
            </w:r>
          </w:p>
        </w:tc>
        <w:tc>
          <w:tcPr>
            <w:tcW w:w="4587" w:type="dxa"/>
            <w:tcBorders>
              <w:tl2br w:val="nil"/>
              <w:tr2bl w:val="nil"/>
            </w:tcBorders>
            <w:vAlign w:val="center"/>
          </w:tcPr>
          <w:p w14:paraId="11E01B0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《危险化学品安全管理条例》</w:t>
            </w:r>
          </w:p>
        </w:tc>
        <w:tc>
          <w:tcPr>
            <w:tcW w:w="2148" w:type="dxa"/>
            <w:tcBorders>
              <w:tl2br w:val="nil"/>
              <w:tr2bl w:val="nil"/>
            </w:tcBorders>
            <w:vAlign w:val="center"/>
          </w:tcPr>
          <w:p w14:paraId="23EAD66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国务院令第645号</w:t>
            </w:r>
          </w:p>
        </w:tc>
        <w:tc>
          <w:tcPr>
            <w:tcW w:w="1114" w:type="dxa"/>
            <w:tcBorders>
              <w:tl2br w:val="nil"/>
              <w:tr2bl w:val="nil"/>
            </w:tcBorders>
            <w:vAlign w:val="center"/>
          </w:tcPr>
          <w:p w14:paraId="690EE1C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2013-12-07</w:t>
            </w:r>
          </w:p>
        </w:tc>
      </w:tr>
      <w:tr w14:paraId="17CCB4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538" w:type="dxa"/>
            <w:tcBorders>
              <w:tl2br w:val="nil"/>
              <w:tr2bl w:val="nil"/>
            </w:tcBorders>
            <w:vAlign w:val="center"/>
          </w:tcPr>
          <w:p w14:paraId="71E912E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4587" w:type="dxa"/>
            <w:tcBorders>
              <w:tl2br w:val="nil"/>
              <w:tr2bl w:val="nil"/>
            </w:tcBorders>
            <w:vAlign w:val="center"/>
          </w:tcPr>
          <w:p w14:paraId="662293E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《危险废物转移管理办法》</w:t>
            </w:r>
          </w:p>
        </w:tc>
        <w:tc>
          <w:tcPr>
            <w:tcW w:w="2148" w:type="dxa"/>
            <w:tcBorders>
              <w:tl2br w:val="nil"/>
              <w:tr2bl w:val="nil"/>
            </w:tcBorders>
            <w:vAlign w:val="center"/>
          </w:tcPr>
          <w:p w14:paraId="185AAB4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部令 23号文</w:t>
            </w:r>
          </w:p>
        </w:tc>
        <w:tc>
          <w:tcPr>
            <w:tcW w:w="1114" w:type="dxa"/>
            <w:tcBorders>
              <w:tl2br w:val="nil"/>
              <w:tr2bl w:val="nil"/>
            </w:tcBorders>
            <w:vAlign w:val="center"/>
          </w:tcPr>
          <w:p w14:paraId="6A43E0F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2022-01-01</w:t>
            </w:r>
          </w:p>
        </w:tc>
      </w:tr>
      <w:tr w14:paraId="2B9D96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05" w:hRule="atLeast"/>
          <w:jc w:val="center"/>
        </w:trPr>
        <w:tc>
          <w:tcPr>
            <w:tcW w:w="538" w:type="dxa"/>
            <w:tcBorders>
              <w:tl2br w:val="nil"/>
              <w:tr2bl w:val="nil"/>
            </w:tcBorders>
            <w:vAlign w:val="center"/>
          </w:tcPr>
          <w:p w14:paraId="1C93D6B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4587" w:type="dxa"/>
            <w:tcBorders>
              <w:tl2br w:val="nil"/>
              <w:tr2bl w:val="nil"/>
            </w:tcBorders>
            <w:vAlign w:val="center"/>
          </w:tcPr>
          <w:p w14:paraId="6CCF691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《国务院关于印发〈空气质量持续改善行动计划〉的通知》</w:t>
            </w:r>
          </w:p>
        </w:tc>
        <w:tc>
          <w:tcPr>
            <w:tcW w:w="2148" w:type="dxa"/>
            <w:tcBorders>
              <w:tl2br w:val="nil"/>
              <w:tr2bl w:val="nil"/>
            </w:tcBorders>
            <w:vAlign w:val="center"/>
          </w:tcPr>
          <w:p w14:paraId="0F51B3F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国发〔2023〕24号</w:t>
            </w:r>
          </w:p>
        </w:tc>
        <w:tc>
          <w:tcPr>
            <w:tcW w:w="1114" w:type="dxa"/>
            <w:tcBorders>
              <w:tl2br w:val="nil"/>
              <w:tr2bl w:val="nil"/>
            </w:tcBorders>
            <w:vAlign w:val="center"/>
          </w:tcPr>
          <w:p w14:paraId="0E18FD5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07</w:t>
            </w:r>
          </w:p>
        </w:tc>
      </w:tr>
      <w:tr w14:paraId="272900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F4A7CE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6</w:t>
            </w:r>
          </w:p>
        </w:tc>
        <w:tc>
          <w:tcPr>
            <w:tcW w:w="4587" w:type="dxa"/>
            <w:tcBorders>
              <w:tl2br w:val="nil"/>
              <w:tr2bl w:val="nil"/>
            </w:tcBorders>
            <w:vAlign w:val="center"/>
          </w:tcPr>
          <w:p w14:paraId="134CC44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《中共中央国务院关于深入打好污染防治攻坚战的意见》</w:t>
            </w:r>
          </w:p>
        </w:tc>
        <w:tc>
          <w:tcPr>
            <w:tcW w:w="2148" w:type="dxa"/>
            <w:tcBorders>
              <w:tl2br w:val="nil"/>
              <w:tr2bl w:val="nil"/>
            </w:tcBorders>
            <w:vAlign w:val="center"/>
          </w:tcPr>
          <w:p w14:paraId="6FE4CEF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14" w:type="dxa"/>
            <w:tcBorders>
              <w:tl2br w:val="nil"/>
              <w:tr2bl w:val="nil"/>
            </w:tcBorders>
            <w:vAlign w:val="center"/>
          </w:tcPr>
          <w:p w14:paraId="1238BBE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2021-11-02</w:t>
            </w:r>
          </w:p>
        </w:tc>
      </w:tr>
      <w:tr w14:paraId="1D6937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6B8576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4587" w:type="dxa"/>
            <w:tcBorders>
              <w:tl2br w:val="nil"/>
              <w:tr2bl w:val="nil"/>
            </w:tcBorders>
            <w:vAlign w:val="center"/>
          </w:tcPr>
          <w:p w14:paraId="54C7324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《国务院关于印发“十四五”节能减排综合性工作方案的通知》</w:t>
            </w:r>
          </w:p>
        </w:tc>
        <w:tc>
          <w:tcPr>
            <w:tcW w:w="2148" w:type="dxa"/>
            <w:tcBorders>
              <w:tl2br w:val="nil"/>
              <w:tr2bl w:val="nil"/>
            </w:tcBorders>
            <w:vAlign w:val="center"/>
          </w:tcPr>
          <w:p w14:paraId="36F4E2F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国发﹝2021﹞33号</w:t>
            </w:r>
          </w:p>
        </w:tc>
        <w:tc>
          <w:tcPr>
            <w:tcW w:w="1114" w:type="dxa"/>
            <w:tcBorders>
              <w:tl2br w:val="nil"/>
              <w:tr2bl w:val="nil"/>
            </w:tcBorders>
            <w:vAlign w:val="center"/>
          </w:tcPr>
          <w:p w14:paraId="52EE933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28</w:t>
            </w:r>
          </w:p>
        </w:tc>
      </w:tr>
      <w:tr w14:paraId="66BB44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3057F5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4587" w:type="dxa"/>
            <w:tcBorders>
              <w:tl2br w:val="nil"/>
              <w:tr2bl w:val="nil"/>
            </w:tcBorders>
            <w:vAlign w:val="center"/>
          </w:tcPr>
          <w:p w14:paraId="44026CD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《排污许可管理条例》</w:t>
            </w:r>
          </w:p>
        </w:tc>
        <w:tc>
          <w:tcPr>
            <w:tcW w:w="2148" w:type="dxa"/>
            <w:tcBorders>
              <w:tl2br w:val="nil"/>
              <w:tr2bl w:val="nil"/>
            </w:tcBorders>
            <w:vAlign w:val="center"/>
          </w:tcPr>
          <w:p w14:paraId="3F5FE68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国务院令第736号</w:t>
            </w:r>
          </w:p>
        </w:tc>
        <w:tc>
          <w:tcPr>
            <w:tcW w:w="1114" w:type="dxa"/>
            <w:tcBorders>
              <w:tl2br w:val="nil"/>
              <w:tr2bl w:val="nil"/>
            </w:tcBorders>
            <w:vAlign w:val="center"/>
          </w:tcPr>
          <w:p w14:paraId="50494DC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2021-03-01</w:t>
            </w:r>
          </w:p>
        </w:tc>
      </w:tr>
      <w:tr w14:paraId="32BEEA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C02636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4587" w:type="dxa"/>
            <w:tcBorders>
              <w:tl2br w:val="nil"/>
              <w:tr2bl w:val="nil"/>
            </w:tcBorders>
            <w:vAlign w:val="center"/>
          </w:tcPr>
          <w:p w14:paraId="499A6D4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《国务院关于印发2030年前碳达峰行动方案的通知》</w:t>
            </w:r>
          </w:p>
        </w:tc>
        <w:tc>
          <w:tcPr>
            <w:tcW w:w="2148" w:type="dxa"/>
            <w:tcBorders>
              <w:tl2br w:val="nil"/>
              <w:tr2bl w:val="nil"/>
            </w:tcBorders>
            <w:vAlign w:val="center"/>
          </w:tcPr>
          <w:p w14:paraId="6E43503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国发﹝2021﹞23号</w:t>
            </w:r>
          </w:p>
        </w:tc>
        <w:tc>
          <w:tcPr>
            <w:tcW w:w="1114" w:type="dxa"/>
            <w:tcBorders>
              <w:tl2br w:val="nil"/>
              <w:tr2bl w:val="nil"/>
            </w:tcBorders>
            <w:vAlign w:val="center"/>
          </w:tcPr>
          <w:p w14:paraId="680D3E8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21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24</w:t>
            </w:r>
          </w:p>
        </w:tc>
      </w:tr>
      <w:tr w14:paraId="04C8A7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4F33A4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587" w:type="dxa"/>
            <w:tcBorders>
              <w:tl2br w:val="nil"/>
              <w:tr2bl w:val="nil"/>
            </w:tcBorders>
            <w:vAlign w:val="center"/>
          </w:tcPr>
          <w:p w14:paraId="11CFF01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《中共中央 国务院关于完整准确全面贯彻新发展理念做好碳达峰碳中和工作的意见》</w:t>
            </w:r>
          </w:p>
        </w:tc>
        <w:tc>
          <w:tcPr>
            <w:tcW w:w="2148" w:type="dxa"/>
            <w:tcBorders>
              <w:tl2br w:val="nil"/>
              <w:tr2bl w:val="nil"/>
            </w:tcBorders>
            <w:vAlign w:val="center"/>
          </w:tcPr>
          <w:p w14:paraId="5C42261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中发﹝2021﹞36号</w:t>
            </w:r>
          </w:p>
        </w:tc>
        <w:tc>
          <w:tcPr>
            <w:tcW w:w="1114" w:type="dxa"/>
            <w:tcBorders>
              <w:tl2br w:val="nil"/>
              <w:tr2bl w:val="nil"/>
            </w:tcBorders>
            <w:vAlign w:val="center"/>
          </w:tcPr>
          <w:p w14:paraId="63A41F7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22</w:t>
            </w:r>
          </w:p>
        </w:tc>
      </w:tr>
      <w:tr w14:paraId="213BF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B503D84">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三</w:t>
            </w:r>
          </w:p>
        </w:tc>
        <w:tc>
          <w:tcPr>
            <w:tcW w:w="7849" w:type="dxa"/>
            <w:gridSpan w:val="3"/>
            <w:tcBorders>
              <w:tl2br w:val="nil"/>
              <w:tr2bl w:val="nil"/>
            </w:tcBorders>
            <w:vAlign w:val="center"/>
          </w:tcPr>
          <w:p w14:paraId="2FDC908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部门规章与部门发布的规范性文件</w:t>
            </w:r>
          </w:p>
        </w:tc>
      </w:tr>
      <w:tr w14:paraId="434F91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788151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4587" w:type="dxa"/>
            <w:tcBorders>
              <w:tl2br w:val="nil"/>
              <w:tr2bl w:val="nil"/>
            </w:tcBorders>
            <w:vAlign w:val="center"/>
          </w:tcPr>
          <w:p w14:paraId="45183C4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6"/>
                <w:kern w:val="2"/>
                <w:sz w:val="21"/>
                <w:szCs w:val="21"/>
                <w:highlight w:val="none"/>
                <w:lang w:val="en-US" w:eastAsia="zh-CN" w:bidi="ar-SA"/>
              </w:rPr>
              <w:t>关于印发《“十四五”噪声污染防治行动计划》的通知</w:t>
            </w:r>
          </w:p>
        </w:tc>
        <w:tc>
          <w:tcPr>
            <w:tcW w:w="2148" w:type="dxa"/>
            <w:tcBorders>
              <w:tl2br w:val="nil"/>
              <w:tr2bl w:val="nil"/>
            </w:tcBorders>
            <w:vAlign w:val="center"/>
          </w:tcPr>
          <w:p w14:paraId="4DDA947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环大气〔2023〕1号</w:t>
            </w:r>
          </w:p>
        </w:tc>
        <w:tc>
          <w:tcPr>
            <w:tcW w:w="1114" w:type="dxa"/>
            <w:tcBorders>
              <w:tl2br w:val="nil"/>
              <w:tr2bl w:val="nil"/>
            </w:tcBorders>
            <w:vAlign w:val="center"/>
          </w:tcPr>
          <w:p w14:paraId="0F2B1A1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2023-01-05</w:t>
            </w:r>
          </w:p>
        </w:tc>
      </w:tr>
      <w:tr w14:paraId="6FECCE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4401AF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4587" w:type="dxa"/>
            <w:tcBorders>
              <w:tl2br w:val="nil"/>
              <w:tr2bl w:val="nil"/>
            </w:tcBorders>
            <w:vAlign w:val="center"/>
          </w:tcPr>
          <w:p w14:paraId="1C6F860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《建设项目环境影响评价分类管理名录》</w:t>
            </w:r>
          </w:p>
        </w:tc>
        <w:tc>
          <w:tcPr>
            <w:tcW w:w="2148" w:type="dxa"/>
            <w:tcBorders>
              <w:tl2br w:val="nil"/>
              <w:tr2bl w:val="nil"/>
            </w:tcBorders>
            <w:vAlign w:val="center"/>
          </w:tcPr>
          <w:p w14:paraId="332E7FF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生态环境部令第16号</w:t>
            </w:r>
          </w:p>
        </w:tc>
        <w:tc>
          <w:tcPr>
            <w:tcW w:w="1114" w:type="dxa"/>
            <w:tcBorders>
              <w:tl2br w:val="nil"/>
              <w:tr2bl w:val="nil"/>
            </w:tcBorders>
            <w:vAlign w:val="center"/>
          </w:tcPr>
          <w:p w14:paraId="45BC25F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2021-01-01</w:t>
            </w:r>
          </w:p>
        </w:tc>
      </w:tr>
      <w:tr w14:paraId="541C5C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A130C8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4587" w:type="dxa"/>
            <w:tcBorders>
              <w:tl2br w:val="nil"/>
              <w:tr2bl w:val="nil"/>
            </w:tcBorders>
            <w:vAlign w:val="center"/>
          </w:tcPr>
          <w:p w14:paraId="14224AC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《关于进一步加强环境影响评价管理防范环境风险的通知》</w:t>
            </w:r>
          </w:p>
        </w:tc>
        <w:tc>
          <w:tcPr>
            <w:tcW w:w="2148" w:type="dxa"/>
            <w:tcBorders>
              <w:tl2br w:val="nil"/>
              <w:tr2bl w:val="nil"/>
            </w:tcBorders>
            <w:vAlign w:val="center"/>
          </w:tcPr>
          <w:p w14:paraId="3D28C42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环发〔2012〕77号</w:t>
            </w:r>
          </w:p>
        </w:tc>
        <w:tc>
          <w:tcPr>
            <w:tcW w:w="1114" w:type="dxa"/>
            <w:tcBorders>
              <w:tl2br w:val="nil"/>
              <w:tr2bl w:val="nil"/>
            </w:tcBorders>
            <w:vAlign w:val="center"/>
          </w:tcPr>
          <w:p w14:paraId="0FCE4A8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eastAsia="zh-CN"/>
              </w:rPr>
              <w:t>12-07-03</w:t>
            </w:r>
          </w:p>
        </w:tc>
      </w:tr>
      <w:tr w14:paraId="4F2C6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212692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c>
          <w:tcPr>
            <w:tcW w:w="4587" w:type="dxa"/>
            <w:tcBorders>
              <w:tl2br w:val="nil"/>
              <w:tr2bl w:val="nil"/>
            </w:tcBorders>
            <w:vAlign w:val="center"/>
          </w:tcPr>
          <w:p w14:paraId="036CC5F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《铜产业高质量发展实施方案（2025-2027年）》</w:t>
            </w:r>
          </w:p>
        </w:tc>
        <w:tc>
          <w:tcPr>
            <w:tcW w:w="2148" w:type="dxa"/>
            <w:tcBorders>
              <w:tl2br w:val="nil"/>
              <w:tr2bl w:val="nil"/>
            </w:tcBorders>
            <w:vAlign w:val="center"/>
          </w:tcPr>
          <w:p w14:paraId="2F3C9A0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工信部联原〔2025〕18号</w:t>
            </w:r>
          </w:p>
        </w:tc>
        <w:tc>
          <w:tcPr>
            <w:tcW w:w="1114" w:type="dxa"/>
            <w:tcBorders>
              <w:tl2br w:val="nil"/>
              <w:tr2bl w:val="nil"/>
            </w:tcBorders>
            <w:vAlign w:val="center"/>
          </w:tcPr>
          <w:p w14:paraId="049E581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2025-01-21</w:t>
            </w:r>
          </w:p>
        </w:tc>
      </w:tr>
      <w:tr w14:paraId="71B58E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AB3B02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4587" w:type="dxa"/>
            <w:tcBorders>
              <w:tl2br w:val="nil"/>
              <w:tr2bl w:val="nil"/>
            </w:tcBorders>
            <w:vAlign w:val="center"/>
          </w:tcPr>
          <w:p w14:paraId="54919E8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《铜冶炼行业规范条件》</w:t>
            </w:r>
          </w:p>
        </w:tc>
        <w:tc>
          <w:tcPr>
            <w:tcW w:w="2148" w:type="dxa"/>
            <w:tcBorders>
              <w:tl2br w:val="nil"/>
              <w:tr2bl w:val="nil"/>
            </w:tcBorders>
            <w:vAlign w:val="center"/>
          </w:tcPr>
          <w:p w14:paraId="76F5ECD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工业和信息化部公告2019年第35号</w:t>
            </w:r>
          </w:p>
        </w:tc>
        <w:tc>
          <w:tcPr>
            <w:tcW w:w="1114" w:type="dxa"/>
            <w:tcBorders>
              <w:tl2br w:val="nil"/>
              <w:tr2bl w:val="nil"/>
            </w:tcBorders>
            <w:vAlign w:val="center"/>
          </w:tcPr>
          <w:p w14:paraId="3D15DD8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2019-09-04</w:t>
            </w:r>
          </w:p>
        </w:tc>
      </w:tr>
      <w:tr w14:paraId="2E4D70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E2FF28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w:t>
            </w:r>
          </w:p>
        </w:tc>
        <w:tc>
          <w:tcPr>
            <w:tcW w:w="4587" w:type="dxa"/>
            <w:tcBorders>
              <w:tl2br w:val="nil"/>
              <w:tr2bl w:val="nil"/>
            </w:tcBorders>
            <w:vAlign w:val="center"/>
          </w:tcPr>
          <w:p w14:paraId="4BD617C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《关于进一步加强重金属污染防控的意见》</w:t>
            </w:r>
          </w:p>
        </w:tc>
        <w:tc>
          <w:tcPr>
            <w:tcW w:w="2148" w:type="dxa"/>
            <w:tcBorders>
              <w:tl2br w:val="nil"/>
              <w:tr2bl w:val="nil"/>
            </w:tcBorders>
            <w:vAlign w:val="center"/>
          </w:tcPr>
          <w:p w14:paraId="32E1F41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环固体〔2022〕17号</w:t>
            </w:r>
          </w:p>
        </w:tc>
        <w:tc>
          <w:tcPr>
            <w:tcW w:w="1114" w:type="dxa"/>
            <w:tcBorders>
              <w:tl2br w:val="nil"/>
              <w:tr2bl w:val="nil"/>
            </w:tcBorders>
            <w:vAlign w:val="center"/>
          </w:tcPr>
          <w:p w14:paraId="143CCCA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2022-03-07</w:t>
            </w:r>
          </w:p>
        </w:tc>
      </w:tr>
      <w:tr w14:paraId="006A45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EC7669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7</w:t>
            </w:r>
          </w:p>
        </w:tc>
        <w:tc>
          <w:tcPr>
            <w:tcW w:w="4587" w:type="dxa"/>
            <w:tcBorders>
              <w:tl2br w:val="nil"/>
              <w:tr2bl w:val="nil"/>
            </w:tcBorders>
            <w:vAlign w:val="center"/>
          </w:tcPr>
          <w:p w14:paraId="0A860B4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《产业结构调整指导目录（2024</w:t>
            </w:r>
            <w:r>
              <w:rPr>
                <w:rFonts w:hint="eastAsia" w:cs="Times New Roman"/>
                <w:color w:val="auto"/>
                <w:sz w:val="21"/>
                <w:szCs w:val="21"/>
                <w:highlight w:val="none"/>
                <w:lang w:val="en-US" w:eastAsia="zh-CN"/>
              </w:rPr>
              <w:t>年</w:t>
            </w:r>
            <w:r>
              <w:rPr>
                <w:rFonts w:hint="default" w:ascii="Times New Roman" w:hAnsi="Times New Roman" w:eastAsia="宋体" w:cs="Times New Roman"/>
                <w:color w:val="auto"/>
                <w:sz w:val="21"/>
                <w:szCs w:val="21"/>
                <w:highlight w:val="none"/>
                <w:lang w:eastAsia="zh-CN"/>
              </w:rPr>
              <w:t>本）》</w:t>
            </w:r>
          </w:p>
        </w:tc>
        <w:tc>
          <w:tcPr>
            <w:tcW w:w="2148" w:type="dxa"/>
            <w:tcBorders>
              <w:tl2br w:val="nil"/>
              <w:tr2bl w:val="nil"/>
            </w:tcBorders>
            <w:vAlign w:val="center"/>
          </w:tcPr>
          <w:p w14:paraId="1C6D4BE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0"/>
                <w:sz w:val="21"/>
                <w:szCs w:val="21"/>
                <w:highlight w:val="none"/>
                <w:lang w:eastAsia="zh-CN"/>
              </w:rPr>
              <w:t>国家发展和改革委员会令</w:t>
            </w:r>
            <w:r>
              <w:rPr>
                <w:rFonts w:hint="default" w:ascii="Times New Roman" w:hAnsi="Times New Roman" w:eastAsia="宋体" w:cs="Times New Roman"/>
                <w:color w:val="auto"/>
                <w:sz w:val="21"/>
                <w:szCs w:val="21"/>
                <w:highlight w:val="none"/>
                <w:lang w:eastAsia="zh-CN"/>
              </w:rPr>
              <w:t>第7号令</w:t>
            </w:r>
          </w:p>
        </w:tc>
        <w:tc>
          <w:tcPr>
            <w:tcW w:w="1114" w:type="dxa"/>
            <w:tcBorders>
              <w:tl2br w:val="nil"/>
              <w:tr2bl w:val="nil"/>
            </w:tcBorders>
            <w:vAlign w:val="center"/>
          </w:tcPr>
          <w:p w14:paraId="1251CDA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eastAsia="zh-CN"/>
              </w:rPr>
              <w:t>4-02-01</w:t>
            </w:r>
          </w:p>
        </w:tc>
      </w:tr>
      <w:tr w14:paraId="280899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7AAD558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8</w:t>
            </w:r>
          </w:p>
        </w:tc>
        <w:tc>
          <w:tcPr>
            <w:tcW w:w="4587" w:type="dxa"/>
            <w:tcBorders>
              <w:tl2br w:val="nil"/>
              <w:tr2bl w:val="nil"/>
            </w:tcBorders>
            <w:vAlign w:val="center"/>
          </w:tcPr>
          <w:p w14:paraId="67DBCC0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国家危险废物名录（2025年版）</w:t>
            </w:r>
            <w:r>
              <w:rPr>
                <w:rFonts w:hint="default" w:ascii="Times New Roman" w:hAnsi="Times New Roman" w:eastAsia="宋体" w:cs="Times New Roman"/>
                <w:color w:val="auto"/>
                <w:sz w:val="21"/>
                <w:szCs w:val="21"/>
                <w:highlight w:val="none"/>
                <w:lang w:eastAsia="zh-CN"/>
              </w:rPr>
              <w:t>》</w:t>
            </w:r>
          </w:p>
        </w:tc>
        <w:tc>
          <w:tcPr>
            <w:tcW w:w="2148" w:type="dxa"/>
            <w:tcBorders>
              <w:tl2br w:val="nil"/>
              <w:tr2bl w:val="nil"/>
            </w:tcBorders>
            <w:vAlign w:val="center"/>
          </w:tcPr>
          <w:p w14:paraId="1205D7B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生态环境部、国家发展和改革委员会、公安部、交通运输部、国家卫生健康委员会令第36号</w:t>
            </w:r>
          </w:p>
        </w:tc>
        <w:tc>
          <w:tcPr>
            <w:tcW w:w="1114" w:type="dxa"/>
            <w:tcBorders>
              <w:tl2br w:val="nil"/>
              <w:tr2bl w:val="nil"/>
            </w:tcBorders>
            <w:vAlign w:val="center"/>
          </w:tcPr>
          <w:p w14:paraId="095044E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-01-01</w:t>
            </w:r>
          </w:p>
        </w:tc>
      </w:tr>
      <w:tr w14:paraId="75CE54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20" w:hRule="atLeast"/>
          <w:jc w:val="center"/>
        </w:trPr>
        <w:tc>
          <w:tcPr>
            <w:tcW w:w="538" w:type="dxa"/>
            <w:tcBorders>
              <w:tl2br w:val="nil"/>
              <w:tr2bl w:val="nil"/>
            </w:tcBorders>
            <w:vAlign w:val="center"/>
          </w:tcPr>
          <w:p w14:paraId="2678B54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9</w:t>
            </w:r>
          </w:p>
        </w:tc>
        <w:tc>
          <w:tcPr>
            <w:tcW w:w="4587" w:type="dxa"/>
            <w:tcBorders>
              <w:tl2br w:val="nil"/>
              <w:tr2bl w:val="nil"/>
            </w:tcBorders>
            <w:vAlign w:val="center"/>
          </w:tcPr>
          <w:p w14:paraId="2EB5BE3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《环境影响评价公众参与办法》</w:t>
            </w:r>
          </w:p>
        </w:tc>
        <w:tc>
          <w:tcPr>
            <w:tcW w:w="2148" w:type="dxa"/>
            <w:tcBorders>
              <w:tl2br w:val="nil"/>
              <w:tr2bl w:val="nil"/>
            </w:tcBorders>
            <w:vAlign w:val="center"/>
          </w:tcPr>
          <w:p w14:paraId="0327479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生态环境部令第4号</w:t>
            </w:r>
          </w:p>
        </w:tc>
        <w:tc>
          <w:tcPr>
            <w:tcW w:w="1114" w:type="dxa"/>
            <w:tcBorders>
              <w:tl2br w:val="nil"/>
              <w:tr2bl w:val="nil"/>
            </w:tcBorders>
            <w:vAlign w:val="center"/>
          </w:tcPr>
          <w:p w14:paraId="6DB2BE1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2019-01-01</w:t>
            </w:r>
          </w:p>
        </w:tc>
      </w:tr>
      <w:tr w14:paraId="78C067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C684FA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587" w:type="dxa"/>
            <w:tcBorders>
              <w:tl2br w:val="nil"/>
              <w:tr2bl w:val="nil"/>
            </w:tcBorders>
            <w:vAlign w:val="center"/>
          </w:tcPr>
          <w:p w14:paraId="610DFE8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《关于加强高耗能、高排放建设项目生态环境源头防控的指导意见》</w:t>
            </w:r>
          </w:p>
        </w:tc>
        <w:tc>
          <w:tcPr>
            <w:tcW w:w="2148" w:type="dxa"/>
            <w:tcBorders>
              <w:tl2br w:val="nil"/>
              <w:tr2bl w:val="nil"/>
            </w:tcBorders>
            <w:vAlign w:val="center"/>
          </w:tcPr>
          <w:p w14:paraId="64BAFEC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环环评〔2021〕45号</w:t>
            </w:r>
          </w:p>
        </w:tc>
        <w:tc>
          <w:tcPr>
            <w:tcW w:w="1114" w:type="dxa"/>
            <w:tcBorders>
              <w:tl2br w:val="nil"/>
              <w:tr2bl w:val="nil"/>
            </w:tcBorders>
            <w:vAlign w:val="center"/>
          </w:tcPr>
          <w:p w14:paraId="762CC95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2021-05-30</w:t>
            </w:r>
          </w:p>
        </w:tc>
      </w:tr>
      <w:tr w14:paraId="7F2102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7DAACED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4587" w:type="dxa"/>
            <w:tcBorders>
              <w:tl2br w:val="nil"/>
              <w:tr2bl w:val="nil"/>
            </w:tcBorders>
            <w:vAlign w:val="center"/>
          </w:tcPr>
          <w:p w14:paraId="2D05825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《危险废物污染防治技术政策》</w:t>
            </w:r>
          </w:p>
        </w:tc>
        <w:tc>
          <w:tcPr>
            <w:tcW w:w="2148" w:type="dxa"/>
            <w:tcBorders>
              <w:tl2br w:val="nil"/>
              <w:tr2bl w:val="nil"/>
            </w:tcBorders>
            <w:vAlign w:val="center"/>
          </w:tcPr>
          <w:p w14:paraId="46B1CEA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环发〔2001〕199号</w:t>
            </w:r>
          </w:p>
        </w:tc>
        <w:tc>
          <w:tcPr>
            <w:tcW w:w="1114" w:type="dxa"/>
            <w:tcBorders>
              <w:tl2br w:val="nil"/>
              <w:tr2bl w:val="nil"/>
            </w:tcBorders>
            <w:vAlign w:val="center"/>
          </w:tcPr>
          <w:p w14:paraId="0E2A780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2001-12-17</w:t>
            </w:r>
          </w:p>
        </w:tc>
      </w:tr>
      <w:tr w14:paraId="116988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D5D7DC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4587" w:type="dxa"/>
            <w:tcBorders>
              <w:tl2br w:val="nil"/>
              <w:tr2bl w:val="nil"/>
            </w:tcBorders>
            <w:vAlign w:val="center"/>
          </w:tcPr>
          <w:p w14:paraId="43B3E5C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《关于加强生态保护监管工作的意见》</w:t>
            </w:r>
          </w:p>
        </w:tc>
        <w:tc>
          <w:tcPr>
            <w:tcW w:w="2148" w:type="dxa"/>
            <w:tcBorders>
              <w:tl2br w:val="nil"/>
              <w:tr2bl w:val="nil"/>
            </w:tcBorders>
            <w:vAlign w:val="center"/>
          </w:tcPr>
          <w:p w14:paraId="1F7F695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环生态〔2020〕73号</w:t>
            </w:r>
          </w:p>
        </w:tc>
        <w:tc>
          <w:tcPr>
            <w:tcW w:w="1114" w:type="dxa"/>
            <w:tcBorders>
              <w:tl2br w:val="nil"/>
              <w:tr2bl w:val="nil"/>
            </w:tcBorders>
            <w:vAlign w:val="center"/>
          </w:tcPr>
          <w:p w14:paraId="6F00642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2020-12-24</w:t>
            </w:r>
          </w:p>
        </w:tc>
      </w:tr>
      <w:tr w14:paraId="757C41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5710C5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4587" w:type="dxa"/>
            <w:tcBorders>
              <w:tl2br w:val="nil"/>
              <w:tr2bl w:val="nil"/>
            </w:tcBorders>
            <w:vAlign w:val="center"/>
          </w:tcPr>
          <w:p w14:paraId="42CFAF5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《关于以改善环境质量为核心加强环境影响评价管理的通知》</w:t>
            </w:r>
          </w:p>
        </w:tc>
        <w:tc>
          <w:tcPr>
            <w:tcW w:w="2148" w:type="dxa"/>
            <w:tcBorders>
              <w:tl2br w:val="nil"/>
              <w:tr2bl w:val="nil"/>
            </w:tcBorders>
            <w:vAlign w:val="center"/>
          </w:tcPr>
          <w:p w14:paraId="66F7531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环环评〔2016〕150号</w:t>
            </w:r>
          </w:p>
        </w:tc>
        <w:tc>
          <w:tcPr>
            <w:tcW w:w="1114" w:type="dxa"/>
            <w:tcBorders>
              <w:tl2br w:val="nil"/>
              <w:tr2bl w:val="nil"/>
            </w:tcBorders>
            <w:vAlign w:val="center"/>
          </w:tcPr>
          <w:p w14:paraId="6D3E128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2016-10-26</w:t>
            </w:r>
          </w:p>
        </w:tc>
      </w:tr>
      <w:tr w14:paraId="2457D7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3F8D2F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4587" w:type="dxa"/>
            <w:tcBorders>
              <w:tl2br w:val="nil"/>
              <w:tr2bl w:val="nil"/>
            </w:tcBorders>
            <w:vAlign w:val="center"/>
          </w:tcPr>
          <w:p w14:paraId="5CB6985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《关于强化建设项目环境影响评价事中事后监管的实施意见》</w:t>
            </w:r>
          </w:p>
        </w:tc>
        <w:tc>
          <w:tcPr>
            <w:tcW w:w="2148" w:type="dxa"/>
            <w:tcBorders>
              <w:tl2br w:val="nil"/>
              <w:tr2bl w:val="nil"/>
            </w:tcBorders>
            <w:vAlign w:val="center"/>
          </w:tcPr>
          <w:p w14:paraId="51E3B0B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环环评〔2018〕11号</w:t>
            </w:r>
          </w:p>
        </w:tc>
        <w:tc>
          <w:tcPr>
            <w:tcW w:w="1114" w:type="dxa"/>
            <w:tcBorders>
              <w:tl2br w:val="nil"/>
              <w:tr2bl w:val="nil"/>
            </w:tcBorders>
            <w:vAlign w:val="center"/>
          </w:tcPr>
          <w:p w14:paraId="2369381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2018-01-25</w:t>
            </w:r>
          </w:p>
        </w:tc>
      </w:tr>
      <w:tr w14:paraId="29D918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F7580D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587" w:type="dxa"/>
            <w:tcBorders>
              <w:tl2br w:val="nil"/>
              <w:tr2bl w:val="nil"/>
            </w:tcBorders>
            <w:vAlign w:val="center"/>
          </w:tcPr>
          <w:p w14:paraId="3BCF0BC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《关于印发地下水污染防治实施方案的通知》</w:t>
            </w:r>
          </w:p>
        </w:tc>
        <w:tc>
          <w:tcPr>
            <w:tcW w:w="2148" w:type="dxa"/>
            <w:tcBorders>
              <w:tl2br w:val="nil"/>
              <w:tr2bl w:val="nil"/>
            </w:tcBorders>
            <w:vAlign w:val="center"/>
          </w:tcPr>
          <w:p w14:paraId="6CCC97A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环土壤〔2019〕25号</w:t>
            </w:r>
          </w:p>
        </w:tc>
        <w:tc>
          <w:tcPr>
            <w:tcW w:w="1114" w:type="dxa"/>
            <w:tcBorders>
              <w:tl2br w:val="nil"/>
              <w:tr2bl w:val="nil"/>
            </w:tcBorders>
            <w:vAlign w:val="center"/>
          </w:tcPr>
          <w:p w14:paraId="03A66C6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2019-03-28</w:t>
            </w:r>
          </w:p>
        </w:tc>
      </w:tr>
      <w:tr w14:paraId="6CD8F1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5CDDAF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587" w:type="dxa"/>
            <w:tcBorders>
              <w:tl2br w:val="nil"/>
              <w:tr2bl w:val="nil"/>
            </w:tcBorders>
            <w:vAlign w:val="center"/>
          </w:tcPr>
          <w:p w14:paraId="6305B05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《关于发布〈建设项目竣工环境保护验收暂行办法〉的公告》</w:t>
            </w:r>
          </w:p>
        </w:tc>
        <w:tc>
          <w:tcPr>
            <w:tcW w:w="2148" w:type="dxa"/>
            <w:tcBorders>
              <w:tl2br w:val="nil"/>
              <w:tr2bl w:val="nil"/>
            </w:tcBorders>
            <w:vAlign w:val="center"/>
          </w:tcPr>
          <w:p w14:paraId="2A7E65F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6"/>
                <w:kern w:val="2"/>
                <w:sz w:val="21"/>
                <w:szCs w:val="21"/>
                <w:highlight w:val="none"/>
                <w:lang w:val="en-US" w:eastAsia="zh-CN" w:bidi="ar-SA"/>
              </w:rPr>
              <w:t>国环规环评〔2017〕4号</w:t>
            </w:r>
          </w:p>
        </w:tc>
        <w:tc>
          <w:tcPr>
            <w:tcW w:w="1114" w:type="dxa"/>
            <w:tcBorders>
              <w:tl2br w:val="nil"/>
              <w:tr2bl w:val="nil"/>
            </w:tcBorders>
            <w:vAlign w:val="center"/>
          </w:tcPr>
          <w:p w14:paraId="480E226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2017-11-20</w:t>
            </w:r>
          </w:p>
        </w:tc>
      </w:tr>
      <w:tr w14:paraId="369B28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64C28C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587" w:type="dxa"/>
            <w:tcBorders>
              <w:tl2br w:val="nil"/>
              <w:tr2bl w:val="nil"/>
            </w:tcBorders>
            <w:vAlign w:val="center"/>
          </w:tcPr>
          <w:p w14:paraId="45B0B0F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关于做好环境影响评价制度与排污许可制衔接相关工作的通知</w:t>
            </w:r>
            <w:r>
              <w:rPr>
                <w:rFonts w:hint="eastAsia" w:cs="Times New Roman"/>
                <w:color w:val="auto"/>
                <w:sz w:val="21"/>
                <w:szCs w:val="21"/>
                <w:highlight w:val="none"/>
                <w:lang w:eastAsia="zh-CN"/>
              </w:rPr>
              <w:t>》</w:t>
            </w:r>
          </w:p>
        </w:tc>
        <w:tc>
          <w:tcPr>
            <w:tcW w:w="2148" w:type="dxa"/>
            <w:tcBorders>
              <w:tl2br w:val="nil"/>
              <w:tr2bl w:val="nil"/>
            </w:tcBorders>
            <w:vAlign w:val="center"/>
          </w:tcPr>
          <w:p w14:paraId="6184B40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环办环评〔2017〕84 号</w:t>
            </w:r>
          </w:p>
        </w:tc>
        <w:tc>
          <w:tcPr>
            <w:tcW w:w="1114" w:type="dxa"/>
            <w:tcBorders>
              <w:tl2br w:val="nil"/>
              <w:tr2bl w:val="nil"/>
            </w:tcBorders>
            <w:vAlign w:val="center"/>
          </w:tcPr>
          <w:p w14:paraId="4601D34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2017-11-14</w:t>
            </w:r>
          </w:p>
        </w:tc>
      </w:tr>
      <w:tr w14:paraId="4467D9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E52FC6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4587" w:type="dxa"/>
            <w:tcBorders>
              <w:tl2br w:val="nil"/>
              <w:tr2bl w:val="nil"/>
            </w:tcBorders>
            <w:vAlign w:val="center"/>
          </w:tcPr>
          <w:p w14:paraId="2CAB449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工矿用地土壤环境管理办法（试行）</w:t>
            </w:r>
            <w:r>
              <w:rPr>
                <w:rFonts w:hint="eastAsia" w:cs="Times New Roman"/>
                <w:color w:val="auto"/>
                <w:sz w:val="21"/>
                <w:szCs w:val="21"/>
                <w:highlight w:val="none"/>
                <w:lang w:eastAsia="zh-CN"/>
              </w:rPr>
              <w:t>》</w:t>
            </w:r>
          </w:p>
        </w:tc>
        <w:tc>
          <w:tcPr>
            <w:tcW w:w="2148" w:type="dxa"/>
            <w:tcBorders>
              <w:tl2br w:val="nil"/>
              <w:tr2bl w:val="nil"/>
            </w:tcBorders>
            <w:vAlign w:val="center"/>
          </w:tcPr>
          <w:p w14:paraId="1331BD7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生态环境部令第3号</w:t>
            </w:r>
          </w:p>
        </w:tc>
        <w:tc>
          <w:tcPr>
            <w:tcW w:w="1114" w:type="dxa"/>
            <w:tcBorders>
              <w:tl2br w:val="nil"/>
              <w:tr2bl w:val="nil"/>
            </w:tcBorders>
            <w:vAlign w:val="center"/>
          </w:tcPr>
          <w:p w14:paraId="26B9321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2018-08-01</w:t>
            </w:r>
          </w:p>
        </w:tc>
      </w:tr>
      <w:tr w14:paraId="43D4B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jc w:val="center"/>
        </w:trPr>
        <w:tc>
          <w:tcPr>
            <w:tcW w:w="538" w:type="dxa"/>
            <w:tcBorders>
              <w:tl2br w:val="nil"/>
              <w:tr2bl w:val="nil"/>
            </w:tcBorders>
            <w:vAlign w:val="center"/>
          </w:tcPr>
          <w:p w14:paraId="6CE95D1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4587" w:type="dxa"/>
            <w:tcBorders>
              <w:tl2br w:val="nil"/>
              <w:tr2bl w:val="nil"/>
            </w:tcBorders>
            <w:vAlign w:val="center"/>
          </w:tcPr>
          <w:p w14:paraId="78E4794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建设项目危险废物环境影响评价指南</w:t>
            </w:r>
            <w:r>
              <w:rPr>
                <w:rFonts w:hint="eastAsia" w:cs="Times New Roman"/>
                <w:color w:val="auto"/>
                <w:sz w:val="21"/>
                <w:szCs w:val="21"/>
                <w:highlight w:val="none"/>
                <w:lang w:eastAsia="zh-CN"/>
              </w:rPr>
              <w:t>》</w:t>
            </w:r>
          </w:p>
        </w:tc>
        <w:tc>
          <w:tcPr>
            <w:tcW w:w="2148" w:type="dxa"/>
            <w:tcBorders>
              <w:tl2br w:val="nil"/>
              <w:tr2bl w:val="nil"/>
            </w:tcBorders>
            <w:vAlign w:val="center"/>
          </w:tcPr>
          <w:p w14:paraId="134F939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环保部公告2017年第43号</w:t>
            </w:r>
          </w:p>
        </w:tc>
        <w:tc>
          <w:tcPr>
            <w:tcW w:w="1114" w:type="dxa"/>
            <w:tcBorders>
              <w:tl2br w:val="nil"/>
              <w:tr2bl w:val="nil"/>
            </w:tcBorders>
            <w:vAlign w:val="center"/>
          </w:tcPr>
          <w:p w14:paraId="3617894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2017-10-01</w:t>
            </w:r>
          </w:p>
        </w:tc>
      </w:tr>
      <w:tr w14:paraId="02CA12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D8143E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4587" w:type="dxa"/>
            <w:tcBorders>
              <w:tl2br w:val="nil"/>
              <w:tr2bl w:val="nil"/>
            </w:tcBorders>
            <w:vAlign w:val="center"/>
          </w:tcPr>
          <w:p w14:paraId="21A472F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突发环境事件应急管理办法</w:t>
            </w:r>
            <w:r>
              <w:rPr>
                <w:rFonts w:hint="eastAsia" w:cs="Times New Roman"/>
                <w:color w:val="auto"/>
                <w:sz w:val="21"/>
                <w:szCs w:val="21"/>
                <w:highlight w:val="none"/>
                <w:lang w:eastAsia="zh-CN"/>
              </w:rPr>
              <w:t>》</w:t>
            </w:r>
          </w:p>
        </w:tc>
        <w:tc>
          <w:tcPr>
            <w:tcW w:w="2148" w:type="dxa"/>
            <w:tcBorders>
              <w:tl2br w:val="nil"/>
              <w:tr2bl w:val="nil"/>
            </w:tcBorders>
            <w:vAlign w:val="center"/>
          </w:tcPr>
          <w:p w14:paraId="7D52617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环境保护部令第34号</w:t>
            </w:r>
          </w:p>
        </w:tc>
        <w:tc>
          <w:tcPr>
            <w:tcW w:w="1114" w:type="dxa"/>
            <w:tcBorders>
              <w:tl2br w:val="nil"/>
              <w:tr2bl w:val="nil"/>
            </w:tcBorders>
            <w:vAlign w:val="center"/>
          </w:tcPr>
          <w:p w14:paraId="796389A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2015-06-05</w:t>
            </w:r>
          </w:p>
        </w:tc>
      </w:tr>
      <w:tr w14:paraId="7DBBEB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697355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p>
        </w:tc>
        <w:tc>
          <w:tcPr>
            <w:tcW w:w="4587" w:type="dxa"/>
            <w:tcBorders>
              <w:tl2br w:val="nil"/>
              <w:tr2bl w:val="nil"/>
            </w:tcBorders>
            <w:vAlign w:val="center"/>
          </w:tcPr>
          <w:p w14:paraId="20E3EEF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《关于统筹和加强应对气候变化与生态环境保护相关工作的指导意见》</w:t>
            </w:r>
          </w:p>
        </w:tc>
        <w:tc>
          <w:tcPr>
            <w:tcW w:w="2148" w:type="dxa"/>
            <w:tcBorders>
              <w:tl2br w:val="nil"/>
              <w:tr2bl w:val="nil"/>
            </w:tcBorders>
            <w:vAlign w:val="center"/>
          </w:tcPr>
          <w:p w14:paraId="32C84E7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环综合﹝2021﹞4号</w:t>
            </w:r>
          </w:p>
        </w:tc>
        <w:tc>
          <w:tcPr>
            <w:tcW w:w="1114" w:type="dxa"/>
            <w:tcBorders>
              <w:tl2br w:val="nil"/>
              <w:tr2bl w:val="nil"/>
            </w:tcBorders>
            <w:vAlign w:val="center"/>
          </w:tcPr>
          <w:p w14:paraId="73A5F42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11</w:t>
            </w:r>
          </w:p>
        </w:tc>
      </w:tr>
      <w:tr w14:paraId="6879B3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78C7FB6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2</w:t>
            </w:r>
          </w:p>
        </w:tc>
        <w:tc>
          <w:tcPr>
            <w:tcW w:w="4587" w:type="dxa"/>
            <w:tcBorders>
              <w:tl2br w:val="nil"/>
              <w:tr2bl w:val="nil"/>
            </w:tcBorders>
            <w:vAlign w:val="center"/>
          </w:tcPr>
          <w:p w14:paraId="16D30D1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《关于开展重点行业建设项目碳排放环境影响评价试点的通知》</w:t>
            </w:r>
          </w:p>
        </w:tc>
        <w:tc>
          <w:tcPr>
            <w:tcW w:w="2148" w:type="dxa"/>
            <w:tcBorders>
              <w:tl2br w:val="nil"/>
              <w:tr2bl w:val="nil"/>
            </w:tcBorders>
            <w:vAlign w:val="center"/>
          </w:tcPr>
          <w:p w14:paraId="758647E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环办环评函﹝2021﹞346号</w:t>
            </w:r>
          </w:p>
        </w:tc>
        <w:tc>
          <w:tcPr>
            <w:tcW w:w="1114" w:type="dxa"/>
            <w:tcBorders>
              <w:tl2br w:val="nil"/>
              <w:tr2bl w:val="nil"/>
            </w:tcBorders>
            <w:vAlign w:val="center"/>
          </w:tcPr>
          <w:p w14:paraId="362C0C1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21</w:t>
            </w:r>
          </w:p>
        </w:tc>
      </w:tr>
      <w:tr w14:paraId="15AA63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147847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4587" w:type="dxa"/>
            <w:tcBorders>
              <w:tl2br w:val="nil"/>
              <w:tr2bl w:val="nil"/>
            </w:tcBorders>
            <w:vAlign w:val="center"/>
          </w:tcPr>
          <w:p w14:paraId="3226BE4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bookmarkStart w:id="74" w:name="OLE_LINK8"/>
            <w:r>
              <w:rPr>
                <w:rFonts w:hint="default" w:ascii="Times New Roman" w:hAnsi="Times New Roman" w:eastAsia="宋体" w:cs="Times New Roman"/>
                <w:b w:val="0"/>
                <w:bCs w:val="0"/>
                <w:color w:val="auto"/>
                <w:sz w:val="21"/>
                <w:szCs w:val="21"/>
                <w:highlight w:val="none"/>
                <w:lang w:eastAsia="zh-CN"/>
              </w:rPr>
              <w:t>减污降碳协同增效实施方案</w:t>
            </w:r>
            <w:bookmarkEnd w:id="74"/>
            <w:r>
              <w:rPr>
                <w:rFonts w:hint="default" w:ascii="Times New Roman" w:hAnsi="Times New Roman" w:eastAsia="宋体" w:cs="Times New Roman"/>
                <w:b w:val="0"/>
                <w:bCs w:val="0"/>
                <w:color w:val="auto"/>
                <w:sz w:val="21"/>
                <w:szCs w:val="21"/>
                <w:highlight w:val="none"/>
                <w:lang w:eastAsia="zh-CN"/>
              </w:rPr>
              <w:t>》</w:t>
            </w:r>
          </w:p>
        </w:tc>
        <w:tc>
          <w:tcPr>
            <w:tcW w:w="2148" w:type="dxa"/>
            <w:tcBorders>
              <w:tl2br w:val="nil"/>
              <w:tr2bl w:val="nil"/>
            </w:tcBorders>
            <w:vAlign w:val="center"/>
          </w:tcPr>
          <w:p w14:paraId="4653463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环综合﹝2022﹞42号</w:t>
            </w:r>
          </w:p>
        </w:tc>
        <w:tc>
          <w:tcPr>
            <w:tcW w:w="1114" w:type="dxa"/>
            <w:tcBorders>
              <w:tl2br w:val="nil"/>
              <w:tr2bl w:val="nil"/>
            </w:tcBorders>
            <w:vAlign w:val="center"/>
          </w:tcPr>
          <w:p w14:paraId="5EA5163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10</w:t>
            </w:r>
          </w:p>
        </w:tc>
      </w:tr>
      <w:tr w14:paraId="251999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0CF643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4587" w:type="dxa"/>
            <w:tcBorders>
              <w:tl2br w:val="nil"/>
              <w:tr2bl w:val="nil"/>
            </w:tcBorders>
            <w:vAlign w:val="center"/>
          </w:tcPr>
          <w:p w14:paraId="45F4ED4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《工业和信息化部 国家发展改革委 生态环境部关于印发工业领域碳达峰实施方案的通知》</w:t>
            </w:r>
          </w:p>
        </w:tc>
        <w:tc>
          <w:tcPr>
            <w:tcW w:w="2148" w:type="dxa"/>
            <w:tcBorders>
              <w:tl2br w:val="nil"/>
              <w:tr2bl w:val="nil"/>
            </w:tcBorders>
            <w:vAlign w:val="center"/>
          </w:tcPr>
          <w:p w14:paraId="348623D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pacing w:val="-11"/>
                <w:kern w:val="2"/>
                <w:sz w:val="21"/>
                <w:szCs w:val="21"/>
                <w:highlight w:val="none"/>
                <w:lang w:val="en-US" w:eastAsia="zh-CN" w:bidi="ar-SA"/>
              </w:rPr>
            </w:pPr>
            <w:r>
              <w:rPr>
                <w:rFonts w:hint="default" w:ascii="Times New Roman" w:hAnsi="Times New Roman" w:eastAsia="宋体" w:cs="Times New Roman"/>
                <w:b w:val="0"/>
                <w:bCs/>
                <w:color w:val="auto"/>
                <w:spacing w:val="-11"/>
                <w:kern w:val="2"/>
                <w:sz w:val="21"/>
                <w:szCs w:val="21"/>
                <w:highlight w:val="none"/>
                <w:lang w:val="en-US" w:eastAsia="zh-CN" w:bidi="ar-SA"/>
              </w:rPr>
              <w:t>工信部联节﹝2022﹞88号</w:t>
            </w:r>
          </w:p>
        </w:tc>
        <w:tc>
          <w:tcPr>
            <w:tcW w:w="1114" w:type="dxa"/>
            <w:tcBorders>
              <w:tl2br w:val="nil"/>
              <w:tr2bl w:val="nil"/>
            </w:tcBorders>
            <w:vAlign w:val="center"/>
          </w:tcPr>
          <w:p w14:paraId="2F61C28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7</w:t>
            </w:r>
          </w:p>
        </w:tc>
      </w:tr>
      <w:tr w14:paraId="17404C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3E102D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4587" w:type="dxa"/>
            <w:tcBorders>
              <w:tl2br w:val="nil"/>
              <w:tr2bl w:val="nil"/>
            </w:tcBorders>
            <w:vAlign w:val="center"/>
          </w:tcPr>
          <w:p w14:paraId="0082E37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《关于印发</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土壤污染源头防控行动计划</w:t>
            </w:r>
            <w:r>
              <w:rPr>
                <w:rFonts w:hint="eastAsia" w:cs="Times New Roman"/>
                <w:b w:val="0"/>
                <w:bCs w:val="0"/>
                <w:color w:val="auto"/>
                <w:sz w:val="21"/>
                <w:szCs w:val="21"/>
                <w:highlight w:val="none"/>
                <w:lang w:eastAsia="zh-CN"/>
              </w:rPr>
              <w:t>〉的通知》</w:t>
            </w:r>
          </w:p>
        </w:tc>
        <w:tc>
          <w:tcPr>
            <w:tcW w:w="2148" w:type="dxa"/>
            <w:tcBorders>
              <w:tl2br w:val="nil"/>
              <w:tr2bl w:val="nil"/>
            </w:tcBorders>
            <w:vAlign w:val="center"/>
          </w:tcPr>
          <w:p w14:paraId="4C80EE3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pacing w:val="-11"/>
                <w:kern w:val="2"/>
                <w:sz w:val="21"/>
                <w:szCs w:val="21"/>
                <w:highlight w:val="none"/>
                <w:lang w:val="en-US" w:eastAsia="zh-CN" w:bidi="ar-SA"/>
              </w:rPr>
            </w:pPr>
            <w:r>
              <w:rPr>
                <w:rFonts w:hint="default" w:ascii="Times New Roman" w:hAnsi="Times New Roman" w:eastAsia="宋体" w:cs="Times New Roman"/>
                <w:b w:val="0"/>
                <w:bCs/>
                <w:color w:val="auto"/>
                <w:spacing w:val="-11"/>
                <w:kern w:val="2"/>
                <w:sz w:val="21"/>
                <w:szCs w:val="21"/>
                <w:highlight w:val="none"/>
                <w:lang w:val="en-US" w:eastAsia="zh-CN" w:bidi="ar-SA"/>
              </w:rPr>
              <w:t>环土壤〔2024〕80号</w:t>
            </w:r>
          </w:p>
        </w:tc>
        <w:tc>
          <w:tcPr>
            <w:tcW w:w="1114" w:type="dxa"/>
            <w:tcBorders>
              <w:tl2br w:val="nil"/>
              <w:tr2bl w:val="nil"/>
            </w:tcBorders>
            <w:vAlign w:val="center"/>
          </w:tcPr>
          <w:p w14:paraId="057D35C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2024-11-06</w:t>
            </w:r>
          </w:p>
        </w:tc>
      </w:tr>
      <w:tr w14:paraId="1BDDCD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A61F9C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4587" w:type="dxa"/>
            <w:tcBorders>
              <w:tl2br w:val="nil"/>
              <w:tr2bl w:val="nil"/>
            </w:tcBorders>
            <w:vAlign w:val="center"/>
          </w:tcPr>
          <w:p w14:paraId="5856140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《关于发布</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矿产资源开发利用辐射环境监督管理名录</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的公告》</w:t>
            </w:r>
          </w:p>
        </w:tc>
        <w:tc>
          <w:tcPr>
            <w:tcW w:w="2148" w:type="dxa"/>
            <w:tcBorders>
              <w:tl2br w:val="nil"/>
              <w:tr2bl w:val="nil"/>
            </w:tcBorders>
            <w:vAlign w:val="center"/>
          </w:tcPr>
          <w:p w14:paraId="780835A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生态环境部公告2020第54号</w:t>
            </w:r>
          </w:p>
        </w:tc>
        <w:tc>
          <w:tcPr>
            <w:tcW w:w="1114" w:type="dxa"/>
            <w:tcBorders>
              <w:tl2br w:val="nil"/>
              <w:tr2bl w:val="nil"/>
            </w:tcBorders>
            <w:vAlign w:val="center"/>
          </w:tcPr>
          <w:p w14:paraId="2727F06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0-11-</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5</w:t>
            </w:r>
          </w:p>
        </w:tc>
      </w:tr>
      <w:tr w14:paraId="340EA7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D2CF22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4587" w:type="dxa"/>
            <w:tcBorders>
              <w:tl2br w:val="nil"/>
              <w:tr2bl w:val="nil"/>
            </w:tcBorders>
            <w:vAlign w:val="center"/>
          </w:tcPr>
          <w:p w14:paraId="00E06236">
            <w:pPr>
              <w:pStyle w:val="7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《铜冶炼污染防治可行技术指南</w:t>
            </w:r>
            <w:r>
              <w:rPr>
                <w:rFonts w:hint="eastAsia" w:cs="Times New Roman"/>
                <w:color w:val="auto"/>
                <w:spacing w:val="-1"/>
                <w:sz w:val="21"/>
                <w:szCs w:val="21"/>
                <w:highlight w:val="none"/>
                <w:lang w:val="en-US" w:eastAsia="zh-CN"/>
              </w:rPr>
              <w:t>（试行）》</w:t>
            </w:r>
          </w:p>
        </w:tc>
        <w:tc>
          <w:tcPr>
            <w:tcW w:w="2148" w:type="dxa"/>
            <w:tcBorders>
              <w:tl2br w:val="nil"/>
              <w:tr2bl w:val="nil"/>
            </w:tcBorders>
            <w:vAlign w:val="center"/>
          </w:tcPr>
          <w:p w14:paraId="2B44134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环境保护部公告2015年第24号</w:t>
            </w:r>
          </w:p>
        </w:tc>
        <w:tc>
          <w:tcPr>
            <w:tcW w:w="1114" w:type="dxa"/>
            <w:tcBorders>
              <w:tl2br w:val="nil"/>
              <w:tr2bl w:val="nil"/>
            </w:tcBorders>
            <w:vAlign w:val="center"/>
          </w:tcPr>
          <w:p w14:paraId="332FC33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2015-04-21</w:t>
            </w:r>
          </w:p>
        </w:tc>
      </w:tr>
      <w:tr w14:paraId="25E27F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2ACE14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w w:val="99"/>
                <w:sz w:val="21"/>
                <w:szCs w:val="21"/>
                <w:highlight w:val="none"/>
              </w:rPr>
              <w:t>四</w:t>
            </w:r>
          </w:p>
        </w:tc>
        <w:tc>
          <w:tcPr>
            <w:tcW w:w="7849" w:type="dxa"/>
            <w:gridSpan w:val="3"/>
            <w:tcBorders>
              <w:tl2br w:val="nil"/>
              <w:tr2bl w:val="nil"/>
            </w:tcBorders>
            <w:vAlign w:val="center"/>
          </w:tcPr>
          <w:p w14:paraId="69924A1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地方性法规及通知</w:t>
            </w:r>
          </w:p>
        </w:tc>
      </w:tr>
      <w:tr w14:paraId="3090EC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538" w:type="dxa"/>
            <w:tcBorders>
              <w:tl2br w:val="nil"/>
              <w:tr2bl w:val="nil"/>
            </w:tcBorders>
            <w:vAlign w:val="center"/>
          </w:tcPr>
          <w:p w14:paraId="344EBE2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p>
        </w:tc>
        <w:tc>
          <w:tcPr>
            <w:tcW w:w="4587" w:type="dxa"/>
            <w:tcBorders>
              <w:tl2br w:val="nil"/>
              <w:tr2bl w:val="nil"/>
            </w:tcBorders>
            <w:vAlign w:val="center"/>
          </w:tcPr>
          <w:p w14:paraId="170F7E2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《新疆维吾尔自治区环境保护条例》</w:t>
            </w:r>
          </w:p>
        </w:tc>
        <w:tc>
          <w:tcPr>
            <w:tcW w:w="2148" w:type="dxa"/>
            <w:tcBorders>
              <w:tl2br w:val="nil"/>
              <w:tr2bl w:val="nil"/>
            </w:tcBorders>
            <w:vAlign w:val="center"/>
          </w:tcPr>
          <w:p w14:paraId="16B23C8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13届人大第6次会议</w:t>
            </w:r>
          </w:p>
        </w:tc>
        <w:tc>
          <w:tcPr>
            <w:tcW w:w="1114" w:type="dxa"/>
            <w:tcBorders>
              <w:tl2br w:val="nil"/>
              <w:tr2bl w:val="nil"/>
            </w:tcBorders>
            <w:vAlign w:val="center"/>
          </w:tcPr>
          <w:p w14:paraId="677DFFA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2018-09-21</w:t>
            </w:r>
          </w:p>
        </w:tc>
      </w:tr>
      <w:tr w14:paraId="5E8806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30D5F6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4587" w:type="dxa"/>
            <w:tcBorders>
              <w:tl2br w:val="nil"/>
              <w:tr2bl w:val="nil"/>
            </w:tcBorders>
            <w:vAlign w:val="center"/>
          </w:tcPr>
          <w:p w14:paraId="29F24D4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《新疆生态功能区划》</w:t>
            </w:r>
          </w:p>
        </w:tc>
        <w:tc>
          <w:tcPr>
            <w:tcW w:w="2148" w:type="dxa"/>
            <w:tcBorders>
              <w:tl2br w:val="nil"/>
              <w:tr2bl w:val="nil"/>
            </w:tcBorders>
            <w:vAlign w:val="center"/>
          </w:tcPr>
          <w:p w14:paraId="622EC23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新政函〔2005〕96号</w:t>
            </w:r>
          </w:p>
        </w:tc>
        <w:tc>
          <w:tcPr>
            <w:tcW w:w="1114" w:type="dxa"/>
            <w:tcBorders>
              <w:tl2br w:val="nil"/>
              <w:tr2bl w:val="nil"/>
            </w:tcBorders>
            <w:vAlign w:val="center"/>
          </w:tcPr>
          <w:p w14:paraId="760376C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2005-07-14</w:t>
            </w:r>
          </w:p>
        </w:tc>
      </w:tr>
      <w:tr w14:paraId="11AD7E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9B9AB6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4587" w:type="dxa"/>
            <w:tcBorders>
              <w:tl2br w:val="nil"/>
              <w:tr2bl w:val="nil"/>
            </w:tcBorders>
            <w:vAlign w:val="center"/>
          </w:tcPr>
          <w:p w14:paraId="38189FB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《新疆维吾尔自治区重金属污染防控工作方案》</w:t>
            </w:r>
          </w:p>
        </w:tc>
        <w:tc>
          <w:tcPr>
            <w:tcW w:w="2148" w:type="dxa"/>
            <w:tcBorders>
              <w:tl2br w:val="nil"/>
              <w:tr2bl w:val="nil"/>
            </w:tcBorders>
            <w:vAlign w:val="center"/>
          </w:tcPr>
          <w:p w14:paraId="5DF4417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11"/>
                <w:kern w:val="2"/>
                <w:sz w:val="21"/>
                <w:szCs w:val="21"/>
                <w:highlight w:val="none"/>
                <w:lang w:val="en-US" w:eastAsia="zh-CN" w:bidi="ar-SA"/>
              </w:rPr>
              <w:t>新环固体发〔2022〕88号</w:t>
            </w:r>
          </w:p>
        </w:tc>
        <w:tc>
          <w:tcPr>
            <w:tcW w:w="1114" w:type="dxa"/>
            <w:tcBorders>
              <w:tl2br w:val="nil"/>
              <w:tr2bl w:val="nil"/>
            </w:tcBorders>
            <w:vAlign w:val="center"/>
          </w:tcPr>
          <w:p w14:paraId="5B4AE1D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2022-06-16</w:t>
            </w:r>
          </w:p>
        </w:tc>
      </w:tr>
      <w:tr w14:paraId="7DEB39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35A481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c>
          <w:tcPr>
            <w:tcW w:w="4587" w:type="dxa"/>
            <w:tcBorders>
              <w:tl2br w:val="nil"/>
              <w:tr2bl w:val="nil"/>
            </w:tcBorders>
            <w:vAlign w:val="center"/>
          </w:tcPr>
          <w:p w14:paraId="1D0C662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《新疆水环境功能区划》</w:t>
            </w:r>
          </w:p>
        </w:tc>
        <w:tc>
          <w:tcPr>
            <w:tcW w:w="2148" w:type="dxa"/>
            <w:tcBorders>
              <w:tl2br w:val="nil"/>
              <w:tr2bl w:val="nil"/>
            </w:tcBorders>
            <w:vAlign w:val="center"/>
          </w:tcPr>
          <w:p w14:paraId="637977E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新政函〔2002〕194号</w:t>
            </w:r>
          </w:p>
        </w:tc>
        <w:tc>
          <w:tcPr>
            <w:tcW w:w="1114" w:type="dxa"/>
            <w:tcBorders>
              <w:tl2br w:val="nil"/>
              <w:tr2bl w:val="nil"/>
            </w:tcBorders>
            <w:vAlign w:val="center"/>
          </w:tcPr>
          <w:p w14:paraId="2776F2A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2002-12</w:t>
            </w:r>
          </w:p>
        </w:tc>
      </w:tr>
      <w:tr w14:paraId="0D27FD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0E8E2F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4587" w:type="dxa"/>
            <w:tcBorders>
              <w:tl2br w:val="nil"/>
              <w:tr2bl w:val="nil"/>
            </w:tcBorders>
            <w:vAlign w:val="center"/>
          </w:tcPr>
          <w:p w14:paraId="75C21A2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《新疆维吾尔自治区2025年空气质量持续改善行动实施方案》</w:t>
            </w:r>
          </w:p>
        </w:tc>
        <w:tc>
          <w:tcPr>
            <w:tcW w:w="2148" w:type="dxa"/>
            <w:tcBorders>
              <w:tl2br w:val="nil"/>
              <w:tr2bl w:val="nil"/>
            </w:tcBorders>
            <w:vAlign w:val="center"/>
          </w:tcPr>
          <w:p w14:paraId="762BD20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新政办发〔2024〕58号</w:t>
            </w:r>
          </w:p>
        </w:tc>
        <w:tc>
          <w:tcPr>
            <w:tcW w:w="1114" w:type="dxa"/>
            <w:tcBorders>
              <w:tl2br w:val="nil"/>
              <w:tr2bl w:val="nil"/>
            </w:tcBorders>
            <w:vAlign w:val="center"/>
          </w:tcPr>
          <w:p w14:paraId="164916B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24-12-10</w:t>
            </w:r>
          </w:p>
        </w:tc>
      </w:tr>
      <w:tr w14:paraId="2126CD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21D711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6</w:t>
            </w:r>
          </w:p>
        </w:tc>
        <w:tc>
          <w:tcPr>
            <w:tcW w:w="4587" w:type="dxa"/>
            <w:tcBorders>
              <w:tl2br w:val="nil"/>
              <w:tr2bl w:val="nil"/>
            </w:tcBorders>
            <w:vAlign w:val="center"/>
          </w:tcPr>
          <w:p w14:paraId="3DFA3FE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转发《关于强化建设项目环境影响评价事中事后监管的实施意见》</w:t>
            </w:r>
          </w:p>
        </w:tc>
        <w:tc>
          <w:tcPr>
            <w:tcW w:w="2148" w:type="dxa"/>
            <w:tcBorders>
              <w:tl2br w:val="nil"/>
              <w:tr2bl w:val="nil"/>
            </w:tcBorders>
            <w:vAlign w:val="center"/>
          </w:tcPr>
          <w:p w14:paraId="472C698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新环办发〔2018〕80号</w:t>
            </w:r>
          </w:p>
        </w:tc>
        <w:tc>
          <w:tcPr>
            <w:tcW w:w="1114" w:type="dxa"/>
            <w:tcBorders>
              <w:tl2br w:val="nil"/>
              <w:tr2bl w:val="nil"/>
            </w:tcBorders>
            <w:vAlign w:val="center"/>
          </w:tcPr>
          <w:p w14:paraId="7152D23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2018-03-27</w:t>
            </w:r>
          </w:p>
        </w:tc>
      </w:tr>
      <w:tr w14:paraId="0140E8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E8966D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7</w:t>
            </w:r>
          </w:p>
        </w:tc>
        <w:tc>
          <w:tcPr>
            <w:tcW w:w="4587" w:type="dxa"/>
            <w:tcBorders>
              <w:tl2br w:val="nil"/>
              <w:tr2bl w:val="nil"/>
            </w:tcBorders>
            <w:vAlign w:val="center"/>
          </w:tcPr>
          <w:p w14:paraId="1AD5463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《新疆维吾尔自治区坎儿井保护条例》</w:t>
            </w:r>
          </w:p>
        </w:tc>
        <w:tc>
          <w:tcPr>
            <w:tcW w:w="2148" w:type="dxa"/>
            <w:tcBorders>
              <w:tl2br w:val="nil"/>
              <w:tr2bl w:val="nil"/>
            </w:tcBorders>
            <w:vAlign w:val="center"/>
          </w:tcPr>
          <w:p w14:paraId="1C2B313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届人民代表大会常务委员会第</w:t>
            </w:r>
            <w:r>
              <w:rPr>
                <w:rFonts w:hint="eastAsia"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5842579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2006-12-01</w:t>
            </w:r>
          </w:p>
        </w:tc>
      </w:tr>
      <w:tr w14:paraId="3C9046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D98F06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8</w:t>
            </w:r>
          </w:p>
        </w:tc>
        <w:tc>
          <w:tcPr>
            <w:tcW w:w="4587" w:type="dxa"/>
            <w:tcBorders>
              <w:tl2br w:val="nil"/>
              <w:tr2bl w:val="nil"/>
            </w:tcBorders>
            <w:vAlign w:val="center"/>
          </w:tcPr>
          <w:p w14:paraId="6C6CDE5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11"/>
                <w:kern w:val="2"/>
                <w:sz w:val="21"/>
                <w:szCs w:val="21"/>
                <w:highlight w:val="none"/>
                <w:lang w:val="en-US" w:eastAsia="zh-CN" w:bidi="ar-SA"/>
              </w:rPr>
              <w:t>《关于加强沙区建设项目环境影响评价工作的通知》</w:t>
            </w:r>
          </w:p>
        </w:tc>
        <w:tc>
          <w:tcPr>
            <w:tcW w:w="2148" w:type="dxa"/>
            <w:tcBorders>
              <w:tl2br w:val="nil"/>
              <w:tr2bl w:val="nil"/>
            </w:tcBorders>
            <w:vAlign w:val="center"/>
          </w:tcPr>
          <w:p w14:paraId="46E50BD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11"/>
                <w:kern w:val="2"/>
                <w:sz w:val="21"/>
                <w:szCs w:val="21"/>
                <w:highlight w:val="none"/>
                <w:lang w:val="en-US" w:eastAsia="zh-CN" w:bidi="ar-SA"/>
              </w:rPr>
              <w:t>新环环评发〔2020〕138号</w:t>
            </w:r>
          </w:p>
        </w:tc>
        <w:tc>
          <w:tcPr>
            <w:tcW w:w="1114" w:type="dxa"/>
            <w:tcBorders>
              <w:tl2br w:val="nil"/>
              <w:tr2bl w:val="nil"/>
            </w:tcBorders>
            <w:vAlign w:val="center"/>
          </w:tcPr>
          <w:p w14:paraId="5132E37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2020-09-04</w:t>
            </w:r>
          </w:p>
        </w:tc>
      </w:tr>
      <w:tr w14:paraId="510A4E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1EC26A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9</w:t>
            </w:r>
          </w:p>
        </w:tc>
        <w:tc>
          <w:tcPr>
            <w:tcW w:w="4587" w:type="dxa"/>
            <w:tcBorders>
              <w:tl2br w:val="nil"/>
              <w:tr2bl w:val="nil"/>
            </w:tcBorders>
            <w:vAlign w:val="center"/>
          </w:tcPr>
          <w:p w14:paraId="7D4B0C5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《新疆维吾尔自治区重点行业生态环境准入条件（2024年）》</w:t>
            </w:r>
          </w:p>
        </w:tc>
        <w:tc>
          <w:tcPr>
            <w:tcW w:w="2148" w:type="dxa"/>
            <w:tcBorders>
              <w:tl2br w:val="nil"/>
              <w:tr2bl w:val="nil"/>
            </w:tcBorders>
            <w:vAlign w:val="center"/>
          </w:tcPr>
          <w:p w14:paraId="640C714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新环发〔2024〕93号</w:t>
            </w:r>
          </w:p>
        </w:tc>
        <w:tc>
          <w:tcPr>
            <w:tcW w:w="1114" w:type="dxa"/>
            <w:tcBorders>
              <w:tl2br w:val="nil"/>
              <w:tr2bl w:val="nil"/>
            </w:tcBorders>
            <w:vAlign w:val="center"/>
          </w:tcPr>
          <w:p w14:paraId="2A774F6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2024-06-09</w:t>
            </w:r>
          </w:p>
        </w:tc>
      </w:tr>
      <w:tr w14:paraId="737B03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DF46BD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587" w:type="dxa"/>
            <w:tcBorders>
              <w:tl2br w:val="nil"/>
              <w:tr2bl w:val="nil"/>
            </w:tcBorders>
            <w:vAlign w:val="center"/>
          </w:tcPr>
          <w:p w14:paraId="496EBEF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eastAsia="zh-CN"/>
              </w:rPr>
              <w:t>新疆生态环境保护“十四五”规划</w:t>
            </w:r>
            <w:r>
              <w:rPr>
                <w:rFonts w:hint="default" w:ascii="Times New Roman" w:hAnsi="Times New Roman" w:eastAsia="宋体" w:cs="Times New Roman"/>
                <w:color w:val="auto"/>
                <w:sz w:val="21"/>
                <w:szCs w:val="21"/>
                <w:highlight w:val="none"/>
                <w:lang w:val="zh-CN" w:eastAsia="zh-CN"/>
              </w:rPr>
              <w:t>》</w:t>
            </w:r>
          </w:p>
        </w:tc>
        <w:tc>
          <w:tcPr>
            <w:tcW w:w="2148" w:type="dxa"/>
            <w:tcBorders>
              <w:tl2br w:val="nil"/>
              <w:tr2bl w:val="nil"/>
            </w:tcBorders>
            <w:vAlign w:val="center"/>
          </w:tcPr>
          <w:p w14:paraId="1475A14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14" w:type="dxa"/>
            <w:tcBorders>
              <w:tl2br w:val="nil"/>
              <w:tr2bl w:val="nil"/>
            </w:tcBorders>
            <w:vAlign w:val="center"/>
          </w:tcPr>
          <w:p w14:paraId="51CD9C5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2022-01-14</w:t>
            </w:r>
          </w:p>
        </w:tc>
      </w:tr>
      <w:tr w14:paraId="3D4358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A13069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r>
              <w:rPr>
                <w:rFonts w:hint="eastAsia" w:cs="Times New Roman"/>
                <w:color w:val="auto"/>
                <w:sz w:val="21"/>
                <w:szCs w:val="21"/>
                <w:highlight w:val="none"/>
                <w:lang w:val="en-US" w:eastAsia="zh-CN"/>
              </w:rPr>
              <w:t>1</w:t>
            </w:r>
          </w:p>
        </w:tc>
        <w:tc>
          <w:tcPr>
            <w:tcW w:w="4587" w:type="dxa"/>
            <w:tcBorders>
              <w:tl2br w:val="nil"/>
              <w:tr2bl w:val="nil"/>
            </w:tcBorders>
            <w:vAlign w:val="center"/>
          </w:tcPr>
          <w:p w14:paraId="2609E1E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《新疆维吾尔自治区大气污染防治条例》</w:t>
            </w:r>
          </w:p>
        </w:tc>
        <w:tc>
          <w:tcPr>
            <w:tcW w:w="2148" w:type="dxa"/>
            <w:tcBorders>
              <w:tl2br w:val="nil"/>
              <w:tr2bl w:val="nil"/>
            </w:tcBorders>
            <w:vAlign w:val="center"/>
          </w:tcPr>
          <w:p w14:paraId="5096391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13届人大第7次会议</w:t>
            </w:r>
          </w:p>
        </w:tc>
        <w:tc>
          <w:tcPr>
            <w:tcW w:w="1114" w:type="dxa"/>
            <w:tcBorders>
              <w:tl2br w:val="nil"/>
              <w:tr2bl w:val="nil"/>
            </w:tcBorders>
            <w:vAlign w:val="center"/>
          </w:tcPr>
          <w:p w14:paraId="386A81A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2019-01-01</w:t>
            </w:r>
          </w:p>
        </w:tc>
      </w:tr>
      <w:tr w14:paraId="093E9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0690F1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4587" w:type="dxa"/>
            <w:tcBorders>
              <w:tl2br w:val="nil"/>
              <w:tr2bl w:val="nil"/>
            </w:tcBorders>
            <w:vAlign w:val="center"/>
          </w:tcPr>
          <w:p w14:paraId="19C89E5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《关于印发新疆自治区级水土流失重点预防区和重点治理区复核划分成果的通知》</w:t>
            </w:r>
          </w:p>
        </w:tc>
        <w:tc>
          <w:tcPr>
            <w:tcW w:w="2148" w:type="dxa"/>
            <w:tcBorders>
              <w:tl2br w:val="nil"/>
              <w:tr2bl w:val="nil"/>
            </w:tcBorders>
            <w:vAlign w:val="center"/>
          </w:tcPr>
          <w:p w14:paraId="77AF4DD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新水水保〔2019〕4号</w:t>
            </w:r>
          </w:p>
        </w:tc>
        <w:tc>
          <w:tcPr>
            <w:tcW w:w="1114" w:type="dxa"/>
            <w:tcBorders>
              <w:tl2br w:val="nil"/>
              <w:tr2bl w:val="nil"/>
            </w:tcBorders>
            <w:vAlign w:val="center"/>
          </w:tcPr>
          <w:p w14:paraId="60D5650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2019-01-21</w:t>
            </w:r>
          </w:p>
        </w:tc>
      </w:tr>
      <w:tr w14:paraId="03DF8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F360C8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3</w:t>
            </w:r>
          </w:p>
        </w:tc>
        <w:tc>
          <w:tcPr>
            <w:tcW w:w="4587" w:type="dxa"/>
            <w:tcBorders>
              <w:tl2br w:val="nil"/>
              <w:tr2bl w:val="nil"/>
            </w:tcBorders>
            <w:vAlign w:val="center"/>
          </w:tcPr>
          <w:p w14:paraId="578FB72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《关于印发</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新疆维吾尔自治区生态环境分区管控动态更新成果</w:t>
            </w:r>
            <w:r>
              <w:rPr>
                <w:rFonts w:hint="eastAsia" w:cs="Times New Roman"/>
                <w:color w:val="auto"/>
                <w:sz w:val="21"/>
                <w:szCs w:val="21"/>
                <w:highlight w:val="none"/>
                <w:lang w:eastAsia="zh-CN"/>
              </w:rPr>
              <w:t>〉的通知》</w:t>
            </w:r>
          </w:p>
        </w:tc>
        <w:tc>
          <w:tcPr>
            <w:tcW w:w="2148" w:type="dxa"/>
            <w:tcBorders>
              <w:tl2br w:val="nil"/>
              <w:tr2bl w:val="nil"/>
            </w:tcBorders>
            <w:vAlign w:val="center"/>
          </w:tcPr>
          <w:p w14:paraId="1584A9B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新环环评发〔2024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157号</w:t>
            </w:r>
          </w:p>
        </w:tc>
        <w:tc>
          <w:tcPr>
            <w:tcW w:w="1114" w:type="dxa"/>
            <w:tcBorders>
              <w:tl2br w:val="nil"/>
              <w:tr2bl w:val="nil"/>
            </w:tcBorders>
            <w:vAlign w:val="center"/>
          </w:tcPr>
          <w:p w14:paraId="425C989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2024-11-18</w:t>
            </w:r>
          </w:p>
        </w:tc>
      </w:tr>
      <w:tr w14:paraId="091AD9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898133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4</w:t>
            </w:r>
          </w:p>
        </w:tc>
        <w:tc>
          <w:tcPr>
            <w:tcW w:w="4587" w:type="dxa"/>
            <w:tcBorders>
              <w:tl2br w:val="nil"/>
              <w:tr2bl w:val="nil"/>
            </w:tcBorders>
            <w:vAlign w:val="center"/>
          </w:tcPr>
          <w:p w14:paraId="3AC375C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关于印发《吐鲁番市“三线一单”生态环境分区管控方案》的通知</w:t>
            </w:r>
          </w:p>
        </w:tc>
        <w:tc>
          <w:tcPr>
            <w:tcW w:w="2148" w:type="dxa"/>
            <w:tcBorders>
              <w:tl2br w:val="nil"/>
              <w:tr2bl w:val="nil"/>
            </w:tcBorders>
            <w:vAlign w:val="center"/>
          </w:tcPr>
          <w:p w14:paraId="5B28C66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吐政办〔2021〕24号</w:t>
            </w:r>
          </w:p>
        </w:tc>
        <w:tc>
          <w:tcPr>
            <w:tcW w:w="1114" w:type="dxa"/>
            <w:tcBorders>
              <w:tl2br w:val="nil"/>
              <w:tr2bl w:val="nil"/>
            </w:tcBorders>
            <w:vAlign w:val="center"/>
          </w:tcPr>
          <w:p w14:paraId="4F8BB5F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2021-06-30</w:t>
            </w:r>
          </w:p>
        </w:tc>
      </w:tr>
      <w:tr w14:paraId="383EA9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73142F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5</w:t>
            </w:r>
          </w:p>
        </w:tc>
        <w:tc>
          <w:tcPr>
            <w:tcW w:w="4587" w:type="dxa"/>
            <w:tcBorders>
              <w:tl2br w:val="nil"/>
              <w:tr2bl w:val="nil"/>
            </w:tcBorders>
            <w:vAlign w:val="center"/>
          </w:tcPr>
          <w:p w14:paraId="2A39D16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《新疆维吾尔自治区主体功能区规划》</w:t>
            </w:r>
          </w:p>
        </w:tc>
        <w:tc>
          <w:tcPr>
            <w:tcW w:w="2148" w:type="dxa"/>
            <w:tcBorders>
              <w:tl2br w:val="nil"/>
              <w:tr2bl w:val="nil"/>
            </w:tcBorders>
            <w:vAlign w:val="center"/>
          </w:tcPr>
          <w:p w14:paraId="731305B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14" w:type="dxa"/>
            <w:tcBorders>
              <w:tl2br w:val="nil"/>
              <w:tr2bl w:val="nil"/>
            </w:tcBorders>
            <w:vAlign w:val="center"/>
          </w:tcPr>
          <w:p w14:paraId="5A59F1B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-10</w:t>
            </w:r>
          </w:p>
        </w:tc>
      </w:tr>
      <w:tr w14:paraId="46EA16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CDAB1C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6</w:t>
            </w:r>
          </w:p>
        </w:tc>
        <w:tc>
          <w:tcPr>
            <w:tcW w:w="4587" w:type="dxa"/>
            <w:tcBorders>
              <w:tl2br w:val="nil"/>
              <w:tr2bl w:val="nil"/>
            </w:tcBorders>
            <w:vAlign w:val="center"/>
          </w:tcPr>
          <w:p w14:paraId="3E0C006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CN" w:eastAsia="zh-CN"/>
              </w:rPr>
              <w:t>新疆维吾尔自治区国民经济和社会发展第十四个五年规划和2035年远景目标纲要</w:t>
            </w:r>
            <w:r>
              <w:rPr>
                <w:rFonts w:hint="default" w:ascii="Times New Roman" w:hAnsi="Times New Roman" w:eastAsia="宋体" w:cs="Times New Roman"/>
                <w:color w:val="auto"/>
                <w:sz w:val="21"/>
                <w:szCs w:val="21"/>
                <w:highlight w:val="none"/>
                <w:lang w:eastAsia="zh-CN"/>
              </w:rPr>
              <w:t>》</w:t>
            </w:r>
          </w:p>
        </w:tc>
        <w:tc>
          <w:tcPr>
            <w:tcW w:w="2148" w:type="dxa"/>
            <w:tcBorders>
              <w:tl2br w:val="nil"/>
              <w:tr2bl w:val="nil"/>
            </w:tcBorders>
            <w:vAlign w:val="center"/>
          </w:tcPr>
          <w:p w14:paraId="0646012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eastAsia="zh-CN" w:bidi="zh-CN"/>
              </w:rPr>
            </w:pPr>
            <w:r>
              <w:rPr>
                <w:rFonts w:hint="default" w:ascii="Times New Roman" w:hAnsi="Times New Roman" w:eastAsia="宋体" w:cs="Times New Roman"/>
                <w:color w:val="auto"/>
                <w:sz w:val="21"/>
                <w:szCs w:val="21"/>
                <w:highlight w:val="none"/>
                <w:lang w:val="zh-CN" w:eastAsia="zh-CN"/>
              </w:rPr>
              <w:t>新疆维吾尔自治区第十三届人民代表大会第四次会议通过</w:t>
            </w:r>
          </w:p>
        </w:tc>
        <w:tc>
          <w:tcPr>
            <w:tcW w:w="1114" w:type="dxa"/>
            <w:tcBorders>
              <w:tl2br w:val="nil"/>
              <w:tr2bl w:val="nil"/>
            </w:tcBorders>
            <w:vAlign w:val="center"/>
          </w:tcPr>
          <w:p w14:paraId="5BE14D2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eastAsia="zh-CN" w:bidi="zh-CN"/>
              </w:rPr>
            </w:pPr>
            <w:r>
              <w:rPr>
                <w:rFonts w:hint="default" w:ascii="Times New Roman" w:hAnsi="Times New Roman" w:eastAsia="宋体" w:cs="Times New Roman"/>
                <w:color w:val="auto"/>
                <w:sz w:val="21"/>
                <w:szCs w:val="21"/>
                <w:highlight w:val="none"/>
                <w:lang w:eastAsia="zh-CN"/>
              </w:rPr>
              <w:t>2021-06-04</w:t>
            </w:r>
          </w:p>
        </w:tc>
      </w:tr>
      <w:tr w14:paraId="712A1F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9D70F3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587" w:type="dxa"/>
            <w:tcBorders>
              <w:tl2br w:val="nil"/>
              <w:tr2bl w:val="nil"/>
            </w:tcBorders>
            <w:vAlign w:val="center"/>
          </w:tcPr>
          <w:p w14:paraId="6EE8561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《吐鲁番市国民经济和社会发展第十四个五年规划和2035年远景目标纲要》</w:t>
            </w:r>
          </w:p>
        </w:tc>
        <w:tc>
          <w:tcPr>
            <w:tcW w:w="2148" w:type="dxa"/>
            <w:tcBorders>
              <w:tl2br w:val="nil"/>
              <w:tr2bl w:val="nil"/>
            </w:tcBorders>
            <w:vAlign w:val="center"/>
          </w:tcPr>
          <w:p w14:paraId="0BFE22F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14" w:type="dxa"/>
            <w:tcBorders>
              <w:tl2br w:val="nil"/>
              <w:tr2bl w:val="nil"/>
            </w:tcBorders>
            <w:vAlign w:val="center"/>
          </w:tcPr>
          <w:p w14:paraId="3827D3E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2021-02-23</w:t>
            </w:r>
          </w:p>
        </w:tc>
      </w:tr>
    </w:tbl>
    <w:p w14:paraId="3A131E9B">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技术导则与规范</w:t>
      </w:r>
    </w:p>
    <w:tbl>
      <w:tblPr>
        <w:tblStyle w:val="33"/>
        <w:tblW w:w="83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5"/>
        <w:gridCol w:w="5894"/>
        <w:gridCol w:w="1938"/>
      </w:tblGrid>
      <w:tr w14:paraId="1C28E2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tblHeader/>
          <w:jc w:val="center"/>
        </w:trPr>
        <w:tc>
          <w:tcPr>
            <w:tcW w:w="525" w:type="dxa"/>
            <w:tcBorders>
              <w:tl2br w:val="nil"/>
              <w:tr2bl w:val="nil"/>
            </w:tcBorders>
            <w:vAlign w:val="center"/>
          </w:tcPr>
          <w:p w14:paraId="6A6E1EE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5894" w:type="dxa"/>
            <w:tcBorders>
              <w:tl2br w:val="nil"/>
              <w:tr2bl w:val="nil"/>
            </w:tcBorders>
            <w:vAlign w:val="center"/>
          </w:tcPr>
          <w:p w14:paraId="71C7681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依据名称</w:t>
            </w:r>
          </w:p>
        </w:tc>
        <w:tc>
          <w:tcPr>
            <w:tcW w:w="1938" w:type="dxa"/>
            <w:tcBorders>
              <w:tl2br w:val="nil"/>
              <w:tr2bl w:val="nil"/>
            </w:tcBorders>
            <w:vAlign w:val="center"/>
          </w:tcPr>
          <w:p w14:paraId="06F3F14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标准号</w:t>
            </w:r>
          </w:p>
        </w:tc>
      </w:tr>
      <w:tr w14:paraId="0D6429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5C4F1A3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5894" w:type="dxa"/>
            <w:tcBorders>
              <w:tl2br w:val="nil"/>
              <w:tr2bl w:val="nil"/>
            </w:tcBorders>
            <w:vAlign w:val="center"/>
          </w:tcPr>
          <w:p w14:paraId="3096F9D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《建设项目环境影响评价技术导则 总纲》</w:t>
            </w:r>
          </w:p>
        </w:tc>
        <w:tc>
          <w:tcPr>
            <w:tcW w:w="1938" w:type="dxa"/>
            <w:tcBorders>
              <w:tl2br w:val="nil"/>
              <w:tr2bl w:val="nil"/>
            </w:tcBorders>
            <w:vAlign w:val="center"/>
          </w:tcPr>
          <w:p w14:paraId="1A55148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HJ2.1-2016</w:t>
            </w:r>
          </w:p>
        </w:tc>
      </w:tr>
      <w:tr w14:paraId="62D9D5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2664B49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w:t>
            </w:r>
          </w:p>
        </w:tc>
        <w:tc>
          <w:tcPr>
            <w:tcW w:w="5894" w:type="dxa"/>
            <w:tcBorders>
              <w:tl2br w:val="nil"/>
              <w:tr2bl w:val="nil"/>
            </w:tcBorders>
            <w:vAlign w:val="center"/>
          </w:tcPr>
          <w:p w14:paraId="7CA9F20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大气环境》</w:t>
            </w:r>
          </w:p>
        </w:tc>
        <w:tc>
          <w:tcPr>
            <w:tcW w:w="1938" w:type="dxa"/>
            <w:tcBorders>
              <w:tl2br w:val="nil"/>
              <w:tr2bl w:val="nil"/>
            </w:tcBorders>
            <w:vAlign w:val="center"/>
          </w:tcPr>
          <w:p w14:paraId="34B6411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HJ2.2-20</w:t>
            </w:r>
            <w:r>
              <w:rPr>
                <w:rFonts w:hint="default" w:ascii="Times New Roman" w:hAnsi="Times New Roman" w:cs="Times New Roman"/>
                <w:color w:val="auto"/>
                <w:sz w:val="21"/>
                <w:szCs w:val="21"/>
                <w:highlight w:val="none"/>
                <w:lang w:eastAsia="zh-CN"/>
              </w:rPr>
              <w:t>18</w:t>
            </w:r>
          </w:p>
        </w:tc>
      </w:tr>
      <w:tr w14:paraId="758C37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78DFF67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3</w:t>
            </w:r>
          </w:p>
        </w:tc>
        <w:tc>
          <w:tcPr>
            <w:tcW w:w="5894" w:type="dxa"/>
            <w:tcBorders>
              <w:tl2br w:val="nil"/>
              <w:tr2bl w:val="nil"/>
            </w:tcBorders>
            <w:vAlign w:val="center"/>
          </w:tcPr>
          <w:p w14:paraId="65781C0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 xml:space="preserve">《环境影响评价技术导则 </w:t>
            </w:r>
            <w:r>
              <w:rPr>
                <w:rFonts w:hint="default" w:ascii="Times New Roman" w:hAnsi="Times New Roman" w:cs="Times New Roman"/>
                <w:color w:val="auto"/>
                <w:sz w:val="21"/>
                <w:szCs w:val="21"/>
                <w:highlight w:val="none"/>
                <w:lang w:val="en-US" w:eastAsia="zh-CN"/>
              </w:rPr>
              <w:t>地表水环境</w:t>
            </w:r>
            <w:r>
              <w:rPr>
                <w:rFonts w:hint="default" w:ascii="Times New Roman" w:hAnsi="Times New Roman" w:cs="Times New Roman"/>
                <w:color w:val="auto"/>
                <w:sz w:val="21"/>
                <w:szCs w:val="21"/>
                <w:highlight w:val="none"/>
                <w:lang w:eastAsia="zh-CN"/>
              </w:rPr>
              <w:t>》</w:t>
            </w:r>
          </w:p>
        </w:tc>
        <w:tc>
          <w:tcPr>
            <w:tcW w:w="1938" w:type="dxa"/>
            <w:tcBorders>
              <w:tl2br w:val="nil"/>
              <w:tr2bl w:val="nil"/>
            </w:tcBorders>
            <w:vAlign w:val="center"/>
          </w:tcPr>
          <w:p w14:paraId="64C14A7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HJ2.3-</w:t>
            </w:r>
            <w:r>
              <w:rPr>
                <w:rFonts w:hint="default" w:ascii="Times New Roman" w:hAnsi="Times New Roman" w:cs="Times New Roman"/>
                <w:color w:val="auto"/>
                <w:sz w:val="21"/>
                <w:szCs w:val="21"/>
                <w:highlight w:val="none"/>
                <w:lang w:eastAsia="zh-CN"/>
              </w:rPr>
              <w:t>2018</w:t>
            </w:r>
          </w:p>
        </w:tc>
      </w:tr>
      <w:tr w14:paraId="1A055A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57623A7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4</w:t>
            </w:r>
          </w:p>
        </w:tc>
        <w:tc>
          <w:tcPr>
            <w:tcW w:w="5894" w:type="dxa"/>
            <w:tcBorders>
              <w:tl2br w:val="nil"/>
              <w:tr2bl w:val="nil"/>
            </w:tcBorders>
            <w:vAlign w:val="center"/>
          </w:tcPr>
          <w:p w14:paraId="63F23C0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声环境》</w:t>
            </w:r>
          </w:p>
        </w:tc>
        <w:tc>
          <w:tcPr>
            <w:tcW w:w="1938" w:type="dxa"/>
            <w:tcBorders>
              <w:tl2br w:val="nil"/>
              <w:tr2bl w:val="nil"/>
            </w:tcBorders>
            <w:vAlign w:val="center"/>
          </w:tcPr>
          <w:p w14:paraId="61C56D0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HJ2.4-20</w:t>
            </w:r>
            <w:r>
              <w:rPr>
                <w:rFonts w:hint="default" w:ascii="Times New Roman" w:hAnsi="Times New Roman" w:cs="Times New Roman"/>
                <w:color w:val="auto"/>
                <w:sz w:val="21"/>
                <w:szCs w:val="21"/>
                <w:highlight w:val="none"/>
                <w:lang w:eastAsia="zh-CN"/>
              </w:rPr>
              <w:t>21</w:t>
            </w:r>
          </w:p>
        </w:tc>
      </w:tr>
      <w:tr w14:paraId="61745A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04C2B24B">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w:t>
            </w:r>
          </w:p>
        </w:tc>
        <w:tc>
          <w:tcPr>
            <w:tcW w:w="5894" w:type="dxa"/>
            <w:tcBorders>
              <w:tl2br w:val="nil"/>
              <w:tr2bl w:val="nil"/>
            </w:tcBorders>
            <w:vAlign w:val="center"/>
          </w:tcPr>
          <w:p w14:paraId="66CF2C9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地下水环境》</w:t>
            </w:r>
          </w:p>
        </w:tc>
        <w:tc>
          <w:tcPr>
            <w:tcW w:w="1938" w:type="dxa"/>
            <w:tcBorders>
              <w:tl2br w:val="nil"/>
              <w:tr2bl w:val="nil"/>
            </w:tcBorders>
            <w:vAlign w:val="center"/>
          </w:tcPr>
          <w:p w14:paraId="315F8E1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HJ610-2016</w:t>
            </w:r>
          </w:p>
        </w:tc>
      </w:tr>
      <w:tr w14:paraId="650CB3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5EAE40F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6</w:t>
            </w:r>
          </w:p>
        </w:tc>
        <w:tc>
          <w:tcPr>
            <w:tcW w:w="5894" w:type="dxa"/>
            <w:tcBorders>
              <w:tl2br w:val="nil"/>
              <w:tr2bl w:val="nil"/>
            </w:tcBorders>
            <w:vAlign w:val="center"/>
          </w:tcPr>
          <w:p w14:paraId="713C2CB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生态影响》</w:t>
            </w:r>
          </w:p>
        </w:tc>
        <w:tc>
          <w:tcPr>
            <w:tcW w:w="1938" w:type="dxa"/>
            <w:tcBorders>
              <w:tl2br w:val="nil"/>
              <w:tr2bl w:val="nil"/>
            </w:tcBorders>
            <w:vAlign w:val="center"/>
          </w:tcPr>
          <w:p w14:paraId="0A0B918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HJ19-20</w:t>
            </w:r>
            <w:r>
              <w:rPr>
                <w:rFonts w:hint="default" w:ascii="Times New Roman" w:hAnsi="Times New Roman" w:cs="Times New Roman"/>
                <w:color w:val="auto"/>
                <w:sz w:val="21"/>
                <w:szCs w:val="21"/>
                <w:highlight w:val="none"/>
                <w:lang w:eastAsia="zh-CN"/>
              </w:rPr>
              <w:t>22</w:t>
            </w:r>
          </w:p>
        </w:tc>
      </w:tr>
      <w:tr w14:paraId="50D871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44BD667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w:t>
            </w:r>
          </w:p>
        </w:tc>
        <w:tc>
          <w:tcPr>
            <w:tcW w:w="5894" w:type="dxa"/>
            <w:tcBorders>
              <w:tl2br w:val="nil"/>
              <w:tr2bl w:val="nil"/>
            </w:tcBorders>
            <w:vAlign w:val="center"/>
          </w:tcPr>
          <w:p w14:paraId="2ABFEDB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土壤环境（试行）》</w:t>
            </w:r>
          </w:p>
        </w:tc>
        <w:tc>
          <w:tcPr>
            <w:tcW w:w="1938" w:type="dxa"/>
            <w:tcBorders>
              <w:tl2br w:val="nil"/>
              <w:tr2bl w:val="nil"/>
            </w:tcBorders>
            <w:vAlign w:val="center"/>
          </w:tcPr>
          <w:p w14:paraId="70EC386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HJ964-2018</w:t>
            </w:r>
          </w:p>
        </w:tc>
      </w:tr>
      <w:tr w14:paraId="0CEB57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278F27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8</w:t>
            </w:r>
          </w:p>
        </w:tc>
        <w:tc>
          <w:tcPr>
            <w:tcW w:w="5894" w:type="dxa"/>
            <w:tcBorders>
              <w:tl2br w:val="nil"/>
              <w:tr2bl w:val="nil"/>
            </w:tcBorders>
            <w:vAlign w:val="center"/>
          </w:tcPr>
          <w:p w14:paraId="6981CB2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《排污许可证申请与核发技术规范 总则》</w:t>
            </w:r>
          </w:p>
        </w:tc>
        <w:tc>
          <w:tcPr>
            <w:tcW w:w="1938" w:type="dxa"/>
            <w:tcBorders>
              <w:tl2br w:val="nil"/>
              <w:tr2bl w:val="nil"/>
            </w:tcBorders>
            <w:vAlign w:val="center"/>
          </w:tcPr>
          <w:p w14:paraId="0E97C80C">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bidi="zh-CN"/>
              </w:rPr>
            </w:pPr>
            <w:r>
              <w:rPr>
                <w:rFonts w:hint="default" w:ascii="Times New Roman" w:hAnsi="Times New Roman" w:cs="Times New Roman"/>
                <w:color w:val="auto"/>
                <w:sz w:val="21"/>
                <w:szCs w:val="21"/>
                <w:highlight w:val="none"/>
                <w:lang w:eastAsia="zh-CN" w:bidi="zh-CN"/>
              </w:rPr>
              <w:t>HJ942-2018</w:t>
            </w:r>
          </w:p>
        </w:tc>
      </w:tr>
      <w:tr w14:paraId="7DA24B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6EFECF8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9</w:t>
            </w:r>
          </w:p>
        </w:tc>
        <w:tc>
          <w:tcPr>
            <w:tcW w:w="5894" w:type="dxa"/>
            <w:tcBorders>
              <w:tl2br w:val="nil"/>
              <w:tr2bl w:val="nil"/>
            </w:tcBorders>
            <w:vAlign w:val="center"/>
          </w:tcPr>
          <w:p w14:paraId="258C6A8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 xml:space="preserve">《排污许可证申请与核发技术规范 </w:t>
            </w:r>
            <w:r>
              <w:rPr>
                <w:rFonts w:hint="default" w:ascii="Times New Roman" w:hAnsi="Times New Roman" w:cs="Times New Roman"/>
                <w:color w:val="auto"/>
                <w:sz w:val="21"/>
                <w:szCs w:val="21"/>
                <w:highlight w:val="none"/>
                <w:lang w:val="en-US" w:bidi="zh-CN"/>
              </w:rPr>
              <w:t>有色金属工业-铜冶炼</w:t>
            </w:r>
            <w:r>
              <w:rPr>
                <w:rFonts w:hint="default" w:ascii="Times New Roman" w:hAnsi="Times New Roman" w:cs="Times New Roman"/>
                <w:color w:val="auto"/>
                <w:sz w:val="21"/>
                <w:szCs w:val="21"/>
                <w:highlight w:val="none"/>
                <w:lang w:bidi="zh-CN"/>
              </w:rPr>
              <w:t>》</w:t>
            </w:r>
          </w:p>
        </w:tc>
        <w:tc>
          <w:tcPr>
            <w:tcW w:w="1938" w:type="dxa"/>
            <w:tcBorders>
              <w:tl2br w:val="nil"/>
              <w:tr2bl w:val="nil"/>
            </w:tcBorders>
            <w:vAlign w:val="center"/>
          </w:tcPr>
          <w:p w14:paraId="244A6796">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bidi="zh-CN"/>
              </w:rPr>
            </w:pPr>
            <w:r>
              <w:rPr>
                <w:rFonts w:hint="default" w:ascii="Times New Roman" w:hAnsi="Times New Roman" w:cs="Times New Roman"/>
                <w:color w:val="auto"/>
                <w:sz w:val="21"/>
                <w:szCs w:val="21"/>
                <w:highlight w:val="none"/>
                <w:lang w:eastAsia="zh-CN" w:bidi="zh-CN"/>
              </w:rPr>
              <w:t>HJ</w:t>
            </w:r>
            <w:r>
              <w:rPr>
                <w:rFonts w:hint="default" w:ascii="Times New Roman" w:hAnsi="Times New Roman" w:cs="Times New Roman"/>
                <w:color w:val="auto"/>
                <w:sz w:val="21"/>
                <w:szCs w:val="21"/>
                <w:highlight w:val="none"/>
                <w:lang w:val="en-US" w:eastAsia="zh-CN" w:bidi="zh-CN"/>
              </w:rPr>
              <w:t>863.3</w:t>
            </w:r>
            <w:r>
              <w:rPr>
                <w:rFonts w:hint="default" w:ascii="Times New Roman" w:hAnsi="Times New Roman" w:cs="Times New Roman"/>
                <w:color w:val="auto"/>
                <w:sz w:val="21"/>
                <w:szCs w:val="21"/>
                <w:highlight w:val="none"/>
                <w:lang w:eastAsia="zh-CN" w:bidi="zh-CN"/>
              </w:rPr>
              <w:t>-201</w:t>
            </w:r>
            <w:r>
              <w:rPr>
                <w:rFonts w:hint="default" w:ascii="Times New Roman" w:hAnsi="Times New Roman" w:cs="Times New Roman"/>
                <w:color w:val="auto"/>
                <w:sz w:val="21"/>
                <w:szCs w:val="21"/>
                <w:highlight w:val="none"/>
                <w:lang w:val="en-US" w:eastAsia="zh-CN" w:bidi="zh-CN"/>
              </w:rPr>
              <w:t>7</w:t>
            </w:r>
          </w:p>
        </w:tc>
      </w:tr>
      <w:tr w14:paraId="178ECB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5CF731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10</w:t>
            </w:r>
          </w:p>
        </w:tc>
        <w:tc>
          <w:tcPr>
            <w:tcW w:w="5894" w:type="dxa"/>
            <w:tcBorders>
              <w:tl2br w:val="nil"/>
              <w:tr2bl w:val="nil"/>
            </w:tcBorders>
            <w:vAlign w:val="center"/>
          </w:tcPr>
          <w:p w14:paraId="35BAAA3A">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《排污单位自行监测技术指南 总则》</w:t>
            </w:r>
          </w:p>
        </w:tc>
        <w:tc>
          <w:tcPr>
            <w:tcW w:w="1938" w:type="dxa"/>
            <w:tcBorders>
              <w:tl2br w:val="nil"/>
              <w:tr2bl w:val="nil"/>
            </w:tcBorders>
            <w:vAlign w:val="center"/>
          </w:tcPr>
          <w:p w14:paraId="648616A7">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HJ819-2017</w:t>
            </w:r>
          </w:p>
        </w:tc>
      </w:tr>
      <w:tr w14:paraId="34542C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024741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1</w:t>
            </w:r>
          </w:p>
        </w:tc>
        <w:tc>
          <w:tcPr>
            <w:tcW w:w="5894" w:type="dxa"/>
            <w:tcBorders>
              <w:tl2br w:val="nil"/>
              <w:tr2bl w:val="nil"/>
            </w:tcBorders>
            <w:vAlign w:val="center"/>
          </w:tcPr>
          <w:p w14:paraId="39EF2531">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《排污单位自行监测技术指南 有色金属工业》</w:t>
            </w:r>
          </w:p>
        </w:tc>
        <w:tc>
          <w:tcPr>
            <w:tcW w:w="1938" w:type="dxa"/>
            <w:tcBorders>
              <w:tl2br w:val="nil"/>
              <w:tr2bl w:val="nil"/>
            </w:tcBorders>
            <w:vAlign w:val="center"/>
          </w:tcPr>
          <w:p w14:paraId="773806A4">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HJ989-2018</w:t>
            </w:r>
          </w:p>
        </w:tc>
      </w:tr>
      <w:tr w14:paraId="601FA7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073215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2</w:t>
            </w:r>
          </w:p>
        </w:tc>
        <w:tc>
          <w:tcPr>
            <w:tcW w:w="5894" w:type="dxa"/>
            <w:tcBorders>
              <w:tl2br w:val="nil"/>
              <w:tr2bl w:val="nil"/>
            </w:tcBorders>
            <w:vAlign w:val="center"/>
          </w:tcPr>
          <w:p w14:paraId="153DD32B">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《工业企业土壤和地下水自行监测技术指南（试行）》</w:t>
            </w:r>
          </w:p>
        </w:tc>
        <w:tc>
          <w:tcPr>
            <w:tcW w:w="1938" w:type="dxa"/>
            <w:tcBorders>
              <w:tl2br w:val="nil"/>
              <w:tr2bl w:val="nil"/>
            </w:tcBorders>
            <w:vAlign w:val="center"/>
          </w:tcPr>
          <w:p w14:paraId="609BC9D1">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HJ1209-2021</w:t>
            </w:r>
          </w:p>
        </w:tc>
      </w:tr>
      <w:tr w14:paraId="5166DA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17" w:hRule="atLeast"/>
          <w:jc w:val="center"/>
        </w:trPr>
        <w:tc>
          <w:tcPr>
            <w:tcW w:w="525" w:type="dxa"/>
            <w:tcBorders>
              <w:tl2br w:val="nil"/>
              <w:tr2bl w:val="nil"/>
            </w:tcBorders>
            <w:vAlign w:val="center"/>
          </w:tcPr>
          <w:p w14:paraId="145250D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3</w:t>
            </w:r>
          </w:p>
        </w:tc>
        <w:tc>
          <w:tcPr>
            <w:tcW w:w="5894" w:type="dxa"/>
            <w:tcBorders>
              <w:tl2br w:val="nil"/>
              <w:tr2bl w:val="nil"/>
            </w:tcBorders>
            <w:vAlign w:val="center"/>
          </w:tcPr>
          <w:p w14:paraId="626A2DBF">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《污染源源强核算技术指南 准则》</w:t>
            </w:r>
          </w:p>
        </w:tc>
        <w:tc>
          <w:tcPr>
            <w:tcW w:w="1938" w:type="dxa"/>
            <w:tcBorders>
              <w:tl2br w:val="nil"/>
              <w:tr2bl w:val="nil"/>
            </w:tcBorders>
            <w:vAlign w:val="center"/>
          </w:tcPr>
          <w:p w14:paraId="33494202">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HJ884-2018</w:t>
            </w:r>
          </w:p>
        </w:tc>
      </w:tr>
      <w:tr w14:paraId="068708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46BC03A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4</w:t>
            </w:r>
          </w:p>
        </w:tc>
        <w:tc>
          <w:tcPr>
            <w:tcW w:w="5894" w:type="dxa"/>
            <w:tcBorders>
              <w:tl2br w:val="nil"/>
              <w:tr2bl w:val="nil"/>
            </w:tcBorders>
            <w:vAlign w:val="center"/>
          </w:tcPr>
          <w:p w14:paraId="1FD62373">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《污染源源强核算技术指南 有色金属冶炼》</w:t>
            </w:r>
          </w:p>
        </w:tc>
        <w:tc>
          <w:tcPr>
            <w:tcW w:w="1938" w:type="dxa"/>
            <w:tcBorders>
              <w:tl2br w:val="nil"/>
              <w:tr2bl w:val="nil"/>
            </w:tcBorders>
            <w:vAlign w:val="center"/>
          </w:tcPr>
          <w:p w14:paraId="5B69220A">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HJ983-2018</w:t>
            </w:r>
          </w:p>
        </w:tc>
      </w:tr>
      <w:tr w14:paraId="3DB7A8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2413C25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5</w:t>
            </w:r>
          </w:p>
        </w:tc>
        <w:tc>
          <w:tcPr>
            <w:tcW w:w="5894" w:type="dxa"/>
            <w:tcBorders>
              <w:tl2br w:val="nil"/>
              <w:tr2bl w:val="nil"/>
            </w:tcBorders>
            <w:vAlign w:val="center"/>
          </w:tcPr>
          <w:p w14:paraId="472E2079">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pacing w:val="-1"/>
                <w:sz w:val="21"/>
                <w:szCs w:val="21"/>
                <w:highlight w:val="none"/>
                <w:lang w:eastAsia="zh-CN"/>
              </w:rPr>
              <w:t>《</w:t>
            </w:r>
            <w:r>
              <w:rPr>
                <w:rFonts w:hint="default" w:ascii="Times New Roman" w:hAnsi="Times New Roman" w:cs="Times New Roman"/>
                <w:color w:val="auto"/>
                <w:spacing w:val="-1"/>
                <w:sz w:val="21"/>
                <w:szCs w:val="21"/>
                <w:highlight w:val="none"/>
              </w:rPr>
              <w:t>铜冶炼废水治理工程技术规范</w:t>
            </w:r>
            <w:r>
              <w:rPr>
                <w:rFonts w:hint="default" w:ascii="Times New Roman" w:hAnsi="Times New Roman" w:cs="Times New Roman"/>
                <w:color w:val="auto"/>
                <w:spacing w:val="-1"/>
                <w:sz w:val="21"/>
                <w:szCs w:val="21"/>
                <w:highlight w:val="none"/>
                <w:lang w:eastAsia="zh-CN"/>
              </w:rPr>
              <w:t>》</w:t>
            </w:r>
          </w:p>
        </w:tc>
        <w:tc>
          <w:tcPr>
            <w:tcW w:w="1938" w:type="dxa"/>
            <w:tcBorders>
              <w:tl2br w:val="nil"/>
              <w:tr2bl w:val="nil"/>
            </w:tcBorders>
            <w:vAlign w:val="center"/>
          </w:tcPr>
          <w:p w14:paraId="5CB5560D">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HJ2059-2018</w:t>
            </w:r>
          </w:p>
        </w:tc>
      </w:tr>
      <w:tr w14:paraId="0F9B31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733CCAA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6</w:t>
            </w:r>
          </w:p>
        </w:tc>
        <w:tc>
          <w:tcPr>
            <w:tcW w:w="5894" w:type="dxa"/>
            <w:tcBorders>
              <w:tl2br w:val="nil"/>
              <w:tr2bl w:val="nil"/>
            </w:tcBorders>
            <w:vAlign w:val="center"/>
          </w:tcPr>
          <w:p w14:paraId="22B4EECF">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《铜冶炼废气治理工程技术规范》</w:t>
            </w:r>
          </w:p>
        </w:tc>
        <w:tc>
          <w:tcPr>
            <w:tcW w:w="1938" w:type="dxa"/>
            <w:tcBorders>
              <w:tl2br w:val="nil"/>
              <w:tr2bl w:val="nil"/>
            </w:tcBorders>
            <w:vAlign w:val="center"/>
          </w:tcPr>
          <w:p w14:paraId="2A373D97">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HJ2060-2018</w:t>
            </w:r>
          </w:p>
        </w:tc>
      </w:tr>
      <w:tr w14:paraId="622F0D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29E80C4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17</w:t>
            </w:r>
          </w:p>
        </w:tc>
        <w:tc>
          <w:tcPr>
            <w:tcW w:w="5894" w:type="dxa"/>
            <w:tcBorders>
              <w:tl2br w:val="nil"/>
              <w:tr2bl w:val="nil"/>
            </w:tcBorders>
            <w:vAlign w:val="center"/>
          </w:tcPr>
          <w:p w14:paraId="75FB5360">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清洁生产标准 铜冶炼业</w:t>
            </w:r>
            <w:r>
              <w:rPr>
                <w:rFonts w:hint="eastAsia" w:ascii="Times New Roman" w:hAnsi="Times New Roman" w:cs="Times New Roman"/>
                <w:color w:val="auto"/>
                <w:sz w:val="21"/>
                <w:szCs w:val="21"/>
                <w:highlight w:val="none"/>
                <w:lang w:eastAsia="zh-CN"/>
              </w:rPr>
              <w:t>》</w:t>
            </w:r>
          </w:p>
        </w:tc>
        <w:tc>
          <w:tcPr>
            <w:tcW w:w="1938" w:type="dxa"/>
            <w:tcBorders>
              <w:tl2br w:val="nil"/>
              <w:tr2bl w:val="nil"/>
            </w:tcBorders>
            <w:vAlign w:val="center"/>
          </w:tcPr>
          <w:p w14:paraId="5EBB056E">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HJ558-2010</w:t>
            </w:r>
          </w:p>
        </w:tc>
      </w:tr>
      <w:tr w14:paraId="262544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0667C3C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bidi="zh-CN"/>
              </w:rPr>
            </w:pPr>
            <w:r>
              <w:rPr>
                <w:rFonts w:hint="eastAsia" w:cs="Times New Roman"/>
                <w:color w:val="auto"/>
                <w:sz w:val="21"/>
                <w:szCs w:val="21"/>
                <w:highlight w:val="none"/>
                <w:lang w:val="en-US" w:bidi="zh-CN"/>
              </w:rPr>
              <w:t>18</w:t>
            </w:r>
          </w:p>
        </w:tc>
        <w:tc>
          <w:tcPr>
            <w:tcW w:w="5894" w:type="dxa"/>
            <w:tcBorders>
              <w:tl2br w:val="nil"/>
              <w:tr2bl w:val="nil"/>
            </w:tcBorders>
            <w:vAlign w:val="center"/>
          </w:tcPr>
          <w:p w14:paraId="3EF48081">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《工业料堆场扬尘整治规范》</w:t>
            </w:r>
          </w:p>
        </w:tc>
        <w:tc>
          <w:tcPr>
            <w:tcW w:w="1938" w:type="dxa"/>
            <w:tcBorders>
              <w:tl2br w:val="nil"/>
              <w:tr2bl w:val="nil"/>
            </w:tcBorders>
            <w:vAlign w:val="center"/>
          </w:tcPr>
          <w:p w14:paraId="21DF5DF6">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DB65</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T 4061-2017</w:t>
            </w:r>
          </w:p>
        </w:tc>
      </w:tr>
    </w:tbl>
    <w:p w14:paraId="4F2CBF35">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项目文件及资料</w:t>
      </w:r>
    </w:p>
    <w:p w14:paraId="39913DA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可行性研究报告；</w:t>
      </w:r>
    </w:p>
    <w:p w14:paraId="1E172CC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（2）备案证；</w:t>
      </w:r>
    </w:p>
    <w:p w14:paraId="2ACA4CF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）环评委托书；</w:t>
      </w:r>
    </w:p>
    <w:p w14:paraId="404377C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检测报告</w:t>
      </w:r>
      <w:r>
        <w:rPr>
          <w:rFonts w:hint="default" w:ascii="Times New Roman" w:hAnsi="Times New Roman" w:cs="Times New Roman"/>
          <w:color w:val="auto"/>
          <w:highlight w:val="none"/>
        </w:rPr>
        <w:t>。</w:t>
      </w:r>
    </w:p>
    <w:p w14:paraId="4313EC5F">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75" w:name="_Toc27501"/>
      <w:bookmarkStart w:id="76" w:name="_Toc2092"/>
      <w:bookmarkStart w:id="77" w:name="_Toc527982434"/>
      <w:r>
        <w:rPr>
          <w:rFonts w:hint="default" w:ascii="Times New Roman" w:hAnsi="Times New Roman" w:eastAsia="宋体" w:cs="Times New Roman"/>
          <w:color w:val="auto"/>
          <w:highlight w:val="none"/>
        </w:rPr>
        <w:t>2.3 环境影响因素识别及评价因子筛选</w:t>
      </w:r>
      <w:bookmarkEnd w:id="75"/>
      <w:bookmarkEnd w:id="76"/>
      <w:bookmarkEnd w:id="77"/>
    </w:p>
    <w:p w14:paraId="7603241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2.3.1环境影响因素识别</w:t>
      </w:r>
    </w:p>
    <w:p w14:paraId="73051B0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为分析</w:t>
      </w:r>
      <w:r>
        <w:rPr>
          <w:rFonts w:hint="eastAsia" w:cs="Times New Roman"/>
          <w:color w:val="auto"/>
          <w:highlight w:val="none"/>
          <w:lang w:val="en-US" w:eastAsia="zh-CN"/>
        </w:rPr>
        <w:t>本项目</w:t>
      </w:r>
      <w:r>
        <w:rPr>
          <w:rFonts w:hint="default" w:ascii="Times New Roman" w:hAnsi="Times New Roman" w:cs="Times New Roman"/>
          <w:color w:val="auto"/>
          <w:highlight w:val="none"/>
        </w:rPr>
        <w:t>建设可能对自然环境、生态环境产生的影响，结合</w:t>
      </w:r>
      <w:r>
        <w:rPr>
          <w:rFonts w:hint="eastAsia" w:cs="Times New Roman"/>
          <w:color w:val="auto"/>
          <w:highlight w:val="none"/>
          <w:lang w:val="en-US" w:eastAsia="zh-CN"/>
        </w:rPr>
        <w:t>项目</w:t>
      </w:r>
      <w:r>
        <w:rPr>
          <w:rFonts w:hint="default" w:ascii="Times New Roman" w:hAnsi="Times New Roman" w:cs="Times New Roman"/>
          <w:color w:val="auto"/>
          <w:highlight w:val="none"/>
        </w:rPr>
        <w:t>特点和排污特征以及</w:t>
      </w:r>
      <w:r>
        <w:rPr>
          <w:rFonts w:hint="eastAsia" w:cs="Times New Roman"/>
          <w:color w:val="auto"/>
          <w:highlight w:val="none"/>
          <w:lang w:val="en-US" w:eastAsia="zh-CN"/>
        </w:rPr>
        <w:t>项目区周边</w:t>
      </w:r>
      <w:r>
        <w:rPr>
          <w:rFonts w:hint="default" w:ascii="Times New Roman" w:hAnsi="Times New Roman" w:cs="Times New Roman"/>
          <w:color w:val="auto"/>
          <w:highlight w:val="none"/>
        </w:rPr>
        <w:t>环境状况，采用矩阵法对可能受项目影响的环境影响因素进行识别，其结果见表2.3-1：</w:t>
      </w:r>
    </w:p>
    <w:p w14:paraId="55600E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Arial" w:cs="Times New Roman"/>
          <w:snapToGrid w:val="0"/>
          <w:color w:val="auto"/>
          <w:kern w:val="0"/>
          <w:sz w:val="21"/>
          <w:szCs w:val="21"/>
          <w:highlight w:val="none"/>
        </w:rPr>
      </w:pPr>
      <w:r>
        <w:rPr>
          <w:rFonts w:hint="default" w:ascii="Times New Roman" w:hAnsi="Times New Roman" w:cs="Times New Roman"/>
          <w:b/>
          <w:bCs/>
          <w:snapToGrid w:val="0"/>
          <w:color w:val="auto"/>
          <w:spacing w:val="6"/>
          <w:kern w:val="0"/>
          <w:sz w:val="21"/>
          <w:szCs w:val="21"/>
          <w:highlight w:val="none"/>
        </w:rPr>
        <w:t>表2.3-1 环境影响因素识别结果</w:t>
      </w:r>
    </w:p>
    <w:tbl>
      <w:tblPr>
        <w:tblStyle w:val="121"/>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16"/>
        <w:gridCol w:w="1478"/>
        <w:gridCol w:w="903"/>
        <w:gridCol w:w="875"/>
        <w:gridCol w:w="1081"/>
        <w:gridCol w:w="873"/>
        <w:gridCol w:w="1021"/>
        <w:gridCol w:w="711"/>
        <w:gridCol w:w="971"/>
      </w:tblGrid>
      <w:tr w14:paraId="6170884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blHeader/>
        </w:trPr>
        <w:tc>
          <w:tcPr>
            <w:tcW w:w="1315" w:type="pct"/>
            <w:gridSpan w:val="2"/>
            <w:vMerge w:val="restart"/>
            <w:tcBorders>
              <w:tl2br w:val="nil"/>
              <w:tr2bl w:val="nil"/>
            </w:tcBorders>
            <w:vAlign w:val="center"/>
          </w:tcPr>
          <w:p w14:paraId="46B065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类别</w:t>
            </w:r>
          </w:p>
        </w:tc>
        <w:tc>
          <w:tcPr>
            <w:tcW w:w="2722" w:type="pct"/>
            <w:gridSpan w:val="5"/>
            <w:tcBorders>
              <w:tl2br w:val="nil"/>
              <w:tr2bl w:val="nil"/>
            </w:tcBorders>
            <w:vAlign w:val="center"/>
          </w:tcPr>
          <w:p w14:paraId="3F4E96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自然环境</w:t>
            </w:r>
          </w:p>
        </w:tc>
        <w:tc>
          <w:tcPr>
            <w:tcW w:w="962" w:type="pct"/>
            <w:gridSpan w:val="2"/>
            <w:tcBorders>
              <w:tl2br w:val="nil"/>
              <w:tr2bl w:val="nil"/>
            </w:tcBorders>
            <w:vAlign w:val="center"/>
          </w:tcPr>
          <w:p w14:paraId="38586D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b/>
                <w:bCs/>
                <w:snapToGrid w:val="0"/>
                <w:color w:val="auto"/>
                <w:spacing w:val="6"/>
                <w:kern w:val="0"/>
                <w:sz w:val="21"/>
                <w:szCs w:val="21"/>
                <w:highlight w:val="none"/>
                <w:lang w:val="en-US" w:eastAsia="zh-CN"/>
              </w:rPr>
            </w:pPr>
            <w:r>
              <w:rPr>
                <w:rFonts w:hint="eastAsia" w:cs="Times New Roman"/>
                <w:b/>
                <w:bCs/>
                <w:snapToGrid w:val="0"/>
                <w:color w:val="auto"/>
                <w:spacing w:val="6"/>
                <w:kern w:val="0"/>
                <w:sz w:val="21"/>
                <w:szCs w:val="21"/>
                <w:highlight w:val="none"/>
                <w:lang w:val="en-US" w:eastAsia="zh-CN"/>
              </w:rPr>
              <w:t>生态</w:t>
            </w:r>
          </w:p>
        </w:tc>
      </w:tr>
      <w:tr w14:paraId="71556E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1" w:hRule="atLeast"/>
          <w:tblHeader/>
        </w:trPr>
        <w:tc>
          <w:tcPr>
            <w:tcW w:w="1315" w:type="pct"/>
            <w:gridSpan w:val="2"/>
            <w:vMerge w:val="continue"/>
            <w:tcBorders>
              <w:tl2br w:val="nil"/>
              <w:tr2bl w:val="nil"/>
            </w:tcBorders>
            <w:vAlign w:val="center"/>
          </w:tcPr>
          <w:p w14:paraId="31AC32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p>
        </w:tc>
        <w:tc>
          <w:tcPr>
            <w:tcW w:w="517" w:type="pct"/>
            <w:tcBorders>
              <w:tl2br w:val="nil"/>
              <w:tr2bl w:val="nil"/>
            </w:tcBorders>
            <w:vAlign w:val="center"/>
          </w:tcPr>
          <w:p w14:paraId="48250A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环境空气</w:t>
            </w:r>
          </w:p>
        </w:tc>
        <w:tc>
          <w:tcPr>
            <w:tcW w:w="501" w:type="pct"/>
            <w:tcBorders>
              <w:tl2br w:val="nil"/>
              <w:tr2bl w:val="nil"/>
            </w:tcBorders>
            <w:vAlign w:val="center"/>
          </w:tcPr>
          <w:p w14:paraId="1FBCAD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地表水</w:t>
            </w:r>
          </w:p>
          <w:p w14:paraId="2D43B8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环境</w:t>
            </w:r>
          </w:p>
        </w:tc>
        <w:tc>
          <w:tcPr>
            <w:tcW w:w="619" w:type="pct"/>
            <w:tcBorders>
              <w:tl2br w:val="nil"/>
              <w:tr2bl w:val="nil"/>
            </w:tcBorders>
            <w:vAlign w:val="center"/>
          </w:tcPr>
          <w:p w14:paraId="2F2399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地下水</w:t>
            </w:r>
          </w:p>
          <w:p w14:paraId="7F24E5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环境</w:t>
            </w:r>
          </w:p>
        </w:tc>
        <w:tc>
          <w:tcPr>
            <w:tcW w:w="500" w:type="pct"/>
            <w:tcBorders>
              <w:tl2br w:val="nil"/>
              <w:tr2bl w:val="nil"/>
            </w:tcBorders>
            <w:vAlign w:val="center"/>
          </w:tcPr>
          <w:p w14:paraId="619739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声环境</w:t>
            </w:r>
          </w:p>
        </w:tc>
        <w:tc>
          <w:tcPr>
            <w:tcW w:w="584" w:type="pct"/>
            <w:tcBorders>
              <w:tl2br w:val="nil"/>
              <w:tr2bl w:val="nil"/>
            </w:tcBorders>
            <w:vAlign w:val="center"/>
          </w:tcPr>
          <w:p w14:paraId="083C2D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土壤环境</w:t>
            </w:r>
          </w:p>
        </w:tc>
        <w:tc>
          <w:tcPr>
            <w:tcW w:w="407" w:type="pct"/>
            <w:tcBorders>
              <w:tl2br w:val="nil"/>
              <w:tr2bl w:val="nil"/>
            </w:tcBorders>
            <w:vAlign w:val="center"/>
          </w:tcPr>
          <w:p w14:paraId="127B1B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植被</w:t>
            </w:r>
          </w:p>
        </w:tc>
        <w:tc>
          <w:tcPr>
            <w:tcW w:w="555" w:type="pct"/>
            <w:tcBorders>
              <w:tl2br w:val="nil"/>
              <w:tr2bl w:val="nil"/>
            </w:tcBorders>
            <w:vAlign w:val="center"/>
          </w:tcPr>
          <w:p w14:paraId="478266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水土流失</w:t>
            </w:r>
          </w:p>
        </w:tc>
      </w:tr>
      <w:tr w14:paraId="4726CC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restart"/>
            <w:tcBorders>
              <w:tl2br w:val="nil"/>
              <w:tr2bl w:val="nil"/>
            </w:tcBorders>
            <w:vAlign w:val="center"/>
          </w:tcPr>
          <w:p w14:paraId="47C43D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7"/>
                <w:kern w:val="0"/>
                <w:sz w:val="21"/>
                <w:szCs w:val="21"/>
                <w:highlight w:val="none"/>
              </w:rPr>
              <w:t>施工期</w:t>
            </w:r>
          </w:p>
        </w:tc>
        <w:tc>
          <w:tcPr>
            <w:tcW w:w="846" w:type="pct"/>
            <w:tcBorders>
              <w:tl2br w:val="nil"/>
              <w:tr2bl w:val="nil"/>
            </w:tcBorders>
            <w:vAlign w:val="center"/>
          </w:tcPr>
          <w:p w14:paraId="48FCD8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7"/>
                <w:kern w:val="0"/>
                <w:sz w:val="21"/>
                <w:szCs w:val="21"/>
                <w:highlight w:val="none"/>
              </w:rPr>
              <w:t>土方施工</w:t>
            </w:r>
          </w:p>
        </w:tc>
        <w:tc>
          <w:tcPr>
            <w:tcW w:w="517" w:type="pct"/>
            <w:tcBorders>
              <w:tl2br w:val="nil"/>
              <w:tr2bl w:val="nil"/>
            </w:tcBorders>
            <w:vAlign w:val="center"/>
          </w:tcPr>
          <w:p w14:paraId="1629E2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01" w:type="pct"/>
            <w:tcBorders>
              <w:tl2br w:val="nil"/>
              <w:tr2bl w:val="nil"/>
            </w:tcBorders>
            <w:vAlign w:val="center"/>
          </w:tcPr>
          <w:p w14:paraId="4A3221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6D8F77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4B97F9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84" w:type="pct"/>
            <w:tcBorders>
              <w:tl2br w:val="nil"/>
              <w:tr2bl w:val="nil"/>
            </w:tcBorders>
            <w:vAlign w:val="center"/>
          </w:tcPr>
          <w:p w14:paraId="5C5B7F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2F1CC9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7C9E0D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2FD5E6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167FB5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391309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建</w:t>
            </w:r>
            <w:r>
              <w:rPr>
                <w:rFonts w:hint="default" w:ascii="Times New Roman" w:hAnsi="Times New Roman" w:cs="Times New Roman"/>
                <w:snapToGrid w:val="0"/>
                <w:color w:val="auto"/>
                <w:spacing w:val="6"/>
                <w:kern w:val="0"/>
                <w:sz w:val="21"/>
                <w:szCs w:val="21"/>
                <w:highlight w:val="none"/>
              </w:rPr>
              <w:t>筑施工</w:t>
            </w:r>
          </w:p>
        </w:tc>
        <w:tc>
          <w:tcPr>
            <w:tcW w:w="517" w:type="pct"/>
            <w:tcBorders>
              <w:tl2br w:val="nil"/>
              <w:tr2bl w:val="nil"/>
            </w:tcBorders>
            <w:vAlign w:val="center"/>
          </w:tcPr>
          <w:p w14:paraId="2A0A49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01" w:type="pct"/>
            <w:tcBorders>
              <w:tl2br w:val="nil"/>
              <w:tr2bl w:val="nil"/>
            </w:tcBorders>
            <w:vAlign w:val="center"/>
          </w:tcPr>
          <w:p w14:paraId="35FB74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01F009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437E7E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84" w:type="pct"/>
            <w:tcBorders>
              <w:tl2br w:val="nil"/>
              <w:tr2bl w:val="nil"/>
            </w:tcBorders>
            <w:vAlign w:val="center"/>
          </w:tcPr>
          <w:p w14:paraId="3828F6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23BBD0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3DD878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32FEE0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2F657DC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7613D0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8"/>
                <w:kern w:val="0"/>
                <w:sz w:val="21"/>
                <w:szCs w:val="21"/>
                <w:highlight w:val="none"/>
              </w:rPr>
              <w:t>设</w:t>
            </w:r>
            <w:r>
              <w:rPr>
                <w:rFonts w:hint="default" w:ascii="Times New Roman" w:hAnsi="Times New Roman" w:cs="Times New Roman"/>
                <w:snapToGrid w:val="0"/>
                <w:color w:val="auto"/>
                <w:spacing w:val="6"/>
                <w:kern w:val="0"/>
                <w:sz w:val="21"/>
                <w:szCs w:val="21"/>
                <w:highlight w:val="none"/>
              </w:rPr>
              <w:t>备安装</w:t>
            </w:r>
          </w:p>
        </w:tc>
        <w:tc>
          <w:tcPr>
            <w:tcW w:w="517" w:type="pct"/>
            <w:tcBorders>
              <w:tl2br w:val="nil"/>
              <w:tr2bl w:val="nil"/>
            </w:tcBorders>
            <w:vAlign w:val="center"/>
          </w:tcPr>
          <w:p w14:paraId="5A4A5D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1" w:type="pct"/>
            <w:tcBorders>
              <w:tl2br w:val="nil"/>
              <w:tr2bl w:val="nil"/>
            </w:tcBorders>
            <w:vAlign w:val="center"/>
          </w:tcPr>
          <w:p w14:paraId="341662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57DE60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1FFCBA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84" w:type="pct"/>
            <w:tcBorders>
              <w:tl2br w:val="nil"/>
              <w:tr2bl w:val="nil"/>
            </w:tcBorders>
            <w:vAlign w:val="center"/>
          </w:tcPr>
          <w:p w14:paraId="7150A9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41E977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0B8580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4C34C4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31F64F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50E4D7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cs="Times New Roman"/>
                <w:snapToGrid w:val="0"/>
                <w:color w:val="auto"/>
                <w:spacing w:val="8"/>
                <w:kern w:val="0"/>
                <w:sz w:val="21"/>
                <w:szCs w:val="21"/>
                <w:highlight w:val="none"/>
              </w:rPr>
              <w:t>物</w:t>
            </w:r>
            <w:r>
              <w:rPr>
                <w:rFonts w:hint="default" w:ascii="Times New Roman" w:hAnsi="Times New Roman" w:cs="Times New Roman"/>
                <w:snapToGrid w:val="0"/>
                <w:color w:val="auto"/>
                <w:spacing w:val="7"/>
                <w:kern w:val="0"/>
                <w:sz w:val="21"/>
                <w:szCs w:val="21"/>
                <w:highlight w:val="none"/>
              </w:rPr>
              <w:t>料</w:t>
            </w:r>
            <w:r>
              <w:rPr>
                <w:rFonts w:hint="eastAsia" w:cs="Times New Roman"/>
                <w:snapToGrid w:val="0"/>
                <w:color w:val="auto"/>
                <w:spacing w:val="7"/>
                <w:kern w:val="0"/>
                <w:sz w:val="21"/>
                <w:szCs w:val="21"/>
                <w:highlight w:val="none"/>
                <w:lang w:val="en-US" w:eastAsia="zh-CN"/>
              </w:rPr>
              <w:t>堆存</w:t>
            </w:r>
          </w:p>
        </w:tc>
        <w:tc>
          <w:tcPr>
            <w:tcW w:w="517" w:type="pct"/>
            <w:tcBorders>
              <w:tl2br w:val="nil"/>
              <w:tr2bl w:val="nil"/>
            </w:tcBorders>
            <w:vAlign w:val="center"/>
          </w:tcPr>
          <w:p w14:paraId="60E054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01" w:type="pct"/>
            <w:tcBorders>
              <w:tl2br w:val="nil"/>
              <w:tr2bl w:val="nil"/>
            </w:tcBorders>
            <w:vAlign w:val="center"/>
          </w:tcPr>
          <w:p w14:paraId="56CB40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7638B0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4A4AE0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84" w:type="pct"/>
            <w:tcBorders>
              <w:tl2br w:val="nil"/>
              <w:tr2bl w:val="nil"/>
            </w:tcBorders>
            <w:vAlign w:val="center"/>
          </w:tcPr>
          <w:p w14:paraId="46EFE8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1DDA2A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-1D</w:t>
            </w:r>
          </w:p>
        </w:tc>
        <w:tc>
          <w:tcPr>
            <w:tcW w:w="555" w:type="pct"/>
            <w:tcBorders>
              <w:tl2br w:val="nil"/>
              <w:tr2bl w:val="nil"/>
            </w:tcBorders>
            <w:vAlign w:val="center"/>
          </w:tcPr>
          <w:p w14:paraId="502D95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58B1B4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restart"/>
            <w:tcBorders>
              <w:tl2br w:val="nil"/>
              <w:tr2bl w:val="nil"/>
            </w:tcBorders>
            <w:vAlign w:val="center"/>
          </w:tcPr>
          <w:p w14:paraId="7188A7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7"/>
                <w:kern w:val="0"/>
                <w:sz w:val="21"/>
                <w:szCs w:val="21"/>
                <w:highlight w:val="none"/>
              </w:rPr>
              <w:t>运营</w:t>
            </w:r>
            <w:r>
              <w:rPr>
                <w:rFonts w:hint="default" w:ascii="Times New Roman" w:hAnsi="Times New Roman" w:cs="Times New Roman"/>
                <w:snapToGrid w:val="0"/>
                <w:color w:val="auto"/>
                <w:spacing w:val="6"/>
                <w:kern w:val="0"/>
                <w:sz w:val="21"/>
                <w:szCs w:val="21"/>
                <w:highlight w:val="none"/>
              </w:rPr>
              <w:t>期</w:t>
            </w:r>
          </w:p>
        </w:tc>
        <w:tc>
          <w:tcPr>
            <w:tcW w:w="846" w:type="pct"/>
            <w:tcBorders>
              <w:tl2br w:val="nil"/>
              <w:tr2bl w:val="nil"/>
            </w:tcBorders>
            <w:vAlign w:val="center"/>
          </w:tcPr>
          <w:p w14:paraId="0D7606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5"/>
                <w:kern w:val="0"/>
                <w:sz w:val="21"/>
                <w:szCs w:val="21"/>
                <w:highlight w:val="none"/>
              </w:rPr>
              <w:t>废气</w:t>
            </w:r>
          </w:p>
        </w:tc>
        <w:tc>
          <w:tcPr>
            <w:tcW w:w="517" w:type="pct"/>
            <w:tcBorders>
              <w:tl2br w:val="nil"/>
              <w:tr2bl w:val="nil"/>
            </w:tcBorders>
            <w:vAlign w:val="center"/>
          </w:tcPr>
          <w:p w14:paraId="4E099F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7"/>
                <w:kern w:val="0"/>
                <w:sz w:val="21"/>
                <w:szCs w:val="21"/>
                <w:highlight w:val="none"/>
              </w:rPr>
              <w:t>-</w:t>
            </w:r>
            <w:r>
              <w:rPr>
                <w:rFonts w:hint="default" w:ascii="Times New Roman" w:hAnsi="Times New Roman" w:cs="Times New Roman"/>
                <w:snapToGrid w:val="0"/>
                <w:color w:val="auto"/>
                <w:spacing w:val="6"/>
                <w:kern w:val="0"/>
                <w:sz w:val="21"/>
                <w:szCs w:val="21"/>
                <w:highlight w:val="none"/>
              </w:rPr>
              <w:t>2</w:t>
            </w:r>
            <w:r>
              <w:rPr>
                <w:rFonts w:hint="default" w:ascii="Times New Roman" w:hAnsi="Times New Roman" w:cs="Times New Roman"/>
                <w:snapToGrid w:val="0"/>
                <w:color w:val="auto"/>
                <w:kern w:val="0"/>
                <w:sz w:val="21"/>
                <w:szCs w:val="21"/>
                <w:highlight w:val="none"/>
              </w:rPr>
              <w:t>C</w:t>
            </w:r>
          </w:p>
        </w:tc>
        <w:tc>
          <w:tcPr>
            <w:tcW w:w="501" w:type="pct"/>
            <w:tcBorders>
              <w:tl2br w:val="nil"/>
              <w:tr2bl w:val="nil"/>
            </w:tcBorders>
            <w:vAlign w:val="center"/>
          </w:tcPr>
          <w:p w14:paraId="5CE8E9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7DF4760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17AAF2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84" w:type="pct"/>
            <w:tcBorders>
              <w:tl2br w:val="nil"/>
              <w:tr2bl w:val="nil"/>
            </w:tcBorders>
            <w:vAlign w:val="center"/>
          </w:tcPr>
          <w:p w14:paraId="421725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w:t>
            </w:r>
            <w:r>
              <w:rPr>
                <w:rFonts w:hint="default" w:ascii="Times New Roman" w:hAnsi="Times New Roman" w:cs="Times New Roman"/>
                <w:snapToGrid w:val="0"/>
                <w:color w:val="auto"/>
                <w:spacing w:val="-7"/>
                <w:kern w:val="0"/>
                <w:sz w:val="21"/>
                <w:szCs w:val="21"/>
                <w:highlight w:val="none"/>
              </w:rPr>
              <w:t>1C</w:t>
            </w:r>
          </w:p>
        </w:tc>
        <w:tc>
          <w:tcPr>
            <w:tcW w:w="407" w:type="pct"/>
            <w:tcBorders>
              <w:tl2br w:val="nil"/>
              <w:tr2bl w:val="nil"/>
            </w:tcBorders>
            <w:vAlign w:val="center"/>
          </w:tcPr>
          <w:p w14:paraId="0CA640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-1C</w:t>
            </w:r>
          </w:p>
        </w:tc>
        <w:tc>
          <w:tcPr>
            <w:tcW w:w="555" w:type="pct"/>
            <w:tcBorders>
              <w:tl2br w:val="nil"/>
              <w:tr2bl w:val="nil"/>
            </w:tcBorders>
            <w:vAlign w:val="center"/>
          </w:tcPr>
          <w:p w14:paraId="25F5B1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539E7F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1C67E3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5ACFF7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
                <w:kern w:val="0"/>
                <w:sz w:val="21"/>
                <w:szCs w:val="21"/>
                <w:highlight w:val="none"/>
              </w:rPr>
              <w:t>噪</w:t>
            </w:r>
            <w:r>
              <w:rPr>
                <w:rFonts w:hint="default" w:ascii="Times New Roman" w:hAnsi="Times New Roman" w:cs="Times New Roman"/>
                <w:snapToGrid w:val="0"/>
                <w:color w:val="auto"/>
                <w:kern w:val="0"/>
                <w:sz w:val="21"/>
                <w:szCs w:val="21"/>
                <w:highlight w:val="none"/>
              </w:rPr>
              <w:t>声</w:t>
            </w:r>
          </w:p>
        </w:tc>
        <w:tc>
          <w:tcPr>
            <w:tcW w:w="517" w:type="pct"/>
            <w:tcBorders>
              <w:tl2br w:val="nil"/>
              <w:tr2bl w:val="nil"/>
            </w:tcBorders>
            <w:vAlign w:val="center"/>
          </w:tcPr>
          <w:p w14:paraId="04D117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1" w:type="pct"/>
            <w:tcBorders>
              <w:tl2br w:val="nil"/>
              <w:tr2bl w:val="nil"/>
            </w:tcBorders>
            <w:vAlign w:val="center"/>
          </w:tcPr>
          <w:p w14:paraId="513E8D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75329F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7B3EB0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8"/>
                <w:kern w:val="0"/>
                <w:sz w:val="21"/>
                <w:szCs w:val="21"/>
                <w:highlight w:val="none"/>
              </w:rPr>
              <w:t>-1C</w:t>
            </w:r>
          </w:p>
        </w:tc>
        <w:tc>
          <w:tcPr>
            <w:tcW w:w="584" w:type="pct"/>
            <w:tcBorders>
              <w:tl2br w:val="nil"/>
              <w:tr2bl w:val="nil"/>
            </w:tcBorders>
            <w:vAlign w:val="center"/>
          </w:tcPr>
          <w:p w14:paraId="73F8BD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3590B2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1B4D8B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26DC3B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762E49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17516B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5"/>
                <w:kern w:val="0"/>
                <w:sz w:val="21"/>
                <w:szCs w:val="21"/>
                <w:highlight w:val="none"/>
              </w:rPr>
              <w:t>固</w:t>
            </w:r>
            <w:r>
              <w:rPr>
                <w:rFonts w:hint="default" w:ascii="Times New Roman" w:hAnsi="Times New Roman" w:cs="Times New Roman"/>
                <w:snapToGrid w:val="0"/>
                <w:color w:val="auto"/>
                <w:spacing w:val="-4"/>
                <w:kern w:val="0"/>
                <w:sz w:val="21"/>
                <w:szCs w:val="21"/>
                <w:highlight w:val="none"/>
              </w:rPr>
              <w:t>废</w:t>
            </w:r>
          </w:p>
        </w:tc>
        <w:tc>
          <w:tcPr>
            <w:tcW w:w="517" w:type="pct"/>
            <w:tcBorders>
              <w:tl2br w:val="nil"/>
              <w:tr2bl w:val="nil"/>
            </w:tcBorders>
            <w:vAlign w:val="center"/>
          </w:tcPr>
          <w:p w14:paraId="4F346A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01" w:type="pct"/>
            <w:tcBorders>
              <w:tl2br w:val="nil"/>
              <w:tr2bl w:val="nil"/>
            </w:tcBorders>
            <w:vAlign w:val="center"/>
          </w:tcPr>
          <w:p w14:paraId="24E59A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67EAA0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-2C</w:t>
            </w:r>
          </w:p>
        </w:tc>
        <w:tc>
          <w:tcPr>
            <w:tcW w:w="500" w:type="pct"/>
            <w:tcBorders>
              <w:tl2br w:val="nil"/>
              <w:tr2bl w:val="nil"/>
            </w:tcBorders>
            <w:vAlign w:val="center"/>
          </w:tcPr>
          <w:p w14:paraId="29284F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w:t>
            </w:r>
          </w:p>
        </w:tc>
        <w:tc>
          <w:tcPr>
            <w:tcW w:w="584" w:type="pct"/>
            <w:tcBorders>
              <w:tl2br w:val="nil"/>
              <w:tr2bl w:val="nil"/>
            </w:tcBorders>
            <w:vAlign w:val="center"/>
          </w:tcPr>
          <w:p w14:paraId="685067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w:t>
            </w:r>
            <w:r>
              <w:rPr>
                <w:rFonts w:hint="default" w:ascii="Times New Roman" w:hAnsi="Times New Roman" w:cs="Times New Roman"/>
                <w:snapToGrid w:val="0"/>
                <w:color w:val="auto"/>
                <w:spacing w:val="-7"/>
                <w:kern w:val="0"/>
                <w:sz w:val="21"/>
                <w:szCs w:val="21"/>
                <w:highlight w:val="none"/>
              </w:rPr>
              <w:t>1C</w:t>
            </w:r>
          </w:p>
        </w:tc>
        <w:tc>
          <w:tcPr>
            <w:tcW w:w="407" w:type="pct"/>
            <w:tcBorders>
              <w:tl2br w:val="nil"/>
              <w:tr2bl w:val="nil"/>
            </w:tcBorders>
            <w:vAlign w:val="center"/>
          </w:tcPr>
          <w:p w14:paraId="41DF89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-1C</w:t>
            </w:r>
          </w:p>
        </w:tc>
        <w:tc>
          <w:tcPr>
            <w:tcW w:w="555" w:type="pct"/>
            <w:tcBorders>
              <w:tl2br w:val="nil"/>
              <w:tr2bl w:val="nil"/>
            </w:tcBorders>
            <w:vAlign w:val="center"/>
          </w:tcPr>
          <w:p w14:paraId="7608AE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w:t>
            </w:r>
          </w:p>
        </w:tc>
      </w:tr>
      <w:tr w14:paraId="752613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2695A0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5CA674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5"/>
                <w:kern w:val="0"/>
                <w:sz w:val="21"/>
                <w:szCs w:val="21"/>
                <w:highlight w:val="none"/>
              </w:rPr>
              <w:t>废水</w:t>
            </w:r>
          </w:p>
        </w:tc>
        <w:tc>
          <w:tcPr>
            <w:tcW w:w="517" w:type="pct"/>
            <w:tcBorders>
              <w:tl2br w:val="nil"/>
              <w:tr2bl w:val="nil"/>
            </w:tcBorders>
            <w:vAlign w:val="center"/>
          </w:tcPr>
          <w:p w14:paraId="47BF82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01" w:type="pct"/>
            <w:tcBorders>
              <w:tl2br w:val="nil"/>
              <w:tr2bl w:val="nil"/>
            </w:tcBorders>
            <w:vAlign w:val="center"/>
          </w:tcPr>
          <w:p w14:paraId="4ABE52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3D9E55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w:t>
            </w:r>
            <w:r>
              <w:rPr>
                <w:rFonts w:hint="default" w:ascii="Times New Roman" w:hAnsi="Times New Roman" w:cs="Times New Roman"/>
                <w:snapToGrid w:val="0"/>
                <w:color w:val="auto"/>
                <w:spacing w:val="-7"/>
                <w:kern w:val="0"/>
                <w:sz w:val="21"/>
                <w:szCs w:val="21"/>
                <w:highlight w:val="none"/>
              </w:rPr>
              <w:t>1C</w:t>
            </w:r>
          </w:p>
        </w:tc>
        <w:tc>
          <w:tcPr>
            <w:tcW w:w="500" w:type="pct"/>
            <w:tcBorders>
              <w:tl2br w:val="nil"/>
              <w:tr2bl w:val="nil"/>
            </w:tcBorders>
            <w:vAlign w:val="center"/>
          </w:tcPr>
          <w:p w14:paraId="31E880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84" w:type="pct"/>
            <w:tcBorders>
              <w:tl2br w:val="nil"/>
              <w:tr2bl w:val="nil"/>
            </w:tcBorders>
            <w:vAlign w:val="center"/>
          </w:tcPr>
          <w:p w14:paraId="604AB1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w:t>
            </w:r>
            <w:r>
              <w:rPr>
                <w:rFonts w:hint="default" w:ascii="Times New Roman" w:hAnsi="Times New Roman" w:cs="Times New Roman"/>
                <w:snapToGrid w:val="0"/>
                <w:color w:val="auto"/>
                <w:spacing w:val="-7"/>
                <w:kern w:val="0"/>
                <w:sz w:val="21"/>
                <w:szCs w:val="21"/>
                <w:highlight w:val="none"/>
              </w:rPr>
              <w:t>1C</w:t>
            </w:r>
          </w:p>
        </w:tc>
        <w:tc>
          <w:tcPr>
            <w:tcW w:w="407" w:type="pct"/>
            <w:tcBorders>
              <w:tl2br w:val="nil"/>
              <w:tr2bl w:val="nil"/>
            </w:tcBorders>
            <w:vAlign w:val="center"/>
          </w:tcPr>
          <w:p w14:paraId="35B696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21EE62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04E867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68" w:type="pct"/>
            <w:vMerge w:val="continue"/>
            <w:tcBorders>
              <w:tl2br w:val="nil"/>
              <w:tr2bl w:val="nil"/>
            </w:tcBorders>
            <w:vAlign w:val="center"/>
          </w:tcPr>
          <w:p w14:paraId="5A8F5D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650CC7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4"/>
                <w:kern w:val="0"/>
                <w:sz w:val="21"/>
                <w:szCs w:val="21"/>
                <w:highlight w:val="none"/>
              </w:rPr>
            </w:pPr>
            <w:r>
              <w:rPr>
                <w:rFonts w:hint="default" w:ascii="Times New Roman" w:hAnsi="Times New Roman" w:cs="Times New Roman"/>
                <w:snapToGrid w:val="0"/>
                <w:color w:val="auto"/>
                <w:spacing w:val="4"/>
                <w:kern w:val="0"/>
                <w:sz w:val="21"/>
                <w:szCs w:val="21"/>
                <w:highlight w:val="none"/>
              </w:rPr>
              <w:t>环境风险</w:t>
            </w:r>
          </w:p>
        </w:tc>
        <w:tc>
          <w:tcPr>
            <w:tcW w:w="517" w:type="pct"/>
            <w:tcBorders>
              <w:tl2br w:val="nil"/>
              <w:tr2bl w:val="nil"/>
            </w:tcBorders>
            <w:vAlign w:val="center"/>
          </w:tcPr>
          <w:p w14:paraId="51B621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10"/>
                <w:kern w:val="0"/>
                <w:position w:val="2"/>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01" w:type="pct"/>
            <w:tcBorders>
              <w:tl2br w:val="nil"/>
              <w:tr2bl w:val="nil"/>
            </w:tcBorders>
            <w:vAlign w:val="center"/>
          </w:tcPr>
          <w:p w14:paraId="464CBE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5AFD77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7"/>
                <w:kern w:val="0"/>
                <w:position w:val="2"/>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00" w:type="pct"/>
            <w:tcBorders>
              <w:tl2br w:val="nil"/>
              <w:tr2bl w:val="nil"/>
            </w:tcBorders>
            <w:vAlign w:val="center"/>
          </w:tcPr>
          <w:p w14:paraId="689E78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9"/>
                <w:kern w:val="0"/>
                <w:position w:val="2"/>
                <w:sz w:val="21"/>
                <w:szCs w:val="21"/>
                <w:highlight w:val="none"/>
              </w:rPr>
            </w:pPr>
            <w:r>
              <w:rPr>
                <w:rFonts w:hint="default" w:ascii="Times New Roman" w:hAnsi="Times New Roman" w:cs="Times New Roman"/>
                <w:snapToGrid w:val="0"/>
                <w:color w:val="auto"/>
                <w:spacing w:val="-9"/>
                <w:kern w:val="0"/>
                <w:position w:val="2"/>
                <w:sz w:val="21"/>
                <w:szCs w:val="21"/>
                <w:highlight w:val="none"/>
              </w:rPr>
              <w:t>/</w:t>
            </w:r>
          </w:p>
        </w:tc>
        <w:tc>
          <w:tcPr>
            <w:tcW w:w="584" w:type="pct"/>
            <w:tcBorders>
              <w:tl2br w:val="nil"/>
              <w:tr2bl w:val="nil"/>
            </w:tcBorders>
            <w:vAlign w:val="center"/>
          </w:tcPr>
          <w:p w14:paraId="08C550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7"/>
                <w:kern w:val="0"/>
                <w:position w:val="2"/>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407" w:type="pct"/>
            <w:tcBorders>
              <w:tl2br w:val="nil"/>
              <w:tr2bl w:val="nil"/>
            </w:tcBorders>
            <w:vAlign w:val="center"/>
          </w:tcPr>
          <w:p w14:paraId="569410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9"/>
                <w:kern w:val="0"/>
                <w:position w:val="2"/>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55" w:type="pct"/>
            <w:tcBorders>
              <w:tl2br w:val="nil"/>
              <w:tr2bl w:val="nil"/>
            </w:tcBorders>
            <w:vAlign w:val="center"/>
          </w:tcPr>
          <w:p w14:paraId="0F2225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9"/>
                <w:kern w:val="0"/>
                <w:position w:val="2"/>
                <w:sz w:val="21"/>
                <w:szCs w:val="21"/>
                <w:highlight w:val="none"/>
              </w:rPr>
            </w:pPr>
            <w:r>
              <w:rPr>
                <w:rFonts w:hint="default" w:ascii="Times New Roman" w:hAnsi="Times New Roman" w:cs="Times New Roman"/>
                <w:snapToGrid w:val="0"/>
                <w:color w:val="auto"/>
                <w:spacing w:val="-9"/>
                <w:kern w:val="0"/>
                <w:position w:val="2"/>
                <w:sz w:val="21"/>
                <w:szCs w:val="21"/>
                <w:highlight w:val="none"/>
              </w:rPr>
              <w:t>/</w:t>
            </w:r>
          </w:p>
        </w:tc>
      </w:tr>
      <w:tr w14:paraId="4AF73E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000" w:type="pct"/>
            <w:gridSpan w:val="9"/>
            <w:tcBorders>
              <w:tl2br w:val="nil"/>
              <w:tr2bl w:val="nil"/>
            </w:tcBorders>
            <w:vAlign w:val="center"/>
          </w:tcPr>
          <w:p w14:paraId="3487E8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spacing w:val="-9"/>
                <w:kern w:val="0"/>
                <w:position w:val="2"/>
                <w:sz w:val="21"/>
                <w:szCs w:val="21"/>
                <w:highlight w:val="none"/>
                <w:lang w:eastAsia="zh-CN"/>
              </w:rPr>
            </w:pPr>
            <w:r>
              <w:rPr>
                <w:rFonts w:hint="default" w:ascii="Times New Roman" w:hAnsi="Times New Roman" w:cs="Times New Roman"/>
                <w:snapToGrid w:val="0"/>
                <w:color w:val="auto"/>
                <w:spacing w:val="-9"/>
                <w:kern w:val="0"/>
                <w:position w:val="2"/>
                <w:sz w:val="21"/>
                <w:szCs w:val="21"/>
                <w:highlight w:val="none"/>
              </w:rPr>
              <w:t>备注：</w:t>
            </w:r>
            <w:r>
              <w:rPr>
                <w:rFonts w:hint="eastAsia" w:cs="Times New Roman"/>
                <w:snapToGrid w:val="0"/>
                <w:color w:val="auto"/>
                <w:spacing w:val="-9"/>
                <w:kern w:val="0"/>
                <w:position w:val="2"/>
                <w:sz w:val="21"/>
                <w:szCs w:val="21"/>
                <w:highlight w:val="none"/>
                <w:lang w:eastAsia="zh-CN"/>
              </w:rPr>
              <w:t>（</w:t>
            </w:r>
            <w:r>
              <w:rPr>
                <w:rFonts w:hint="default" w:ascii="Times New Roman" w:hAnsi="Times New Roman" w:cs="Times New Roman"/>
                <w:snapToGrid w:val="0"/>
                <w:color w:val="auto"/>
                <w:spacing w:val="-9"/>
                <w:kern w:val="0"/>
                <w:position w:val="2"/>
                <w:sz w:val="21"/>
                <w:szCs w:val="21"/>
                <w:highlight w:val="none"/>
              </w:rPr>
              <w:t>1）表中“+”表示正面影响，“</w:t>
            </w:r>
            <w:r>
              <w:rPr>
                <w:rFonts w:hint="eastAsia" w:cs="Times New Roman"/>
                <w:snapToGrid w:val="0"/>
                <w:color w:val="auto"/>
                <w:spacing w:val="-9"/>
                <w:kern w:val="0"/>
                <w:position w:val="2"/>
                <w:sz w:val="21"/>
                <w:szCs w:val="21"/>
                <w:highlight w:val="none"/>
                <w:lang w:eastAsia="zh-CN"/>
              </w:rPr>
              <w:t>－</w:t>
            </w:r>
            <w:r>
              <w:rPr>
                <w:rFonts w:hint="default" w:ascii="Times New Roman" w:hAnsi="Times New Roman" w:cs="Times New Roman"/>
                <w:snapToGrid w:val="0"/>
                <w:color w:val="auto"/>
                <w:spacing w:val="-9"/>
                <w:kern w:val="0"/>
                <w:position w:val="2"/>
                <w:sz w:val="21"/>
                <w:szCs w:val="21"/>
                <w:highlight w:val="none"/>
              </w:rPr>
              <w:t>”表示负面影响；</w:t>
            </w:r>
            <w:r>
              <w:rPr>
                <w:rFonts w:hint="eastAsia" w:cs="Times New Roman"/>
                <w:snapToGrid w:val="0"/>
                <w:color w:val="auto"/>
                <w:spacing w:val="-9"/>
                <w:kern w:val="0"/>
                <w:position w:val="2"/>
                <w:sz w:val="21"/>
                <w:szCs w:val="21"/>
                <w:highlight w:val="none"/>
                <w:lang w:eastAsia="zh-CN"/>
              </w:rPr>
              <w:t>（</w:t>
            </w:r>
            <w:r>
              <w:rPr>
                <w:rFonts w:hint="default" w:ascii="Times New Roman" w:hAnsi="Times New Roman" w:cs="Times New Roman"/>
                <w:snapToGrid w:val="0"/>
                <w:color w:val="auto"/>
                <w:spacing w:val="-9"/>
                <w:kern w:val="0"/>
                <w:position w:val="2"/>
                <w:sz w:val="21"/>
                <w:szCs w:val="21"/>
                <w:highlight w:val="none"/>
              </w:rPr>
              <w:t>2）表中数字表示影响的相对程度，“1”表示影响较小，“2”表示影响中等，“3”表示影响较大；</w:t>
            </w:r>
            <w:r>
              <w:rPr>
                <w:rFonts w:hint="eastAsia" w:cs="Times New Roman"/>
                <w:snapToGrid w:val="0"/>
                <w:color w:val="auto"/>
                <w:spacing w:val="-9"/>
                <w:kern w:val="0"/>
                <w:position w:val="2"/>
                <w:sz w:val="21"/>
                <w:szCs w:val="21"/>
                <w:highlight w:val="none"/>
                <w:lang w:eastAsia="zh-CN"/>
              </w:rPr>
              <w:t>（</w:t>
            </w:r>
            <w:r>
              <w:rPr>
                <w:rFonts w:hint="default" w:ascii="Times New Roman" w:hAnsi="Times New Roman" w:cs="Times New Roman"/>
                <w:snapToGrid w:val="0"/>
                <w:color w:val="auto"/>
                <w:spacing w:val="-9"/>
                <w:kern w:val="0"/>
                <w:position w:val="2"/>
                <w:sz w:val="21"/>
                <w:szCs w:val="21"/>
                <w:highlight w:val="none"/>
              </w:rPr>
              <w:t>3）表中“D”表示短期影响，“C”表示长期影响</w:t>
            </w:r>
            <w:r>
              <w:rPr>
                <w:rFonts w:hint="default" w:ascii="Times New Roman" w:hAnsi="Times New Roman" w:cs="Times New Roman"/>
                <w:snapToGrid w:val="0"/>
                <w:color w:val="auto"/>
                <w:spacing w:val="-9"/>
                <w:kern w:val="0"/>
                <w:position w:val="2"/>
                <w:sz w:val="21"/>
                <w:szCs w:val="21"/>
                <w:highlight w:val="none"/>
                <w:lang w:eastAsia="zh-CN"/>
              </w:rPr>
              <w:t>。</w:t>
            </w:r>
          </w:p>
        </w:tc>
      </w:tr>
    </w:tbl>
    <w:p w14:paraId="0F7D703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由表2.3-1可知，本项目的建设对环境的影响是多方面的，既存在短期、可恢复</w:t>
      </w:r>
      <w:r>
        <w:rPr>
          <w:rFonts w:hint="eastAsia" w:cs="Times New Roman"/>
          <w:color w:val="auto"/>
          <w:highlight w:val="none"/>
          <w:lang w:eastAsia="zh-CN"/>
        </w:rPr>
        <w:t>的</w:t>
      </w:r>
      <w:r>
        <w:rPr>
          <w:rFonts w:hint="default" w:ascii="Times New Roman" w:hAnsi="Times New Roman" w:cs="Times New Roman"/>
          <w:color w:val="auto"/>
          <w:highlight w:val="none"/>
        </w:rPr>
        <w:t>正、负影响，也存在长期或正或负的影响。项目施工期主要表现在对自然环境要素产生一定程度的负面影响，主要环境影响因素为环境空气、地下水环境、声环境、生态环境，均随着施工期的结束而消失；运营期对环境的不利影响是长期存在的，在运营过程中，主要环境影响因素表现在环境空气、地下水、声环境、</w:t>
      </w:r>
      <w:r>
        <w:rPr>
          <w:rFonts w:hint="eastAsia" w:cs="Times New Roman"/>
          <w:color w:val="auto"/>
          <w:highlight w:val="none"/>
          <w:lang w:val="en-US" w:eastAsia="zh-CN"/>
        </w:rPr>
        <w:t>土壤环境、</w:t>
      </w:r>
      <w:r>
        <w:rPr>
          <w:rFonts w:hint="default" w:ascii="Times New Roman" w:hAnsi="Times New Roman" w:cs="Times New Roman"/>
          <w:color w:val="auto"/>
          <w:highlight w:val="none"/>
        </w:rPr>
        <w:t>生态等</w:t>
      </w:r>
      <w:r>
        <w:rPr>
          <w:rFonts w:hint="eastAsia" w:cs="Times New Roman"/>
          <w:color w:val="auto"/>
          <w:highlight w:val="none"/>
          <w:lang w:val="en-US" w:eastAsia="zh-CN"/>
        </w:rPr>
        <w:t>五</w:t>
      </w:r>
      <w:r>
        <w:rPr>
          <w:rFonts w:hint="default" w:ascii="Times New Roman" w:hAnsi="Times New Roman" w:cs="Times New Roman"/>
          <w:color w:val="auto"/>
          <w:highlight w:val="none"/>
        </w:rPr>
        <w:t>个方面。</w:t>
      </w:r>
    </w:p>
    <w:p w14:paraId="00D6539E">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2.3.2 评价因子筛选</w:t>
      </w:r>
    </w:p>
    <w:p w14:paraId="7352346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根据环境影响因素识别结果和技改项目特点、生产工艺与污染物排放特点的分析，确定本项目评价</w:t>
      </w:r>
      <w:r>
        <w:rPr>
          <w:rFonts w:hint="eastAsia" w:cs="Times New Roman"/>
          <w:color w:val="auto"/>
          <w:highlight w:val="none"/>
          <w:lang w:val="en-US" w:eastAsia="zh-CN"/>
        </w:rPr>
        <w:t>因子</w:t>
      </w:r>
      <w:r>
        <w:rPr>
          <w:rFonts w:hint="default" w:ascii="Times New Roman" w:hAnsi="Times New Roman" w:cs="Times New Roman"/>
          <w:color w:val="auto"/>
          <w:highlight w:val="none"/>
        </w:rPr>
        <w:t xml:space="preserve">，详见表2.3-2。 </w:t>
      </w:r>
    </w:p>
    <w:p w14:paraId="704CD47B">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表2.3-2  评价因子一览表</w:t>
      </w:r>
    </w:p>
    <w:tbl>
      <w:tblPr>
        <w:tblStyle w:val="33"/>
        <w:tblW w:w="520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5148"/>
        <w:gridCol w:w="1587"/>
        <w:gridCol w:w="1274"/>
      </w:tblGrid>
      <w:tr w14:paraId="2875B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2E713968">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color w:val="auto"/>
                <w:sz w:val="21"/>
                <w:szCs w:val="21"/>
                <w:highlight w:val="none"/>
              </w:rPr>
            </w:pPr>
            <w:bookmarkStart w:id="78" w:name="_Hlk150727712"/>
            <w:r>
              <w:rPr>
                <w:rFonts w:hint="default" w:ascii="Times New Roman" w:hAnsi="Times New Roman" w:cs="Times New Roman"/>
                <w:b/>
                <w:color w:val="auto"/>
                <w:sz w:val="21"/>
                <w:szCs w:val="21"/>
                <w:highlight w:val="none"/>
              </w:rPr>
              <w:t>类别</w:t>
            </w:r>
          </w:p>
        </w:tc>
        <w:tc>
          <w:tcPr>
            <w:tcW w:w="2832" w:type="pct"/>
            <w:tcBorders>
              <w:tl2br w:val="nil"/>
              <w:tr2bl w:val="nil"/>
            </w:tcBorders>
            <w:tcMar>
              <w:left w:w="0" w:type="dxa"/>
              <w:right w:w="0" w:type="dxa"/>
            </w:tcMar>
            <w:vAlign w:val="center"/>
          </w:tcPr>
          <w:p w14:paraId="6C98A95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现状评价因子</w:t>
            </w:r>
          </w:p>
        </w:tc>
        <w:tc>
          <w:tcPr>
            <w:tcW w:w="873" w:type="pct"/>
            <w:tcBorders>
              <w:tl2br w:val="nil"/>
              <w:tr2bl w:val="nil"/>
            </w:tcBorders>
            <w:tcMar>
              <w:left w:w="0" w:type="dxa"/>
              <w:right w:w="0" w:type="dxa"/>
            </w:tcMar>
            <w:vAlign w:val="center"/>
          </w:tcPr>
          <w:p w14:paraId="7913E991">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影响评价因子</w:t>
            </w:r>
          </w:p>
        </w:tc>
        <w:tc>
          <w:tcPr>
            <w:tcW w:w="701" w:type="pct"/>
            <w:tcBorders>
              <w:tl2br w:val="nil"/>
              <w:tr2bl w:val="nil"/>
            </w:tcBorders>
            <w:tcMar>
              <w:left w:w="0" w:type="dxa"/>
              <w:right w:w="0" w:type="dxa"/>
            </w:tcMar>
            <w:vAlign w:val="center"/>
          </w:tcPr>
          <w:p w14:paraId="229239A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总量控制因子</w:t>
            </w:r>
          </w:p>
        </w:tc>
      </w:tr>
      <w:tr w14:paraId="464B0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14FF9607">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w:t>
            </w:r>
          </w:p>
        </w:tc>
        <w:tc>
          <w:tcPr>
            <w:tcW w:w="2832" w:type="pct"/>
            <w:tcBorders>
              <w:tl2br w:val="nil"/>
              <w:tr2bl w:val="nil"/>
            </w:tcBorders>
            <w:tcMar>
              <w:left w:w="0" w:type="dxa"/>
              <w:right w:w="0" w:type="dxa"/>
            </w:tcMar>
            <w:vAlign w:val="center"/>
          </w:tcPr>
          <w:p w14:paraId="3EB1BA67">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、CO、O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、NMHC、TSP、</w:t>
            </w:r>
            <w:r>
              <w:rPr>
                <w:rFonts w:hint="default" w:ascii="Times New Roman" w:hAnsi="Times New Roman" w:cs="Times New Roman"/>
                <w:color w:val="auto"/>
                <w:sz w:val="21"/>
                <w:szCs w:val="21"/>
                <w:highlight w:val="none"/>
                <w:lang w:val="en-US" w:eastAsia="zh-CN"/>
              </w:rPr>
              <w:t>硫酸雾</w:t>
            </w:r>
          </w:p>
        </w:tc>
        <w:tc>
          <w:tcPr>
            <w:tcW w:w="873" w:type="pct"/>
            <w:tcBorders>
              <w:tl2br w:val="nil"/>
              <w:tr2bl w:val="nil"/>
            </w:tcBorders>
            <w:tcMar>
              <w:left w:w="0" w:type="dxa"/>
              <w:right w:w="0" w:type="dxa"/>
            </w:tcMar>
            <w:vAlign w:val="center"/>
          </w:tcPr>
          <w:p w14:paraId="29B6AFFD">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、TSP、</w:t>
            </w:r>
            <w:r>
              <w:rPr>
                <w:rFonts w:hint="default" w:ascii="Times New Roman" w:hAnsi="Times New Roman" w:cs="Times New Roman"/>
                <w:color w:val="auto"/>
                <w:sz w:val="21"/>
                <w:szCs w:val="21"/>
                <w:highlight w:val="none"/>
                <w:lang w:val="en-US" w:eastAsia="zh-CN"/>
              </w:rPr>
              <w:t>硫酸雾</w:t>
            </w:r>
          </w:p>
        </w:tc>
        <w:tc>
          <w:tcPr>
            <w:tcW w:w="701" w:type="pct"/>
            <w:tcBorders>
              <w:tl2br w:val="nil"/>
              <w:tr2bl w:val="nil"/>
            </w:tcBorders>
            <w:tcMar>
              <w:left w:w="0" w:type="dxa"/>
              <w:right w:w="0" w:type="dxa"/>
            </w:tcMar>
            <w:vAlign w:val="center"/>
          </w:tcPr>
          <w:p w14:paraId="3A55A3A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w:t>
            </w:r>
          </w:p>
        </w:tc>
      </w:tr>
      <w:tr w14:paraId="3C16E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6CED8A15">
            <w:pPr>
              <w:pageBreakBefore w:val="0"/>
              <w:wordWrap/>
              <w:topLinePunct w:val="0"/>
              <w:bidi w:val="0"/>
              <w:adjustRightInd w:val="0"/>
              <w:snapToGrid w:val="0"/>
              <w:spacing w:line="36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声环境</w:t>
            </w:r>
          </w:p>
        </w:tc>
        <w:tc>
          <w:tcPr>
            <w:tcW w:w="2832" w:type="pct"/>
            <w:tcBorders>
              <w:tl2br w:val="nil"/>
              <w:tr2bl w:val="nil"/>
            </w:tcBorders>
            <w:tcMar>
              <w:left w:w="0" w:type="dxa"/>
              <w:right w:w="0" w:type="dxa"/>
            </w:tcMar>
            <w:vAlign w:val="center"/>
          </w:tcPr>
          <w:p w14:paraId="30A950D0">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873" w:type="pct"/>
            <w:tcBorders>
              <w:tl2br w:val="nil"/>
              <w:tr2bl w:val="nil"/>
            </w:tcBorders>
            <w:tcMar>
              <w:left w:w="0" w:type="dxa"/>
              <w:right w:w="0" w:type="dxa"/>
            </w:tcMar>
            <w:vAlign w:val="center"/>
          </w:tcPr>
          <w:p w14:paraId="2439409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701" w:type="pct"/>
            <w:tcBorders>
              <w:tl2br w:val="nil"/>
              <w:tr2bl w:val="nil"/>
            </w:tcBorders>
            <w:tcMar>
              <w:left w:w="0" w:type="dxa"/>
              <w:right w:w="0" w:type="dxa"/>
            </w:tcMar>
            <w:vAlign w:val="center"/>
          </w:tcPr>
          <w:p w14:paraId="3CF8770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w:t>
            </w:r>
          </w:p>
        </w:tc>
      </w:tr>
      <w:tr w14:paraId="3C55D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4F424E3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2832" w:type="pct"/>
            <w:tcBorders>
              <w:tl2br w:val="nil"/>
              <w:tr2bl w:val="nil"/>
            </w:tcBorders>
            <w:tcMar>
              <w:left w:w="0" w:type="dxa"/>
              <w:right w:w="0" w:type="dxa"/>
            </w:tcMar>
            <w:vAlign w:val="center"/>
          </w:tcPr>
          <w:p w14:paraId="43F4FD21">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值、氨氮、硝酸盐氮、亚硝酸盐氮、挥发酚、氰化物、砷、汞、六价铬、总硬度、氟化物、铅、镉、铁、锰、锌、铜、溶解性总固体、耗氧量（高锰酸盐指数）、硫酸盐、氯化物、总大肠菌群、细菌总数、石油类、硫化物、钾离子、钙离子、钠离子、镁离子、碳酸根离子、碳酸氢根离子、阴离子表面活性剂、镍、钴、钼、总磷</w:t>
            </w:r>
          </w:p>
        </w:tc>
        <w:tc>
          <w:tcPr>
            <w:tcW w:w="873" w:type="pct"/>
            <w:tcBorders>
              <w:tl2br w:val="nil"/>
              <w:tr2bl w:val="nil"/>
            </w:tcBorders>
            <w:tcMar>
              <w:left w:w="0" w:type="dxa"/>
              <w:right w:w="0" w:type="dxa"/>
            </w:tcMar>
            <w:vAlign w:val="center"/>
          </w:tcPr>
          <w:p w14:paraId="43A1BB9D">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砷、铜</w:t>
            </w:r>
          </w:p>
        </w:tc>
        <w:tc>
          <w:tcPr>
            <w:tcW w:w="701" w:type="pct"/>
            <w:tcBorders>
              <w:tl2br w:val="nil"/>
              <w:tr2bl w:val="nil"/>
            </w:tcBorders>
            <w:tcMar>
              <w:left w:w="0" w:type="dxa"/>
              <w:right w:w="0" w:type="dxa"/>
            </w:tcMar>
            <w:vAlign w:val="center"/>
          </w:tcPr>
          <w:p w14:paraId="2D5C743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w:t>
            </w:r>
          </w:p>
        </w:tc>
      </w:tr>
      <w:tr w14:paraId="75ADB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32208117">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土壤</w:t>
            </w:r>
            <w:r>
              <w:rPr>
                <w:rFonts w:hint="eastAsia" w:cs="Times New Roman"/>
                <w:color w:val="auto"/>
                <w:sz w:val="21"/>
                <w:szCs w:val="21"/>
                <w:highlight w:val="none"/>
                <w:lang w:val="en-US" w:eastAsia="zh-CN"/>
              </w:rPr>
              <w:t>环境</w:t>
            </w:r>
          </w:p>
        </w:tc>
        <w:tc>
          <w:tcPr>
            <w:tcW w:w="2832" w:type="pct"/>
            <w:tcBorders>
              <w:tl2br w:val="nil"/>
              <w:tr2bl w:val="nil"/>
            </w:tcBorders>
            <w:tcMar>
              <w:left w:w="0" w:type="dxa"/>
              <w:right w:w="0" w:type="dxa"/>
            </w:tcMar>
            <w:vAlign w:val="center"/>
          </w:tcPr>
          <w:p w14:paraId="635CB06A">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pH值、铜、铅、镉、汞、砷、镍、</w:t>
            </w:r>
            <w:r>
              <w:rPr>
                <w:rFonts w:hint="eastAsia" w:cs="Times New Roman"/>
                <w:color w:val="auto"/>
                <w:kern w:val="2"/>
                <w:sz w:val="21"/>
                <w:szCs w:val="21"/>
                <w:highlight w:val="none"/>
                <w:lang w:val="en-US" w:eastAsia="zh-CN" w:bidi="ar"/>
              </w:rPr>
              <w:t>铬（六价）</w:t>
            </w:r>
            <w:r>
              <w:rPr>
                <w:rFonts w:hint="default" w:ascii="Times New Roman" w:hAnsi="Times New Roman" w:eastAsia="宋体" w:cs="Times New Roman"/>
                <w:color w:val="auto"/>
                <w:kern w:val="2"/>
                <w:sz w:val="21"/>
                <w:szCs w:val="21"/>
                <w:highlight w:val="none"/>
                <w:lang w:val="en-US" w:eastAsia="zh-CN" w:bidi="ar"/>
              </w:rPr>
              <w:t>、四氯化碳、氯仿、氯甲烷、1，1-二氯乙烷、1，2-二氯乙烷、1，1-二氯乙烯、顺-1，2-二氯乙烯、反-1，2-二氯乙烯、二氯甲烷、二氯丙烷、1，1，1，2-四氯乙烷、1，1，2，2，-四氯乙烷、1，2-四氯乙烯、1，1，1-三氯乙烷、1，1，2-三氯乙烷、三氯乙烯、1，2，3-三氯丙烷、氯乙烯、苯、氯苯、1，2-二氯苯、1，4-二氯苯、乙苯、苯乙烯、甲苯、间二甲苯+对二甲苯、邻二甲苯、硝基苯、苯胺、2-氯酚、苯并〔a〕蒽、苯并〔a〕芘、苯并〔b〕荧蒽、苯并〔k〕荧蒽、䓛、二苯并〔a，h〕蒽、茚并〔1，2，3-cd〕芘、萘等46项</w:t>
            </w:r>
          </w:p>
        </w:tc>
        <w:tc>
          <w:tcPr>
            <w:tcW w:w="873" w:type="pct"/>
            <w:tcBorders>
              <w:tl2br w:val="nil"/>
              <w:tr2bl w:val="nil"/>
            </w:tcBorders>
            <w:tcMar>
              <w:left w:w="0" w:type="dxa"/>
              <w:right w:w="0" w:type="dxa"/>
            </w:tcMar>
            <w:vAlign w:val="center"/>
          </w:tcPr>
          <w:p w14:paraId="427F7B34">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铜、砷</w:t>
            </w:r>
          </w:p>
        </w:tc>
        <w:tc>
          <w:tcPr>
            <w:tcW w:w="701" w:type="pct"/>
            <w:tcBorders>
              <w:tl2br w:val="nil"/>
              <w:tr2bl w:val="nil"/>
            </w:tcBorders>
            <w:tcMar>
              <w:left w:w="0" w:type="dxa"/>
              <w:right w:w="0" w:type="dxa"/>
            </w:tcMar>
            <w:vAlign w:val="center"/>
          </w:tcPr>
          <w:p w14:paraId="7CAB14B4">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w:t>
            </w:r>
          </w:p>
        </w:tc>
      </w:tr>
      <w:tr w14:paraId="06BF4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5E20B857">
            <w:pPr>
              <w:pageBreakBefore w:val="0"/>
              <w:wordWrap/>
              <w:topLinePunct w:val="0"/>
              <w:bidi w:val="0"/>
              <w:adjustRightInd w:val="0"/>
              <w:snapToGrid w:val="0"/>
              <w:spacing w:line="360" w:lineRule="exact"/>
              <w:ind w:left="0" w:leftChars="0" w:right="0" w:rightChars="0" w:firstLine="0" w:firstLineChars="0"/>
              <w:jc w:val="center"/>
              <w:rPr>
                <w:rFonts w:hint="eastAsia"/>
                <w:color w:val="auto"/>
                <w:lang w:val="en-US" w:eastAsia="zh-CN"/>
              </w:rPr>
            </w:pPr>
            <w:r>
              <w:rPr>
                <w:rFonts w:hint="default" w:ascii="Times New Roman" w:hAnsi="Times New Roman" w:cs="Times New Roman"/>
                <w:color w:val="auto"/>
                <w:sz w:val="21"/>
                <w:szCs w:val="21"/>
                <w:highlight w:val="none"/>
              </w:rPr>
              <w:t>生态</w:t>
            </w:r>
            <w:r>
              <w:rPr>
                <w:rFonts w:hint="eastAsia" w:cs="Times New Roman"/>
                <w:color w:val="auto"/>
                <w:sz w:val="21"/>
                <w:szCs w:val="21"/>
                <w:highlight w:val="none"/>
                <w:lang w:val="en-US" w:eastAsia="zh-CN"/>
              </w:rPr>
              <w:t>影响</w:t>
            </w:r>
          </w:p>
        </w:tc>
        <w:tc>
          <w:tcPr>
            <w:tcW w:w="2832" w:type="pct"/>
            <w:tcBorders>
              <w:tl2br w:val="nil"/>
              <w:tr2bl w:val="nil"/>
            </w:tcBorders>
            <w:tcMar>
              <w:left w:w="0" w:type="dxa"/>
              <w:right w:w="0" w:type="dxa"/>
            </w:tcMar>
            <w:vAlign w:val="center"/>
          </w:tcPr>
          <w:p w14:paraId="6F026B45">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调查评价范围内的土地利用现状、植被现状和野生动植物现状等</w:t>
            </w:r>
          </w:p>
        </w:tc>
        <w:tc>
          <w:tcPr>
            <w:tcW w:w="873" w:type="pct"/>
            <w:tcBorders>
              <w:tl2br w:val="nil"/>
              <w:tr2bl w:val="nil"/>
            </w:tcBorders>
            <w:tcMar>
              <w:left w:w="0" w:type="dxa"/>
              <w:right w:w="0" w:type="dxa"/>
            </w:tcMar>
            <w:vAlign w:val="center"/>
          </w:tcPr>
          <w:p w14:paraId="0A10C7D6">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分析工程对土地利用、植被、野生动植物等的影响</w:t>
            </w:r>
          </w:p>
        </w:tc>
        <w:tc>
          <w:tcPr>
            <w:tcW w:w="701" w:type="pct"/>
            <w:tcBorders>
              <w:tl2br w:val="nil"/>
              <w:tr2bl w:val="nil"/>
            </w:tcBorders>
            <w:tcMar>
              <w:left w:w="0" w:type="dxa"/>
              <w:right w:w="0" w:type="dxa"/>
            </w:tcMar>
            <w:vAlign w:val="center"/>
          </w:tcPr>
          <w:p w14:paraId="2BA5ADF4">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w:t>
            </w:r>
          </w:p>
        </w:tc>
      </w:tr>
      <w:tr w14:paraId="5340C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6DC6D7E0">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w:t>
            </w:r>
          </w:p>
        </w:tc>
        <w:tc>
          <w:tcPr>
            <w:tcW w:w="2832" w:type="pct"/>
            <w:tcBorders>
              <w:tl2br w:val="nil"/>
              <w:tr2bl w:val="nil"/>
            </w:tcBorders>
            <w:tcMar>
              <w:left w:w="0" w:type="dxa"/>
              <w:right w:w="0" w:type="dxa"/>
            </w:tcMar>
            <w:vAlign w:val="center"/>
          </w:tcPr>
          <w:p w14:paraId="2DA94F31">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873" w:type="pct"/>
            <w:tcBorders>
              <w:tl2br w:val="nil"/>
              <w:tr2bl w:val="nil"/>
            </w:tcBorders>
            <w:tcMar>
              <w:left w:w="0" w:type="dxa"/>
              <w:right w:w="0" w:type="dxa"/>
            </w:tcMar>
            <w:vAlign w:val="center"/>
          </w:tcPr>
          <w:p w14:paraId="4F22C0F0">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浓硫酸、煤油及</w:t>
            </w:r>
            <w:r>
              <w:rPr>
                <w:rFonts w:hint="eastAsia" w:cs="Times New Roman"/>
                <w:color w:val="auto"/>
                <w:sz w:val="21"/>
                <w:szCs w:val="21"/>
                <w:highlight w:val="none"/>
                <w:lang w:val="en-US" w:eastAsia="zh-CN"/>
              </w:rPr>
              <w:t>废机油</w:t>
            </w:r>
            <w:r>
              <w:rPr>
                <w:rFonts w:hint="default" w:ascii="Times New Roman" w:hAnsi="Times New Roman" w:cs="Times New Roman"/>
                <w:color w:val="auto"/>
                <w:sz w:val="21"/>
                <w:szCs w:val="21"/>
                <w:highlight w:val="none"/>
              </w:rPr>
              <w:t>泄漏产生的二次污染物</w:t>
            </w:r>
          </w:p>
        </w:tc>
        <w:tc>
          <w:tcPr>
            <w:tcW w:w="701" w:type="pct"/>
            <w:tcBorders>
              <w:tl2br w:val="nil"/>
              <w:tr2bl w:val="nil"/>
            </w:tcBorders>
            <w:tcMar>
              <w:left w:w="0" w:type="dxa"/>
              <w:right w:w="0" w:type="dxa"/>
            </w:tcMar>
            <w:vAlign w:val="center"/>
          </w:tcPr>
          <w:p w14:paraId="0DF64565">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w:t>
            </w:r>
          </w:p>
        </w:tc>
      </w:tr>
      <w:tr w14:paraId="78886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026F4C07">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固体废物</w:t>
            </w:r>
          </w:p>
        </w:tc>
        <w:tc>
          <w:tcPr>
            <w:tcW w:w="2832" w:type="pct"/>
            <w:tcBorders>
              <w:tl2br w:val="nil"/>
              <w:tr2bl w:val="nil"/>
            </w:tcBorders>
            <w:tcMar>
              <w:left w:w="0" w:type="dxa"/>
              <w:right w:w="0" w:type="dxa"/>
            </w:tcMar>
            <w:vAlign w:val="center"/>
          </w:tcPr>
          <w:p w14:paraId="67306583">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873" w:type="pct"/>
            <w:tcBorders>
              <w:tl2br w:val="nil"/>
              <w:tr2bl w:val="nil"/>
            </w:tcBorders>
            <w:tcMar>
              <w:left w:w="0" w:type="dxa"/>
              <w:right w:w="0" w:type="dxa"/>
            </w:tcMar>
            <w:vAlign w:val="center"/>
          </w:tcPr>
          <w:p w14:paraId="0C9BB0B5">
            <w:pPr>
              <w:pageBreakBefore w:val="0"/>
              <w:wordWrap/>
              <w:topLinePunct w:val="0"/>
              <w:bidi w:val="0"/>
              <w:adjustRightInd w:val="0"/>
              <w:snapToGrid w:val="0"/>
              <w:spacing w:line="360" w:lineRule="exact"/>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危险废物：废机油</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空油桶</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氢氧化钠包装袋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收集粉尘</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废布袋</w:t>
            </w:r>
          </w:p>
          <w:p w14:paraId="74EA14E8">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一般工业固体废物：浸出矿渣</w:t>
            </w:r>
          </w:p>
        </w:tc>
        <w:tc>
          <w:tcPr>
            <w:tcW w:w="701" w:type="pct"/>
            <w:tcBorders>
              <w:tl2br w:val="nil"/>
              <w:tr2bl w:val="nil"/>
            </w:tcBorders>
            <w:tcMar>
              <w:left w:w="0" w:type="dxa"/>
              <w:right w:w="0" w:type="dxa"/>
            </w:tcMar>
            <w:vAlign w:val="center"/>
          </w:tcPr>
          <w:p w14:paraId="79804891">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w:t>
            </w:r>
          </w:p>
        </w:tc>
      </w:tr>
      <w:bookmarkEnd w:id="78"/>
    </w:tbl>
    <w:p w14:paraId="7B597044">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cs="Times New Roman"/>
          <w:color w:val="auto"/>
          <w:highlight w:val="none"/>
        </w:rPr>
      </w:pPr>
      <w:bookmarkStart w:id="79" w:name="_Toc22288"/>
      <w:bookmarkStart w:id="80" w:name="_Toc527982435"/>
      <w:bookmarkStart w:id="81" w:name="_Toc21309"/>
      <w:r>
        <w:rPr>
          <w:rFonts w:hint="default" w:ascii="Times New Roman" w:hAnsi="Times New Roman" w:eastAsia="宋体" w:cs="Times New Roman"/>
          <w:color w:val="auto"/>
          <w:highlight w:val="none"/>
        </w:rPr>
        <w:t>2.4 环境功能区划及评价标准</w:t>
      </w:r>
      <w:bookmarkEnd w:id="79"/>
      <w:bookmarkEnd w:id="80"/>
      <w:bookmarkEnd w:id="81"/>
    </w:p>
    <w:p w14:paraId="4AFAE555">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2.4.1 环境功能区划</w:t>
      </w:r>
    </w:p>
    <w:p w14:paraId="0B9D2D25">
      <w:pPr>
        <w:pageBreakBefore w:val="0"/>
        <w:wordWrap/>
        <w:topLinePunct w:val="0"/>
        <w:bidi w:val="0"/>
        <w:adjustRightInd w:val="0"/>
        <w:snapToGrid w:val="0"/>
        <w:ind w:left="0" w:leftChars="0" w:right="0" w:firstLine="480"/>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本项目选址位于</w:t>
      </w:r>
      <w:r>
        <w:rPr>
          <w:rFonts w:hint="default" w:ascii="Times New Roman" w:hAnsi="Times New Roman" w:cs="Times New Roman"/>
          <w:color w:val="auto"/>
          <w:szCs w:val="21"/>
          <w:highlight w:val="none"/>
          <w:lang w:eastAsia="zh-CN"/>
        </w:rPr>
        <w:t>鄯善县迪坎矿产加工区</w:t>
      </w:r>
      <w:r>
        <w:rPr>
          <w:rFonts w:hint="default" w:ascii="Times New Roman" w:hAnsi="Times New Roman" w:cs="Times New Roman"/>
          <w:color w:val="auto"/>
          <w:szCs w:val="21"/>
          <w:highlight w:val="none"/>
        </w:rPr>
        <w:t>内</w:t>
      </w:r>
      <w:r>
        <w:rPr>
          <w:rFonts w:hint="default" w:ascii="Times New Roman" w:hAnsi="Times New Roman" w:cs="Times New Roman"/>
          <w:color w:val="auto"/>
          <w:highlight w:val="none"/>
        </w:rPr>
        <w:t>，区域功能区划分见表2.4-1。</w:t>
      </w:r>
    </w:p>
    <w:p w14:paraId="22C5740D">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表2.4-1   项目所在地环境功能区划</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autofit"/>
        <w:tblCellMar>
          <w:top w:w="0" w:type="dxa"/>
          <w:left w:w="108" w:type="dxa"/>
          <w:bottom w:w="0" w:type="dxa"/>
          <w:right w:w="108" w:type="dxa"/>
        </w:tblCellMar>
      </w:tblPr>
      <w:tblGrid>
        <w:gridCol w:w="677"/>
        <w:gridCol w:w="1126"/>
        <w:gridCol w:w="7145"/>
      </w:tblGrid>
      <w:tr w14:paraId="70CB8A2C">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175" w:hRule="atLeast"/>
          <w:tblHeader/>
          <w:jc w:val="center"/>
        </w:trPr>
        <w:tc>
          <w:tcPr>
            <w:tcW w:w="378" w:type="pct"/>
            <w:vAlign w:val="center"/>
          </w:tcPr>
          <w:p w14:paraId="0B8562EA">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629" w:type="pct"/>
            <w:vAlign w:val="center"/>
          </w:tcPr>
          <w:p w14:paraId="3208B46A">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环境要素</w:t>
            </w:r>
          </w:p>
        </w:tc>
        <w:tc>
          <w:tcPr>
            <w:tcW w:w="3991" w:type="pct"/>
            <w:vAlign w:val="center"/>
          </w:tcPr>
          <w:p w14:paraId="547E45E6">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环境功能区划</w:t>
            </w:r>
          </w:p>
        </w:tc>
      </w:tr>
      <w:tr w14:paraId="22F0929E">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378" w:type="pct"/>
            <w:vAlign w:val="center"/>
          </w:tcPr>
          <w:p w14:paraId="5A749473">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29" w:type="pct"/>
            <w:vAlign w:val="center"/>
          </w:tcPr>
          <w:p w14:paraId="3E7DF725">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3991" w:type="pct"/>
            <w:vAlign w:val="center"/>
          </w:tcPr>
          <w:p w14:paraId="1B3FFE92">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《环境空气质量标准》（GB3096-2012）中二类区</w:t>
            </w:r>
          </w:p>
        </w:tc>
      </w:tr>
      <w:tr w14:paraId="6C75CE78">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05" w:hRule="atLeast"/>
          <w:jc w:val="center"/>
        </w:trPr>
        <w:tc>
          <w:tcPr>
            <w:tcW w:w="378" w:type="pct"/>
            <w:vAlign w:val="center"/>
          </w:tcPr>
          <w:p w14:paraId="17477F82">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629" w:type="pct"/>
            <w:vAlign w:val="center"/>
          </w:tcPr>
          <w:p w14:paraId="423DA105">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3991" w:type="pct"/>
            <w:vAlign w:val="center"/>
          </w:tcPr>
          <w:p w14:paraId="2F4C41F5">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《声环境质量标准》（GB3096-2008）中的3类</w:t>
            </w:r>
            <w:r>
              <w:rPr>
                <w:rFonts w:hint="eastAsia" w:ascii="Times New Roman" w:hAnsi="Times New Roman" w:cs="Times New Roman"/>
                <w:color w:val="auto"/>
                <w:sz w:val="21"/>
                <w:szCs w:val="21"/>
                <w:highlight w:val="none"/>
                <w:lang w:val="en-US" w:eastAsia="zh-CN"/>
              </w:rPr>
              <w:t>区</w:t>
            </w:r>
          </w:p>
        </w:tc>
      </w:tr>
      <w:tr w14:paraId="7A48F48C">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378" w:type="pct"/>
            <w:vAlign w:val="center"/>
          </w:tcPr>
          <w:p w14:paraId="2FF42494">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629" w:type="pct"/>
            <w:vAlign w:val="center"/>
          </w:tcPr>
          <w:p w14:paraId="2ACD0588">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3991" w:type="pct"/>
            <w:vAlign w:val="center"/>
          </w:tcPr>
          <w:p w14:paraId="63C1F7CD">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《地下水质量标准》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GB/T14848-2017）中Ⅲ类</w:t>
            </w:r>
          </w:p>
        </w:tc>
      </w:tr>
      <w:tr w14:paraId="5CF14992">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378" w:type="pct"/>
            <w:vAlign w:val="center"/>
          </w:tcPr>
          <w:p w14:paraId="24BF06B1">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629" w:type="pct"/>
            <w:vAlign w:val="center"/>
          </w:tcPr>
          <w:p w14:paraId="4D041C1D">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w:t>
            </w:r>
          </w:p>
        </w:tc>
        <w:tc>
          <w:tcPr>
            <w:tcW w:w="3991" w:type="pct"/>
            <w:vAlign w:val="center"/>
          </w:tcPr>
          <w:p w14:paraId="5608D458">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《土壤环境质量 建设用地土壤污染风险管控标准（试行）》（GB36600-2018）第二类用地</w:t>
            </w:r>
          </w:p>
        </w:tc>
      </w:tr>
      <w:tr w14:paraId="443D643C">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378" w:type="pct"/>
            <w:vAlign w:val="center"/>
          </w:tcPr>
          <w:p w14:paraId="56D26925">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629" w:type="pct"/>
            <w:vAlign w:val="center"/>
          </w:tcPr>
          <w:p w14:paraId="278815F9">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3991" w:type="pct"/>
            <w:vAlign w:val="center"/>
          </w:tcPr>
          <w:p w14:paraId="340DF49B">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根据新疆生态功能区划简表，项目所在区域属于</w:t>
            </w:r>
            <w:r>
              <w:rPr>
                <w:rFonts w:hint="default" w:ascii="Times New Roman" w:hAnsi="Times New Roman" w:cs="Times New Roman"/>
                <w:color w:val="auto"/>
                <w:sz w:val="21"/>
                <w:szCs w:val="21"/>
                <w:highlight w:val="none"/>
              </w:rPr>
              <w:t>Ⅲ天山</w:t>
            </w:r>
            <w:r>
              <w:rPr>
                <w:rFonts w:hint="eastAsia" w:ascii="Times New Roman" w:hAnsi="Times New Roman" w:cs="Times New Roman"/>
                <w:color w:val="auto"/>
                <w:sz w:val="21"/>
                <w:szCs w:val="21"/>
                <w:highlight w:val="none"/>
                <w:lang w:val="en-US" w:eastAsia="zh-CN"/>
              </w:rPr>
              <w:t>山</w:t>
            </w:r>
            <w:r>
              <w:rPr>
                <w:rFonts w:hint="default" w:ascii="Times New Roman" w:hAnsi="Times New Roman" w:cs="Times New Roman"/>
                <w:color w:val="auto"/>
                <w:sz w:val="21"/>
                <w:szCs w:val="21"/>
                <w:highlight w:val="none"/>
              </w:rPr>
              <w:t>地温性草原、森林生态区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Ⅲ</w:t>
            </w:r>
            <w:r>
              <w:rPr>
                <w:rFonts w:hint="default" w:ascii="Times New Roman" w:hAnsi="Times New Roman" w:cs="Times New Roman"/>
                <w:color w:val="auto"/>
                <w:sz w:val="21"/>
                <w:szCs w:val="21"/>
                <w:highlight w:val="none"/>
                <w:vertAlign w:val="subscript"/>
              </w:rPr>
              <w:t>4</w:t>
            </w:r>
            <w:r>
              <w:rPr>
                <w:rFonts w:hint="default" w:ascii="Times New Roman" w:hAnsi="Times New Roman" w:cs="Times New Roman"/>
                <w:color w:val="auto"/>
                <w:sz w:val="21"/>
                <w:szCs w:val="21"/>
                <w:highlight w:val="none"/>
              </w:rPr>
              <w:t>天山南坡吐鲁番</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哈密盆地戈壁荒漠、绿洲农业生态亚区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51吐鲁番盆地绿洲外围防风固沙、油气开发生态功能区</w:t>
            </w:r>
          </w:p>
        </w:tc>
      </w:tr>
    </w:tbl>
    <w:p w14:paraId="4D9B2CA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2.4.1 环境质量标准</w:t>
      </w:r>
    </w:p>
    <w:p w14:paraId="4D1CF151">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（1）环境空气</w:t>
      </w:r>
    </w:p>
    <w:p w14:paraId="24D6D629">
      <w:pPr>
        <w:pStyle w:val="129"/>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textAlignment w:val="auto"/>
        <w:rPr>
          <w:rFonts w:hint="default"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评价区执行</w:t>
      </w:r>
      <w:r>
        <w:rPr>
          <w:rFonts w:hint="default" w:ascii="Times New Roman" w:hAnsi="Times New Roman" w:eastAsia="宋体" w:cs="Times New Roman"/>
          <w:color w:val="auto"/>
          <w:szCs w:val="24"/>
          <w:highlight w:val="none"/>
        </w:rPr>
        <w:t>SO</w:t>
      </w:r>
      <w:r>
        <w:rPr>
          <w:rFonts w:hint="default" w:ascii="Times New Roman" w:hAnsi="Times New Roman" w:eastAsia="宋体" w:cs="Times New Roman"/>
          <w:color w:val="auto"/>
          <w:szCs w:val="24"/>
          <w:highlight w:val="none"/>
          <w:vertAlign w:val="subscript"/>
        </w:rPr>
        <w:t>2</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NO</w:t>
      </w:r>
      <w:r>
        <w:rPr>
          <w:rFonts w:hint="default" w:ascii="Times New Roman" w:hAnsi="Times New Roman" w:eastAsia="宋体" w:cs="Times New Roman"/>
          <w:color w:val="auto"/>
          <w:szCs w:val="24"/>
          <w:highlight w:val="none"/>
          <w:vertAlign w:val="subscript"/>
        </w:rPr>
        <w:t>2</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PM</w:t>
      </w:r>
      <w:r>
        <w:rPr>
          <w:rFonts w:hint="default" w:ascii="Times New Roman" w:hAnsi="Times New Roman" w:eastAsia="宋体" w:cs="Times New Roman"/>
          <w:color w:val="auto"/>
          <w:szCs w:val="24"/>
          <w:highlight w:val="none"/>
          <w:vertAlign w:val="subscript"/>
        </w:rPr>
        <w:t>10</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PM</w:t>
      </w:r>
      <w:r>
        <w:rPr>
          <w:rFonts w:hint="default" w:ascii="Times New Roman" w:hAnsi="Times New Roman" w:eastAsia="宋体" w:cs="Times New Roman"/>
          <w:color w:val="auto"/>
          <w:szCs w:val="24"/>
          <w:highlight w:val="none"/>
          <w:vertAlign w:val="subscript"/>
        </w:rPr>
        <w:t>2.5</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CO、O</w:t>
      </w:r>
      <w:r>
        <w:rPr>
          <w:rFonts w:hint="default" w:ascii="Times New Roman" w:hAnsi="Times New Roman" w:eastAsia="宋体" w:cs="Times New Roman"/>
          <w:color w:val="auto"/>
          <w:szCs w:val="24"/>
          <w:highlight w:val="none"/>
          <w:vertAlign w:val="subscript"/>
        </w:rPr>
        <w:t>3</w:t>
      </w:r>
      <w:r>
        <w:rPr>
          <w:rFonts w:hint="default" w:ascii="Times New Roman" w:hAnsi="Times New Roman" w:eastAsia="宋体" w:cs="Times New Roman"/>
          <w:color w:val="auto"/>
          <w:szCs w:val="24"/>
          <w:highlight w:val="none"/>
          <w:vertAlign w:val="baseline"/>
          <w:lang w:val="en-US" w:eastAsia="zh-CN"/>
        </w:rPr>
        <w:t>及TSP</w:t>
      </w:r>
      <w:r>
        <w:rPr>
          <w:rFonts w:hint="default" w:ascii="Times New Roman" w:hAnsi="Times New Roman" w:eastAsia="宋体" w:cs="Times New Roman"/>
          <w:color w:val="auto"/>
          <w:szCs w:val="24"/>
          <w:highlight w:val="none"/>
        </w:rPr>
        <w:t>执行</w:t>
      </w:r>
      <w:r>
        <w:rPr>
          <w:rFonts w:hint="default" w:ascii="Times New Roman" w:hAnsi="Times New Roman" w:eastAsia="宋体" w:cs="Times New Roman"/>
          <w:color w:val="auto"/>
          <w:szCs w:val="24"/>
          <w:highlight w:val="none"/>
          <w:lang w:val="zh-CN"/>
        </w:rPr>
        <w:t>《环境空气质量标准》（GB3095-2012）中二级标准，硫酸雾参照《环境影响评价技术导则 大气环境》（HJ2.2-2018）附录D中的浓度限值。</w:t>
      </w:r>
      <w:r>
        <w:rPr>
          <w:rFonts w:hint="default" w:ascii="Times New Roman" w:hAnsi="Times New Roman" w:eastAsia="宋体" w:cs="Times New Roman"/>
          <w:color w:val="auto"/>
          <w:szCs w:val="24"/>
          <w:highlight w:val="none"/>
        </w:rPr>
        <w:t>本项目</w:t>
      </w:r>
      <w:r>
        <w:rPr>
          <w:rFonts w:hint="default" w:ascii="Times New Roman" w:hAnsi="Times New Roman" w:eastAsia="宋体" w:cs="Times New Roman"/>
          <w:color w:val="auto"/>
          <w:szCs w:val="24"/>
          <w:highlight w:val="none"/>
          <w:lang w:val="zh-CN"/>
        </w:rPr>
        <w:t>环境</w:t>
      </w:r>
      <w:r>
        <w:rPr>
          <w:rFonts w:hint="default" w:ascii="Times New Roman" w:hAnsi="Times New Roman" w:eastAsia="宋体" w:cs="Times New Roman"/>
          <w:color w:val="auto"/>
          <w:szCs w:val="24"/>
          <w:highlight w:val="none"/>
        </w:rPr>
        <w:t>空气质量标准执行情况</w:t>
      </w:r>
      <w:r>
        <w:rPr>
          <w:rFonts w:hint="default" w:ascii="Times New Roman" w:hAnsi="Times New Roman" w:eastAsia="宋体" w:cs="Times New Roman"/>
          <w:color w:val="auto"/>
          <w:szCs w:val="24"/>
          <w:highlight w:val="none"/>
          <w:lang w:val="zh-CN"/>
        </w:rPr>
        <w:t>见表</w:t>
      </w:r>
      <w:r>
        <w:rPr>
          <w:rFonts w:hint="default" w:ascii="Times New Roman" w:hAnsi="Times New Roman" w:eastAsia="宋体" w:cs="Times New Roman"/>
          <w:color w:val="auto"/>
          <w:szCs w:val="24"/>
          <w:highlight w:val="none"/>
          <w:lang w:val="en-US" w:eastAsia="zh-CN"/>
        </w:rPr>
        <w:t>2.4-2</w:t>
      </w:r>
      <w:r>
        <w:rPr>
          <w:rFonts w:hint="default" w:ascii="Times New Roman" w:hAnsi="Times New Roman" w:eastAsia="宋体" w:cs="Times New Roman"/>
          <w:color w:val="auto"/>
          <w:szCs w:val="24"/>
          <w:highlight w:val="none"/>
          <w:lang w:val="zh-CN"/>
        </w:rPr>
        <w:t>。</w:t>
      </w:r>
    </w:p>
    <w:p w14:paraId="370CF6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w:t>
      </w:r>
      <w:r>
        <w:rPr>
          <w:rFonts w:hint="default" w:ascii="Times New Roman" w:hAnsi="Times New Roman" w:cs="Times New Roman"/>
          <w:b/>
          <w:color w:val="auto"/>
          <w:sz w:val="21"/>
          <w:szCs w:val="21"/>
          <w:highlight w:val="none"/>
          <w:lang w:val="en-US" w:eastAsia="zh-CN"/>
        </w:rPr>
        <w:t>4-2</w:t>
      </w:r>
      <w:r>
        <w:rPr>
          <w:rFonts w:hint="default" w:ascii="Times New Roman" w:hAnsi="Times New Roman" w:cs="Times New Roman"/>
          <w:b/>
          <w:color w:val="auto"/>
          <w:sz w:val="21"/>
          <w:szCs w:val="21"/>
          <w:highlight w:val="none"/>
        </w:rPr>
        <w:t xml:space="preserve">    环境空气质量标准</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799"/>
        <w:gridCol w:w="722"/>
        <w:gridCol w:w="750"/>
        <w:gridCol w:w="2067"/>
        <w:gridCol w:w="1423"/>
      </w:tblGrid>
      <w:tr w14:paraId="6F4E4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60" w:type="pct"/>
            <w:vMerge w:val="restart"/>
            <w:tcBorders>
              <w:tl2br w:val="nil"/>
              <w:tr2bl w:val="nil"/>
            </w:tcBorders>
            <w:shd w:val="clear" w:color="auto" w:fill="auto"/>
            <w:vAlign w:val="center"/>
          </w:tcPr>
          <w:p w14:paraId="07225761">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环境要素</w:t>
            </w:r>
          </w:p>
        </w:tc>
        <w:tc>
          <w:tcPr>
            <w:tcW w:w="1564" w:type="pct"/>
            <w:vMerge w:val="restart"/>
            <w:tcBorders>
              <w:tl2br w:val="nil"/>
              <w:tr2bl w:val="nil"/>
            </w:tcBorders>
            <w:shd w:val="clear" w:color="auto" w:fill="auto"/>
            <w:vAlign w:val="center"/>
          </w:tcPr>
          <w:p w14:paraId="5A8BC25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标准名称及类别</w:t>
            </w:r>
          </w:p>
        </w:tc>
        <w:tc>
          <w:tcPr>
            <w:tcW w:w="403" w:type="pct"/>
            <w:vMerge w:val="restart"/>
            <w:tcBorders>
              <w:tl2br w:val="nil"/>
              <w:tr2bl w:val="nil"/>
            </w:tcBorders>
            <w:shd w:val="clear" w:color="auto" w:fill="auto"/>
            <w:vAlign w:val="center"/>
          </w:tcPr>
          <w:p w14:paraId="74DD5D9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2370" w:type="pct"/>
            <w:gridSpan w:val="3"/>
            <w:tcBorders>
              <w:tl2br w:val="nil"/>
              <w:tr2bl w:val="nil"/>
            </w:tcBorders>
            <w:shd w:val="clear" w:color="auto" w:fill="auto"/>
            <w:vAlign w:val="center"/>
          </w:tcPr>
          <w:p w14:paraId="4E49ADF1">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r>
      <w:tr w14:paraId="07426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60" w:type="pct"/>
            <w:vMerge w:val="continue"/>
            <w:tcBorders>
              <w:tl2br w:val="nil"/>
              <w:tr2bl w:val="nil"/>
            </w:tcBorders>
            <w:shd w:val="clear" w:color="auto" w:fill="auto"/>
            <w:vAlign w:val="center"/>
          </w:tcPr>
          <w:p w14:paraId="22D7F805">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p>
        </w:tc>
        <w:tc>
          <w:tcPr>
            <w:tcW w:w="1564" w:type="pct"/>
            <w:vMerge w:val="continue"/>
            <w:tcBorders>
              <w:tl2br w:val="nil"/>
              <w:tr2bl w:val="nil"/>
            </w:tcBorders>
            <w:vAlign w:val="center"/>
          </w:tcPr>
          <w:p w14:paraId="2306A87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403" w:type="pct"/>
            <w:vMerge w:val="continue"/>
            <w:tcBorders>
              <w:tl2br w:val="nil"/>
              <w:tr2bl w:val="nil"/>
            </w:tcBorders>
            <w:vAlign w:val="center"/>
          </w:tcPr>
          <w:p w14:paraId="61FB8DC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419" w:type="pct"/>
            <w:tcBorders>
              <w:tl2br w:val="nil"/>
              <w:tr2bl w:val="nil"/>
            </w:tcBorders>
            <w:shd w:val="clear" w:color="auto" w:fill="auto"/>
            <w:vAlign w:val="center"/>
          </w:tcPr>
          <w:p w14:paraId="1F40D04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1155" w:type="pct"/>
            <w:tcBorders>
              <w:tl2br w:val="nil"/>
              <w:tr2bl w:val="nil"/>
            </w:tcBorders>
            <w:shd w:val="clear" w:color="auto" w:fill="auto"/>
            <w:vAlign w:val="center"/>
          </w:tcPr>
          <w:p w14:paraId="5480ACD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取值周期</w:t>
            </w:r>
          </w:p>
        </w:tc>
        <w:tc>
          <w:tcPr>
            <w:tcW w:w="795" w:type="pct"/>
            <w:tcBorders>
              <w:tl2br w:val="nil"/>
              <w:tr2bl w:val="nil"/>
            </w:tcBorders>
            <w:shd w:val="clear" w:color="auto" w:fill="auto"/>
            <w:vAlign w:val="center"/>
          </w:tcPr>
          <w:p w14:paraId="2E762C4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标准数值</w:t>
            </w:r>
          </w:p>
        </w:tc>
      </w:tr>
      <w:tr w14:paraId="1CBE0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restart"/>
            <w:tcBorders>
              <w:tl2br w:val="nil"/>
              <w:tr2bl w:val="nil"/>
            </w:tcBorders>
            <w:vAlign w:val="center"/>
          </w:tcPr>
          <w:p w14:paraId="1803A909">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564" w:type="pct"/>
            <w:vMerge w:val="restart"/>
            <w:tcBorders>
              <w:tl2br w:val="nil"/>
              <w:tr2bl w:val="nil"/>
            </w:tcBorders>
            <w:shd w:val="clear" w:color="auto" w:fill="auto"/>
            <w:vAlign w:val="center"/>
          </w:tcPr>
          <w:p w14:paraId="01D415CB">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w:t>
            </w:r>
          </w:p>
          <w:p w14:paraId="3812D03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二级标准</w:t>
            </w:r>
          </w:p>
        </w:tc>
        <w:tc>
          <w:tcPr>
            <w:tcW w:w="403" w:type="pct"/>
            <w:vMerge w:val="restart"/>
            <w:tcBorders>
              <w:tl2br w:val="nil"/>
              <w:tr2bl w:val="nil"/>
            </w:tcBorders>
            <w:shd w:val="clear" w:color="auto" w:fill="auto"/>
            <w:vAlign w:val="center"/>
          </w:tcPr>
          <w:p w14:paraId="6B81EB43">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c>
          <w:tcPr>
            <w:tcW w:w="419" w:type="pct"/>
            <w:vMerge w:val="restart"/>
            <w:tcBorders>
              <w:tl2br w:val="nil"/>
              <w:tr2bl w:val="nil"/>
            </w:tcBorders>
            <w:shd w:val="clear" w:color="auto" w:fill="auto"/>
            <w:vAlign w:val="center"/>
          </w:tcPr>
          <w:p w14:paraId="4E1D968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4EFA879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083B77A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r>
      <w:tr w14:paraId="1C910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3238635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05361C1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00D70C0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3E2C428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1476C15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vAlign w:val="center"/>
          </w:tcPr>
          <w:p w14:paraId="62BA2CF4">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r>
      <w:tr w14:paraId="4FA74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2828097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5BB1458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shd w:val="clear" w:color="auto" w:fill="auto"/>
            <w:vAlign w:val="center"/>
          </w:tcPr>
          <w:p w14:paraId="30E172BE">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419" w:type="pct"/>
            <w:vMerge w:val="restart"/>
            <w:tcBorders>
              <w:tl2br w:val="nil"/>
              <w:tr2bl w:val="nil"/>
            </w:tcBorders>
            <w:shd w:val="clear" w:color="auto" w:fill="auto"/>
            <w:vAlign w:val="center"/>
          </w:tcPr>
          <w:p w14:paraId="26711553">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39BE0F49">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79C98D0B">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r>
      <w:tr w14:paraId="283DE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216CB8F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1D3F0C0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0C4F63E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3169DC5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16127F75">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vAlign w:val="center"/>
          </w:tcPr>
          <w:p w14:paraId="2DC534B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r>
      <w:tr w14:paraId="3F7E3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A07B56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3382824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vAlign w:val="center"/>
          </w:tcPr>
          <w:p w14:paraId="1D10481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419" w:type="pct"/>
            <w:vMerge w:val="restart"/>
            <w:tcBorders>
              <w:tl2br w:val="nil"/>
              <w:tr2bl w:val="nil"/>
            </w:tcBorders>
            <w:vAlign w:val="center"/>
          </w:tcPr>
          <w:p w14:paraId="6B28D133">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4DDA376A">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tcPr>
          <w:p w14:paraId="562C200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w:t>
            </w:r>
          </w:p>
        </w:tc>
      </w:tr>
      <w:tr w14:paraId="7F016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1793984">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7ACCB50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77769C3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7B6102F4">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170AF345">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tcPr>
          <w:p w14:paraId="239AB46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r>
      <w:tr w14:paraId="79C72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6C07D6D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7AD946E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shd w:val="clear" w:color="auto" w:fill="auto"/>
            <w:vAlign w:val="center"/>
          </w:tcPr>
          <w:p w14:paraId="5A57300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419" w:type="pct"/>
            <w:vMerge w:val="restart"/>
            <w:tcBorders>
              <w:tl2br w:val="nil"/>
              <w:tr2bl w:val="nil"/>
            </w:tcBorders>
            <w:shd w:val="clear" w:color="auto" w:fill="auto"/>
            <w:vAlign w:val="center"/>
          </w:tcPr>
          <w:p w14:paraId="73077FE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0170788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0799C049">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r>
      <w:tr w14:paraId="7D491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42B92EB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67BAC06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57B211A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223E243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32033A08">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6EF6776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r>
      <w:tr w14:paraId="03D77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13EB68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2502C70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504729C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6C9894A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39F2595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vAlign w:val="center"/>
          </w:tcPr>
          <w:p w14:paraId="1502803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r>
      <w:tr w14:paraId="4185B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2BD97A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7A1FB0B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shd w:val="clear" w:color="auto" w:fill="auto"/>
            <w:vAlign w:val="center"/>
          </w:tcPr>
          <w:p w14:paraId="42CB198C">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419" w:type="pct"/>
            <w:vMerge w:val="restart"/>
            <w:tcBorders>
              <w:tl2br w:val="nil"/>
              <w:tr2bl w:val="nil"/>
            </w:tcBorders>
            <w:shd w:val="clear" w:color="auto" w:fill="auto"/>
            <w:vAlign w:val="center"/>
          </w:tcPr>
          <w:p w14:paraId="1E1AEEAA">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77C5561E">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4A85E6B9">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r>
      <w:tr w14:paraId="46F1A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3BEEFD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540DB6F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5766CC1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5234162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3E213398">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525859E8">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r>
      <w:tr w14:paraId="58330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581668E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3158FB4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2350152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51A502D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295CD44C">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vAlign w:val="center"/>
          </w:tcPr>
          <w:p w14:paraId="2C4F7FCC">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14:paraId="0E77F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684E9DD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7174D7C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vAlign w:val="center"/>
          </w:tcPr>
          <w:p w14:paraId="21600B9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419" w:type="pct"/>
            <w:vMerge w:val="restart"/>
            <w:tcBorders>
              <w:tl2br w:val="nil"/>
              <w:tr2bl w:val="nil"/>
            </w:tcBorders>
            <w:vAlign w:val="center"/>
          </w:tcPr>
          <w:p w14:paraId="35B1215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1DB4F8D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167BFA1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r>
      <w:tr w14:paraId="51DEB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762AF3F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54EB239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5EB6BA7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4242740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729CFB7B">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21FD6826">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19A0E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05E5FD5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2F09E94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vAlign w:val="center"/>
          </w:tcPr>
          <w:p w14:paraId="0CEBE06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419" w:type="pct"/>
            <w:vMerge w:val="restart"/>
            <w:tcBorders>
              <w:tl2br w:val="nil"/>
              <w:tr2bl w:val="nil"/>
            </w:tcBorders>
            <w:vAlign w:val="center"/>
          </w:tcPr>
          <w:p w14:paraId="793CCF2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0508AF5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日最大8小时平均</w:t>
            </w:r>
          </w:p>
        </w:tc>
        <w:tc>
          <w:tcPr>
            <w:tcW w:w="795" w:type="pct"/>
            <w:tcBorders>
              <w:tl2br w:val="nil"/>
              <w:tr2bl w:val="nil"/>
            </w:tcBorders>
            <w:shd w:val="clear" w:color="auto" w:fill="auto"/>
            <w:vAlign w:val="center"/>
          </w:tcPr>
          <w:p w14:paraId="4CDDF05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r>
      <w:tr w14:paraId="5FA3E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6FAA3CF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0C8FE16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6FAEDE4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4854EF6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5A2BB8E1">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13DD0C98">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r>
      <w:tr w14:paraId="0D930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60" w:type="pct"/>
            <w:vMerge w:val="continue"/>
            <w:tcBorders>
              <w:tl2br w:val="nil"/>
              <w:tr2bl w:val="nil"/>
            </w:tcBorders>
            <w:vAlign w:val="center"/>
          </w:tcPr>
          <w:p w14:paraId="4BD9CB9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restart"/>
            <w:tcBorders>
              <w:tl2br w:val="nil"/>
              <w:tr2bl w:val="nil"/>
            </w:tcBorders>
            <w:shd w:val="clear" w:color="auto" w:fill="auto"/>
            <w:vAlign w:val="center"/>
          </w:tcPr>
          <w:p w14:paraId="2B1F737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《环境影响评价技术导则 大气环境》（HJ2.2-2018）附录D中</w:t>
            </w:r>
          </w:p>
        </w:tc>
        <w:tc>
          <w:tcPr>
            <w:tcW w:w="403" w:type="pct"/>
            <w:vMerge w:val="restart"/>
            <w:tcBorders>
              <w:tl2br w:val="nil"/>
              <w:tr2bl w:val="nil"/>
            </w:tcBorders>
            <w:shd w:val="clear" w:color="auto" w:fill="auto"/>
            <w:vAlign w:val="center"/>
          </w:tcPr>
          <w:p w14:paraId="67924A7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硫酸</w:t>
            </w:r>
          </w:p>
        </w:tc>
        <w:tc>
          <w:tcPr>
            <w:tcW w:w="419" w:type="pct"/>
            <w:vMerge w:val="restart"/>
            <w:tcBorders>
              <w:tl2br w:val="nil"/>
              <w:tr2bl w:val="nil"/>
            </w:tcBorders>
            <w:shd w:val="clear" w:color="auto" w:fill="auto"/>
            <w:vAlign w:val="center"/>
          </w:tcPr>
          <w:p w14:paraId="21EE433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7E4A8873">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3AB9AFF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14:paraId="46C1E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pct"/>
            <w:vMerge w:val="continue"/>
            <w:tcBorders>
              <w:tl2br w:val="nil"/>
              <w:tr2bl w:val="nil"/>
            </w:tcBorders>
            <w:vAlign w:val="center"/>
          </w:tcPr>
          <w:p w14:paraId="0F3FFB9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highlight w:val="none"/>
              </w:rPr>
            </w:pPr>
          </w:p>
        </w:tc>
        <w:tc>
          <w:tcPr>
            <w:tcW w:w="1564" w:type="pct"/>
            <w:vMerge w:val="continue"/>
            <w:tcBorders>
              <w:tl2br w:val="nil"/>
              <w:tr2bl w:val="nil"/>
            </w:tcBorders>
            <w:shd w:val="clear" w:color="auto" w:fill="auto"/>
            <w:vAlign w:val="center"/>
          </w:tcPr>
          <w:p w14:paraId="554E265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highlight w:val="none"/>
              </w:rPr>
            </w:pPr>
          </w:p>
        </w:tc>
        <w:tc>
          <w:tcPr>
            <w:tcW w:w="403" w:type="pct"/>
            <w:vMerge w:val="continue"/>
            <w:tcBorders>
              <w:tl2br w:val="nil"/>
              <w:tr2bl w:val="nil"/>
            </w:tcBorders>
            <w:shd w:val="clear" w:color="auto" w:fill="auto"/>
            <w:vAlign w:val="center"/>
          </w:tcPr>
          <w:p w14:paraId="1113E6C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highlight w:val="none"/>
              </w:rPr>
            </w:pPr>
          </w:p>
        </w:tc>
        <w:tc>
          <w:tcPr>
            <w:tcW w:w="419" w:type="pct"/>
            <w:vMerge w:val="continue"/>
            <w:tcBorders>
              <w:tl2br w:val="nil"/>
              <w:tr2bl w:val="nil"/>
            </w:tcBorders>
            <w:shd w:val="clear" w:color="auto" w:fill="auto"/>
            <w:vAlign w:val="center"/>
          </w:tcPr>
          <w:p w14:paraId="4CBD36C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highlight w:val="none"/>
              </w:rPr>
            </w:pPr>
          </w:p>
        </w:tc>
        <w:tc>
          <w:tcPr>
            <w:tcW w:w="1155" w:type="pct"/>
            <w:tcBorders>
              <w:tl2br w:val="nil"/>
              <w:tr2bl w:val="nil"/>
            </w:tcBorders>
            <w:shd w:val="clear" w:color="auto" w:fill="auto"/>
            <w:vAlign w:val="center"/>
          </w:tcPr>
          <w:p w14:paraId="677E6185">
            <w:pPr>
              <w:pStyle w:val="230"/>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4CD55CD0">
            <w:pPr>
              <w:pStyle w:val="230"/>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r>
    </w:tbl>
    <w:p w14:paraId="07BDB592">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（2）声环境</w:t>
      </w:r>
    </w:p>
    <w:p w14:paraId="2A95936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声环境质量执行《声环境质量标准》（GB3096-2008）中的3类区噪声限值，见表2.4-3。</w:t>
      </w:r>
    </w:p>
    <w:p w14:paraId="568A32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表2.4-3  声环境质量标准（摘录）     单位：dB（A）</w:t>
      </w:r>
    </w:p>
    <w:tbl>
      <w:tblPr>
        <w:tblStyle w:val="34"/>
        <w:tblW w:w="89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5502"/>
        <w:gridCol w:w="1382"/>
        <w:gridCol w:w="1287"/>
      </w:tblGrid>
      <w:tr w14:paraId="009FE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dxa"/>
            <w:tcBorders>
              <w:tl2br w:val="nil"/>
              <w:tr2bl w:val="nil"/>
            </w:tcBorders>
            <w:vAlign w:val="center"/>
          </w:tcPr>
          <w:p w14:paraId="451B7F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类别</w:t>
            </w:r>
          </w:p>
        </w:tc>
        <w:tc>
          <w:tcPr>
            <w:tcW w:w="5502" w:type="dxa"/>
            <w:tcBorders>
              <w:tl2br w:val="nil"/>
              <w:tr2bl w:val="nil"/>
            </w:tcBorders>
            <w:vAlign w:val="center"/>
          </w:tcPr>
          <w:p w14:paraId="0326568C">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适用区域</w:t>
            </w:r>
          </w:p>
        </w:tc>
        <w:tc>
          <w:tcPr>
            <w:tcW w:w="1382" w:type="dxa"/>
            <w:tcBorders>
              <w:tl2br w:val="nil"/>
              <w:tr2bl w:val="nil"/>
            </w:tcBorders>
            <w:vAlign w:val="center"/>
          </w:tcPr>
          <w:p w14:paraId="7C19DCEB">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昼间标准值</w:t>
            </w:r>
          </w:p>
        </w:tc>
        <w:tc>
          <w:tcPr>
            <w:tcW w:w="1287" w:type="dxa"/>
            <w:tcBorders>
              <w:tl2br w:val="nil"/>
              <w:tr2bl w:val="nil"/>
            </w:tcBorders>
            <w:vAlign w:val="center"/>
          </w:tcPr>
          <w:p w14:paraId="0FA9E996">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夜间标准值</w:t>
            </w:r>
          </w:p>
        </w:tc>
      </w:tr>
      <w:tr w14:paraId="12A0B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dxa"/>
            <w:tcBorders>
              <w:tl2br w:val="nil"/>
              <w:tr2bl w:val="nil"/>
            </w:tcBorders>
            <w:vAlign w:val="center"/>
          </w:tcPr>
          <w:p w14:paraId="1FA08169">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3类</w:t>
            </w:r>
          </w:p>
        </w:tc>
        <w:tc>
          <w:tcPr>
            <w:tcW w:w="5502" w:type="dxa"/>
            <w:tcBorders>
              <w:tl2br w:val="nil"/>
              <w:tr2bl w:val="nil"/>
            </w:tcBorders>
            <w:vAlign w:val="center"/>
          </w:tcPr>
          <w:p w14:paraId="56A0AD5F">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以工业生产、仓储物流为主要功能，需要防止工业噪声对周围环境产生严重影响的区域</w:t>
            </w:r>
          </w:p>
        </w:tc>
        <w:tc>
          <w:tcPr>
            <w:tcW w:w="1382" w:type="dxa"/>
            <w:tcBorders>
              <w:tl2br w:val="nil"/>
              <w:tr2bl w:val="nil"/>
            </w:tcBorders>
            <w:vAlign w:val="center"/>
          </w:tcPr>
          <w:p w14:paraId="0A4AF7C7">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1287" w:type="dxa"/>
            <w:tcBorders>
              <w:tl2br w:val="nil"/>
              <w:tr2bl w:val="nil"/>
            </w:tcBorders>
            <w:vAlign w:val="center"/>
          </w:tcPr>
          <w:p w14:paraId="76E9F9A4">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bl>
    <w:p w14:paraId="3022415D">
      <w:pPr>
        <w:pageBreakBefore w:val="0"/>
        <w:wordWrap/>
        <w:topLinePunct w:val="0"/>
        <w:bidi w:val="0"/>
        <w:adjustRightInd w:val="0"/>
        <w:snapToGrid w:val="0"/>
        <w:spacing w:line="440" w:lineRule="exact"/>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（3）地下水环境</w:t>
      </w:r>
    </w:p>
    <w:p w14:paraId="131FEA4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项目所在区域地下水环境执行《地下水质量标准》（GB/T14848-2017）中Ⅲ类水质标准，</w:t>
      </w:r>
      <w:r>
        <w:rPr>
          <w:rFonts w:hint="default" w:ascii="Times New Roman" w:hAnsi="Times New Roman" w:cs="Times New Roman"/>
          <w:color w:val="auto"/>
          <w:highlight w:val="none"/>
          <w:lang w:val="zh-CN"/>
        </w:rPr>
        <w:t>石油类参照《地表水环境质量标准》（GB3838-2002）</w:t>
      </w:r>
      <w:r>
        <w:rPr>
          <w:rFonts w:hint="default" w:ascii="Times New Roman" w:hAnsi="Times New Roman" w:cs="Times New Roman"/>
          <w:color w:val="auto"/>
          <w:highlight w:val="none"/>
        </w:rPr>
        <w:t>Ⅲ</w:t>
      </w:r>
      <w:r>
        <w:rPr>
          <w:rFonts w:hint="default" w:ascii="Times New Roman" w:hAnsi="Times New Roman" w:cs="Times New Roman"/>
          <w:color w:val="auto"/>
          <w:highlight w:val="none"/>
          <w:lang w:val="zh-CN"/>
        </w:rPr>
        <w:t>类标准执行。</w:t>
      </w:r>
      <w:r>
        <w:rPr>
          <w:rFonts w:hint="default" w:ascii="Times New Roman" w:hAnsi="Times New Roman" w:cs="Times New Roman"/>
          <w:color w:val="auto"/>
          <w:highlight w:val="none"/>
        </w:rPr>
        <w:t>具体限值见表2.4-4。</w:t>
      </w:r>
    </w:p>
    <w:p w14:paraId="468556EC">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表2.4-4   地下水质量标准限值</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547"/>
        <w:gridCol w:w="1730"/>
        <w:gridCol w:w="778"/>
        <w:gridCol w:w="1864"/>
        <w:gridCol w:w="1358"/>
      </w:tblGrid>
      <w:tr w14:paraId="406E7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372" w:type="pct"/>
            <w:tcBorders>
              <w:tl2br w:val="nil"/>
              <w:tr2bl w:val="nil"/>
            </w:tcBorders>
            <w:vAlign w:val="center"/>
          </w:tcPr>
          <w:p w14:paraId="01AAF0F4">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424" w:type="pct"/>
            <w:tcBorders>
              <w:tl2br w:val="nil"/>
              <w:tr2bl w:val="nil"/>
            </w:tcBorders>
            <w:vAlign w:val="center"/>
          </w:tcPr>
          <w:p w14:paraId="6C20A82D">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指标</w:t>
            </w:r>
          </w:p>
        </w:tc>
        <w:tc>
          <w:tcPr>
            <w:tcW w:w="967" w:type="pct"/>
            <w:tcBorders>
              <w:tl2br w:val="nil"/>
              <w:tr2bl w:val="nil"/>
            </w:tcBorders>
            <w:noWrap/>
            <w:vAlign w:val="center"/>
          </w:tcPr>
          <w:p w14:paraId="1E08DA54">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w:t>
            </w:r>
          </w:p>
        </w:tc>
        <w:tc>
          <w:tcPr>
            <w:tcW w:w="434" w:type="pct"/>
            <w:tcBorders>
              <w:tl2br w:val="nil"/>
              <w:tr2bl w:val="nil"/>
            </w:tcBorders>
            <w:noWrap/>
            <w:vAlign w:val="center"/>
          </w:tcPr>
          <w:p w14:paraId="3ACDACA6">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序号</w:t>
            </w:r>
          </w:p>
        </w:tc>
        <w:tc>
          <w:tcPr>
            <w:tcW w:w="1042" w:type="pct"/>
            <w:tcBorders>
              <w:tl2br w:val="nil"/>
              <w:tr2bl w:val="nil"/>
            </w:tcBorders>
            <w:noWrap/>
            <w:vAlign w:val="center"/>
          </w:tcPr>
          <w:p w14:paraId="1E8883CA">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指标</w:t>
            </w:r>
          </w:p>
        </w:tc>
        <w:tc>
          <w:tcPr>
            <w:tcW w:w="759" w:type="pct"/>
            <w:tcBorders>
              <w:tl2br w:val="nil"/>
              <w:tr2bl w:val="nil"/>
            </w:tcBorders>
            <w:noWrap/>
            <w:vAlign w:val="center"/>
          </w:tcPr>
          <w:p w14:paraId="0D6FCB6D">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Ⅲ类</w:t>
            </w:r>
          </w:p>
        </w:tc>
      </w:tr>
      <w:tr w14:paraId="554AB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7E7E3826">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24" w:type="pct"/>
            <w:tcBorders>
              <w:tl2br w:val="nil"/>
              <w:tr2bl w:val="nil"/>
            </w:tcBorders>
            <w:vAlign w:val="center"/>
          </w:tcPr>
          <w:p w14:paraId="13A61240">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pH</w:t>
            </w:r>
            <w:r>
              <w:rPr>
                <w:rFonts w:hint="default" w:ascii="Times New Roman" w:hAnsi="Times New Roman" w:eastAsia="宋体" w:cs="Times New Roman"/>
                <w:bCs/>
                <w:color w:val="auto"/>
                <w:kern w:val="0"/>
                <w:sz w:val="21"/>
                <w:szCs w:val="21"/>
                <w:highlight w:val="none"/>
                <w:lang w:eastAsia="zh-CN"/>
              </w:rPr>
              <w:t>值</w:t>
            </w:r>
          </w:p>
        </w:tc>
        <w:tc>
          <w:tcPr>
            <w:tcW w:w="967" w:type="pct"/>
            <w:tcBorders>
              <w:tl2br w:val="nil"/>
              <w:tr2bl w:val="nil"/>
            </w:tcBorders>
            <w:noWrap/>
            <w:vAlign w:val="center"/>
          </w:tcPr>
          <w:p w14:paraId="48F86A9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6.5≤</w:t>
            </w:r>
            <w:r>
              <w:rPr>
                <w:rFonts w:hint="default" w:ascii="Times New Roman" w:hAnsi="Times New Roman" w:eastAsia="宋体" w:cs="Times New Roman"/>
                <w:bCs/>
                <w:color w:val="auto"/>
                <w:kern w:val="0"/>
                <w:sz w:val="21"/>
                <w:szCs w:val="21"/>
                <w:highlight w:val="none"/>
              </w:rPr>
              <w:t>pH≤</w:t>
            </w:r>
            <w:r>
              <w:rPr>
                <w:rFonts w:hint="default" w:ascii="Times New Roman" w:hAnsi="Times New Roman" w:eastAsia="宋体" w:cs="Times New Roman"/>
                <w:color w:val="auto"/>
                <w:sz w:val="21"/>
                <w:szCs w:val="21"/>
                <w:highlight w:val="none"/>
                <w:lang w:val="en-US" w:eastAsia="zh-CN"/>
              </w:rPr>
              <w:t>8.5</w:t>
            </w:r>
          </w:p>
        </w:tc>
        <w:tc>
          <w:tcPr>
            <w:tcW w:w="434" w:type="pct"/>
            <w:tcBorders>
              <w:tl2br w:val="nil"/>
              <w:tr2bl w:val="nil"/>
            </w:tcBorders>
            <w:shd w:val="clear" w:color="auto" w:fill="auto"/>
            <w:noWrap/>
            <w:vAlign w:val="top"/>
          </w:tcPr>
          <w:p w14:paraId="27CB5E19">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19</w:t>
            </w:r>
          </w:p>
        </w:tc>
        <w:tc>
          <w:tcPr>
            <w:tcW w:w="1042" w:type="pct"/>
            <w:tcBorders>
              <w:tl2br w:val="nil"/>
              <w:tr2bl w:val="nil"/>
            </w:tcBorders>
            <w:noWrap/>
            <w:vAlign w:val="center"/>
          </w:tcPr>
          <w:p w14:paraId="48247515">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eastAsia="zh-CN"/>
              </w:rPr>
              <w:t>镉</w:t>
            </w:r>
          </w:p>
        </w:tc>
        <w:tc>
          <w:tcPr>
            <w:tcW w:w="759" w:type="pct"/>
            <w:tcBorders>
              <w:tl2br w:val="nil"/>
              <w:tr2bl w:val="nil"/>
            </w:tcBorders>
            <w:noWrap/>
            <w:vAlign w:val="center"/>
          </w:tcPr>
          <w:p w14:paraId="60C9D6F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≤0.005</w:t>
            </w:r>
            <w:r>
              <w:rPr>
                <w:rFonts w:hint="default" w:ascii="Times New Roman" w:hAnsi="Times New Roman" w:eastAsia="宋体" w:cs="Times New Roman"/>
                <w:color w:val="auto"/>
                <w:sz w:val="21"/>
                <w:szCs w:val="21"/>
                <w:highlight w:val="none"/>
              </w:rPr>
              <w:t>mg/L</w:t>
            </w:r>
          </w:p>
        </w:tc>
      </w:tr>
      <w:tr w14:paraId="596FE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72" w:type="pct"/>
            <w:tcBorders>
              <w:tl2br w:val="nil"/>
              <w:tr2bl w:val="nil"/>
            </w:tcBorders>
          </w:tcPr>
          <w:p w14:paraId="51E96D0D">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24" w:type="pct"/>
            <w:tcBorders>
              <w:tl2br w:val="nil"/>
              <w:tr2bl w:val="nil"/>
            </w:tcBorders>
            <w:vAlign w:val="center"/>
          </w:tcPr>
          <w:p w14:paraId="7B74CDB5">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lang w:val="en-US" w:eastAsia="zh-CN" w:bidi="ar-SA"/>
              </w:rPr>
              <w:t>硫化物</w:t>
            </w:r>
          </w:p>
        </w:tc>
        <w:tc>
          <w:tcPr>
            <w:tcW w:w="967" w:type="pct"/>
            <w:tcBorders>
              <w:tl2br w:val="nil"/>
              <w:tr2bl w:val="nil"/>
            </w:tcBorders>
            <w:noWrap/>
            <w:vAlign w:val="center"/>
          </w:tcPr>
          <w:p w14:paraId="4690367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2502863A">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0</w:t>
            </w:r>
          </w:p>
        </w:tc>
        <w:tc>
          <w:tcPr>
            <w:tcW w:w="1042" w:type="pct"/>
            <w:tcBorders>
              <w:tl2br w:val="nil"/>
              <w:tr2bl w:val="nil"/>
            </w:tcBorders>
            <w:noWrap/>
            <w:vAlign w:val="center"/>
          </w:tcPr>
          <w:p w14:paraId="75EB9D8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碳酸根离子</w:t>
            </w:r>
          </w:p>
        </w:tc>
        <w:tc>
          <w:tcPr>
            <w:tcW w:w="759" w:type="pct"/>
            <w:tcBorders>
              <w:tl2br w:val="nil"/>
              <w:tr2bl w:val="nil"/>
            </w:tcBorders>
            <w:noWrap/>
            <w:vAlign w:val="center"/>
          </w:tcPr>
          <w:p w14:paraId="6400E99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634BD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376407BB">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24" w:type="pct"/>
            <w:tcBorders>
              <w:tl2br w:val="nil"/>
              <w:tr2bl w:val="nil"/>
            </w:tcBorders>
            <w:vAlign w:val="center"/>
          </w:tcPr>
          <w:p w14:paraId="33DFD814">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总硬度</w:t>
            </w:r>
          </w:p>
        </w:tc>
        <w:tc>
          <w:tcPr>
            <w:tcW w:w="967" w:type="pct"/>
            <w:tcBorders>
              <w:tl2br w:val="nil"/>
              <w:tr2bl w:val="nil"/>
            </w:tcBorders>
            <w:noWrap/>
            <w:vAlign w:val="center"/>
          </w:tcPr>
          <w:p w14:paraId="1DEF1193">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≤450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33915D3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p>
        </w:tc>
        <w:tc>
          <w:tcPr>
            <w:tcW w:w="1042" w:type="pct"/>
            <w:tcBorders>
              <w:tl2br w:val="nil"/>
              <w:tr2bl w:val="nil"/>
            </w:tcBorders>
            <w:noWrap/>
            <w:vAlign w:val="center"/>
          </w:tcPr>
          <w:p w14:paraId="1A6C9139">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碳酸氢根离子</w:t>
            </w:r>
          </w:p>
        </w:tc>
        <w:tc>
          <w:tcPr>
            <w:tcW w:w="759" w:type="pct"/>
            <w:tcBorders>
              <w:tl2br w:val="nil"/>
              <w:tr2bl w:val="nil"/>
            </w:tcBorders>
            <w:noWrap/>
            <w:vAlign w:val="center"/>
          </w:tcPr>
          <w:p w14:paraId="1EB37325">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73928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tcBorders>
              <w:tl2br w:val="nil"/>
              <w:tr2bl w:val="nil"/>
            </w:tcBorders>
          </w:tcPr>
          <w:p w14:paraId="34D29695">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424" w:type="pct"/>
            <w:tcBorders>
              <w:tl2br w:val="nil"/>
              <w:tr2bl w:val="nil"/>
            </w:tcBorders>
            <w:vAlign w:val="center"/>
          </w:tcPr>
          <w:p w14:paraId="0A84FB2B">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耗氧量（</w:t>
            </w:r>
            <w:r>
              <w:rPr>
                <w:rFonts w:hint="default" w:ascii="Times New Roman" w:hAnsi="Times New Roman" w:eastAsia="宋体" w:cs="Times New Roman"/>
                <w:color w:val="auto"/>
                <w:kern w:val="2"/>
                <w:sz w:val="21"/>
                <w:szCs w:val="21"/>
                <w:highlight w:val="none"/>
                <w:lang w:val="en-US" w:eastAsia="zh-CN" w:bidi="ar-SA"/>
              </w:rPr>
              <w:t>高锰酸盐指数</w:t>
            </w:r>
            <w:r>
              <w:rPr>
                <w:rFonts w:hint="default" w:ascii="Times New Roman" w:hAnsi="Times New Roman" w:eastAsia="宋体" w:cs="Times New Roman"/>
                <w:color w:val="auto"/>
                <w:sz w:val="21"/>
                <w:szCs w:val="21"/>
                <w:highlight w:val="none"/>
                <w:lang w:val="en-US" w:eastAsia="zh-CN"/>
              </w:rPr>
              <w:t>）</w:t>
            </w:r>
          </w:p>
        </w:tc>
        <w:tc>
          <w:tcPr>
            <w:tcW w:w="967" w:type="pct"/>
            <w:tcBorders>
              <w:tl2br w:val="nil"/>
              <w:tr2bl w:val="nil"/>
            </w:tcBorders>
            <w:noWrap/>
            <w:vAlign w:val="center"/>
          </w:tcPr>
          <w:p w14:paraId="55D841A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338E7CA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2</w:t>
            </w:r>
          </w:p>
        </w:tc>
        <w:tc>
          <w:tcPr>
            <w:tcW w:w="1042" w:type="pct"/>
            <w:tcBorders>
              <w:tl2br w:val="nil"/>
              <w:tr2bl w:val="nil"/>
            </w:tcBorders>
            <w:noWrap/>
            <w:vAlign w:val="center"/>
          </w:tcPr>
          <w:p w14:paraId="662355F8">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bidi="ar"/>
              </w:rPr>
              <w:t>钾</w:t>
            </w:r>
            <w:r>
              <w:rPr>
                <w:rFonts w:hint="default" w:ascii="Times New Roman" w:hAnsi="Times New Roman" w:eastAsia="宋体" w:cs="Times New Roman"/>
                <w:bCs/>
                <w:color w:val="auto"/>
                <w:kern w:val="0"/>
                <w:sz w:val="21"/>
                <w:szCs w:val="21"/>
                <w:highlight w:val="none"/>
                <w:lang w:eastAsia="zh-CN"/>
              </w:rPr>
              <w:t>离子</w:t>
            </w:r>
          </w:p>
        </w:tc>
        <w:tc>
          <w:tcPr>
            <w:tcW w:w="759" w:type="pct"/>
            <w:tcBorders>
              <w:tl2br w:val="nil"/>
              <w:tr2bl w:val="nil"/>
            </w:tcBorders>
            <w:noWrap/>
            <w:vAlign w:val="center"/>
          </w:tcPr>
          <w:p w14:paraId="636AA1D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03292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68818DEA">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424" w:type="pct"/>
            <w:tcBorders>
              <w:tl2br w:val="nil"/>
              <w:tr2bl w:val="nil"/>
            </w:tcBorders>
            <w:vAlign w:val="center"/>
          </w:tcPr>
          <w:p w14:paraId="28D9FCE8">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总磷</w:t>
            </w:r>
          </w:p>
        </w:tc>
        <w:tc>
          <w:tcPr>
            <w:tcW w:w="967" w:type="pct"/>
            <w:tcBorders>
              <w:tl2br w:val="nil"/>
              <w:tr2bl w:val="nil"/>
            </w:tcBorders>
            <w:noWrap/>
            <w:vAlign w:val="center"/>
          </w:tcPr>
          <w:p w14:paraId="38342C04">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w:t>
            </w:r>
          </w:p>
        </w:tc>
        <w:tc>
          <w:tcPr>
            <w:tcW w:w="434" w:type="pct"/>
            <w:tcBorders>
              <w:tl2br w:val="nil"/>
              <w:tr2bl w:val="nil"/>
            </w:tcBorders>
            <w:shd w:val="clear" w:color="auto" w:fill="auto"/>
            <w:noWrap/>
            <w:vAlign w:val="top"/>
          </w:tcPr>
          <w:p w14:paraId="74FFE44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w:t>
            </w:r>
          </w:p>
        </w:tc>
        <w:tc>
          <w:tcPr>
            <w:tcW w:w="1042" w:type="pct"/>
            <w:tcBorders>
              <w:tl2br w:val="nil"/>
              <w:tr2bl w:val="nil"/>
            </w:tcBorders>
            <w:noWrap/>
            <w:vAlign w:val="center"/>
          </w:tcPr>
          <w:p w14:paraId="326E4FBF">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bidi="ar"/>
              </w:rPr>
              <w:t>钙</w:t>
            </w:r>
            <w:r>
              <w:rPr>
                <w:rFonts w:hint="default" w:ascii="Times New Roman" w:hAnsi="Times New Roman" w:eastAsia="宋体" w:cs="Times New Roman"/>
                <w:bCs/>
                <w:color w:val="auto"/>
                <w:kern w:val="0"/>
                <w:sz w:val="21"/>
                <w:szCs w:val="21"/>
                <w:highlight w:val="none"/>
                <w:lang w:eastAsia="zh-CN"/>
              </w:rPr>
              <w:t>离子</w:t>
            </w:r>
          </w:p>
        </w:tc>
        <w:tc>
          <w:tcPr>
            <w:tcW w:w="759" w:type="pct"/>
            <w:tcBorders>
              <w:tl2br w:val="nil"/>
              <w:tr2bl w:val="nil"/>
            </w:tcBorders>
            <w:noWrap/>
            <w:vAlign w:val="center"/>
          </w:tcPr>
          <w:p w14:paraId="46761936">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5A441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6573259A">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424" w:type="pct"/>
            <w:tcBorders>
              <w:tl2br w:val="nil"/>
              <w:tr2bl w:val="nil"/>
            </w:tcBorders>
            <w:vAlign w:val="center"/>
          </w:tcPr>
          <w:p w14:paraId="0ECDEFD7">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溶解性总固体</w:t>
            </w:r>
          </w:p>
        </w:tc>
        <w:tc>
          <w:tcPr>
            <w:tcW w:w="967" w:type="pct"/>
            <w:tcBorders>
              <w:tl2br w:val="nil"/>
              <w:tr2bl w:val="nil"/>
            </w:tcBorders>
            <w:noWrap/>
            <w:vAlign w:val="center"/>
          </w:tcPr>
          <w:p w14:paraId="06E005D6">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04AEFDFE">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4</w:t>
            </w:r>
          </w:p>
        </w:tc>
        <w:tc>
          <w:tcPr>
            <w:tcW w:w="1042" w:type="pct"/>
            <w:tcBorders>
              <w:tl2br w:val="nil"/>
              <w:tr2bl w:val="nil"/>
            </w:tcBorders>
            <w:noWrap/>
            <w:vAlign w:val="center"/>
          </w:tcPr>
          <w:p w14:paraId="159C1A7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bidi="ar"/>
              </w:rPr>
              <w:t>镁</w:t>
            </w:r>
            <w:r>
              <w:rPr>
                <w:rFonts w:hint="default" w:ascii="Times New Roman" w:hAnsi="Times New Roman" w:eastAsia="宋体" w:cs="Times New Roman"/>
                <w:bCs/>
                <w:color w:val="auto"/>
                <w:kern w:val="0"/>
                <w:sz w:val="21"/>
                <w:szCs w:val="21"/>
                <w:highlight w:val="none"/>
                <w:lang w:eastAsia="zh-CN"/>
              </w:rPr>
              <w:t>离子</w:t>
            </w:r>
          </w:p>
        </w:tc>
        <w:tc>
          <w:tcPr>
            <w:tcW w:w="759" w:type="pct"/>
            <w:tcBorders>
              <w:tl2br w:val="nil"/>
              <w:tr2bl w:val="nil"/>
            </w:tcBorders>
            <w:noWrap/>
            <w:vAlign w:val="center"/>
          </w:tcPr>
          <w:p w14:paraId="35FDB27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233C3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31A9A9E6">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424" w:type="pct"/>
            <w:tcBorders>
              <w:tl2br w:val="nil"/>
              <w:tr2bl w:val="nil"/>
            </w:tcBorders>
            <w:shd w:val="clear" w:color="auto" w:fill="auto"/>
            <w:vAlign w:val="center"/>
          </w:tcPr>
          <w:p w14:paraId="092AD1A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阴离子表面活性剂</w:t>
            </w:r>
          </w:p>
        </w:tc>
        <w:tc>
          <w:tcPr>
            <w:tcW w:w="967" w:type="pct"/>
            <w:tcBorders>
              <w:tl2br w:val="nil"/>
              <w:tr2bl w:val="nil"/>
            </w:tcBorders>
            <w:shd w:val="clear" w:color="auto" w:fill="auto"/>
            <w:noWrap/>
            <w:vAlign w:val="center"/>
          </w:tcPr>
          <w:p w14:paraId="2A44C2C0">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4A29622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5</w:t>
            </w:r>
          </w:p>
        </w:tc>
        <w:tc>
          <w:tcPr>
            <w:tcW w:w="1042" w:type="pct"/>
            <w:tcBorders>
              <w:tl2br w:val="nil"/>
              <w:tr2bl w:val="nil"/>
            </w:tcBorders>
            <w:noWrap/>
            <w:vAlign w:val="center"/>
          </w:tcPr>
          <w:p w14:paraId="55B192F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bidi="ar"/>
              </w:rPr>
              <w:t>钠</w:t>
            </w:r>
            <w:r>
              <w:rPr>
                <w:rFonts w:hint="default" w:ascii="Times New Roman" w:hAnsi="Times New Roman" w:eastAsia="宋体" w:cs="Times New Roman"/>
                <w:bCs/>
                <w:color w:val="auto"/>
                <w:kern w:val="0"/>
                <w:sz w:val="21"/>
                <w:szCs w:val="21"/>
                <w:highlight w:val="none"/>
                <w:lang w:eastAsia="zh-CN"/>
              </w:rPr>
              <w:t>离子</w:t>
            </w:r>
          </w:p>
        </w:tc>
        <w:tc>
          <w:tcPr>
            <w:tcW w:w="759" w:type="pct"/>
            <w:tcBorders>
              <w:tl2br w:val="nil"/>
              <w:tr2bl w:val="nil"/>
            </w:tcBorders>
            <w:noWrap/>
            <w:vAlign w:val="center"/>
          </w:tcPr>
          <w:p w14:paraId="4B90E70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w:t>
            </w:r>
          </w:p>
        </w:tc>
      </w:tr>
      <w:tr w14:paraId="1A431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0D2F32B0">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424" w:type="pct"/>
            <w:tcBorders>
              <w:tl2br w:val="nil"/>
              <w:tr2bl w:val="nil"/>
            </w:tcBorders>
            <w:vAlign w:val="center"/>
          </w:tcPr>
          <w:p w14:paraId="426D0EE7">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氨氮</w:t>
            </w:r>
          </w:p>
        </w:tc>
        <w:tc>
          <w:tcPr>
            <w:tcW w:w="967" w:type="pct"/>
            <w:tcBorders>
              <w:tl2br w:val="nil"/>
              <w:tr2bl w:val="nil"/>
            </w:tcBorders>
            <w:noWrap/>
            <w:vAlign w:val="center"/>
          </w:tcPr>
          <w:p w14:paraId="7F3B1C1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≤0.50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2AF7175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042" w:type="pct"/>
            <w:tcBorders>
              <w:tl2br w:val="nil"/>
              <w:tr2bl w:val="nil"/>
            </w:tcBorders>
            <w:noWrap/>
            <w:vAlign w:val="center"/>
          </w:tcPr>
          <w:p w14:paraId="5C831A03">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氯</w:t>
            </w:r>
            <w:r>
              <w:rPr>
                <w:rFonts w:hint="eastAsia" w:cs="Times New Roman"/>
                <w:color w:val="auto"/>
                <w:sz w:val="21"/>
                <w:szCs w:val="21"/>
                <w:highlight w:val="none"/>
                <w:lang w:val="en-US" w:eastAsia="zh-CN"/>
              </w:rPr>
              <w:t>化物</w:t>
            </w:r>
          </w:p>
        </w:tc>
        <w:tc>
          <w:tcPr>
            <w:tcW w:w="759" w:type="pct"/>
            <w:tcBorders>
              <w:tl2br w:val="nil"/>
              <w:tr2bl w:val="nil"/>
            </w:tcBorders>
            <w:noWrap/>
            <w:vAlign w:val="center"/>
          </w:tcPr>
          <w:p w14:paraId="64BFA0F3">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rPr>
              <w:t>mg/L</w:t>
            </w:r>
          </w:p>
        </w:tc>
      </w:tr>
      <w:tr w14:paraId="112EC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30464BD8">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424" w:type="pct"/>
            <w:tcBorders>
              <w:tl2br w:val="nil"/>
              <w:tr2bl w:val="nil"/>
            </w:tcBorders>
            <w:vAlign w:val="center"/>
          </w:tcPr>
          <w:p w14:paraId="384831BB">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硝酸盐</w:t>
            </w:r>
            <w:r>
              <w:rPr>
                <w:rFonts w:hint="default" w:ascii="Times New Roman" w:hAnsi="Times New Roman" w:eastAsia="宋体" w:cs="Times New Roman"/>
                <w:bCs/>
                <w:color w:val="auto"/>
                <w:kern w:val="0"/>
                <w:sz w:val="21"/>
                <w:szCs w:val="21"/>
                <w:highlight w:val="none"/>
                <w:lang w:eastAsia="zh-CN"/>
              </w:rPr>
              <w:t>氮</w:t>
            </w:r>
          </w:p>
        </w:tc>
        <w:tc>
          <w:tcPr>
            <w:tcW w:w="967" w:type="pct"/>
            <w:tcBorders>
              <w:tl2br w:val="nil"/>
              <w:tr2bl w:val="nil"/>
            </w:tcBorders>
            <w:noWrap/>
            <w:vAlign w:val="center"/>
          </w:tcPr>
          <w:p w14:paraId="0085E2A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638538F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7</w:t>
            </w:r>
          </w:p>
        </w:tc>
        <w:tc>
          <w:tcPr>
            <w:tcW w:w="1042" w:type="pct"/>
            <w:tcBorders>
              <w:tl2br w:val="nil"/>
              <w:tr2bl w:val="nil"/>
            </w:tcBorders>
            <w:shd w:val="clear" w:color="auto" w:fill="auto"/>
            <w:noWrap/>
            <w:vAlign w:val="center"/>
          </w:tcPr>
          <w:p w14:paraId="3FCDAAA2">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锌</w:t>
            </w:r>
          </w:p>
        </w:tc>
        <w:tc>
          <w:tcPr>
            <w:tcW w:w="759" w:type="pct"/>
            <w:tcBorders>
              <w:tl2br w:val="nil"/>
              <w:tr2bl w:val="nil"/>
            </w:tcBorders>
            <w:shd w:val="clear" w:color="auto" w:fill="auto"/>
            <w:noWrap/>
            <w:vAlign w:val="center"/>
          </w:tcPr>
          <w:p w14:paraId="7D83095B">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mg/L</w:t>
            </w:r>
          </w:p>
        </w:tc>
      </w:tr>
      <w:tr w14:paraId="7C238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2F50C39B">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424" w:type="pct"/>
            <w:tcBorders>
              <w:tl2br w:val="nil"/>
              <w:tr2bl w:val="nil"/>
            </w:tcBorders>
            <w:vAlign w:val="center"/>
          </w:tcPr>
          <w:p w14:paraId="28354C35">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eastAsia="zh-CN"/>
              </w:rPr>
              <w:t>亚</w:t>
            </w:r>
            <w:r>
              <w:rPr>
                <w:rFonts w:hint="default" w:ascii="Times New Roman" w:hAnsi="Times New Roman" w:eastAsia="宋体" w:cs="Times New Roman"/>
                <w:bCs/>
                <w:color w:val="auto"/>
                <w:kern w:val="0"/>
                <w:sz w:val="21"/>
                <w:szCs w:val="21"/>
                <w:highlight w:val="none"/>
              </w:rPr>
              <w:t>硝酸盐</w:t>
            </w:r>
            <w:r>
              <w:rPr>
                <w:rFonts w:hint="default" w:ascii="Times New Roman" w:hAnsi="Times New Roman" w:eastAsia="宋体" w:cs="Times New Roman"/>
                <w:bCs/>
                <w:color w:val="auto"/>
                <w:kern w:val="0"/>
                <w:sz w:val="21"/>
                <w:szCs w:val="21"/>
                <w:highlight w:val="none"/>
                <w:lang w:eastAsia="zh-CN"/>
              </w:rPr>
              <w:t>氮</w:t>
            </w:r>
          </w:p>
        </w:tc>
        <w:tc>
          <w:tcPr>
            <w:tcW w:w="967" w:type="pct"/>
            <w:tcBorders>
              <w:tl2br w:val="nil"/>
              <w:tr2bl w:val="nil"/>
            </w:tcBorders>
            <w:noWrap/>
            <w:vAlign w:val="center"/>
          </w:tcPr>
          <w:p w14:paraId="15F2577E">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7FEEE21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8</w:t>
            </w:r>
          </w:p>
        </w:tc>
        <w:tc>
          <w:tcPr>
            <w:tcW w:w="1042" w:type="pct"/>
            <w:tcBorders>
              <w:tl2br w:val="nil"/>
              <w:tr2bl w:val="nil"/>
            </w:tcBorders>
            <w:shd w:val="clear" w:color="auto" w:fill="auto"/>
            <w:noWrap/>
            <w:vAlign w:val="center"/>
          </w:tcPr>
          <w:p w14:paraId="0BC2604E">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eastAsia="zh-CN"/>
              </w:rPr>
              <w:t>砷</w:t>
            </w:r>
          </w:p>
        </w:tc>
        <w:tc>
          <w:tcPr>
            <w:tcW w:w="759" w:type="pct"/>
            <w:tcBorders>
              <w:tl2br w:val="nil"/>
              <w:tr2bl w:val="nil"/>
            </w:tcBorders>
            <w:shd w:val="clear" w:color="auto" w:fill="auto"/>
            <w:noWrap/>
            <w:vAlign w:val="center"/>
          </w:tcPr>
          <w:p w14:paraId="0BE8AFBA">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rPr>
              <w:t>mg/L</w:t>
            </w:r>
          </w:p>
        </w:tc>
      </w:tr>
      <w:tr w14:paraId="423C5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0208C3AA">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424" w:type="pct"/>
            <w:tcBorders>
              <w:tl2br w:val="nil"/>
              <w:tr2bl w:val="nil"/>
            </w:tcBorders>
            <w:vAlign w:val="center"/>
          </w:tcPr>
          <w:p w14:paraId="62F0FDC0">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eastAsia="zh-CN"/>
              </w:rPr>
              <w:t>硫酸盐</w:t>
            </w:r>
          </w:p>
        </w:tc>
        <w:tc>
          <w:tcPr>
            <w:tcW w:w="967" w:type="pct"/>
            <w:tcBorders>
              <w:tl2br w:val="nil"/>
              <w:tr2bl w:val="nil"/>
            </w:tcBorders>
            <w:noWrap/>
            <w:vAlign w:val="center"/>
          </w:tcPr>
          <w:p w14:paraId="03546639">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67293CE9">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1042" w:type="pct"/>
            <w:tcBorders>
              <w:tl2br w:val="nil"/>
              <w:tr2bl w:val="nil"/>
            </w:tcBorders>
            <w:shd w:val="clear" w:color="auto" w:fill="auto"/>
            <w:noWrap/>
            <w:vAlign w:val="center"/>
          </w:tcPr>
          <w:p w14:paraId="428796B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eastAsia="zh-CN"/>
              </w:rPr>
              <w:t>汞</w:t>
            </w:r>
          </w:p>
        </w:tc>
        <w:tc>
          <w:tcPr>
            <w:tcW w:w="759" w:type="pct"/>
            <w:tcBorders>
              <w:tl2br w:val="nil"/>
              <w:tr2bl w:val="nil"/>
            </w:tcBorders>
            <w:shd w:val="clear" w:color="auto" w:fill="auto"/>
            <w:noWrap/>
            <w:vAlign w:val="center"/>
          </w:tcPr>
          <w:p w14:paraId="3ECC47C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≤0.001</w:t>
            </w:r>
            <w:r>
              <w:rPr>
                <w:rFonts w:hint="default" w:ascii="Times New Roman" w:hAnsi="Times New Roman" w:eastAsia="宋体" w:cs="Times New Roman"/>
                <w:color w:val="auto"/>
                <w:sz w:val="21"/>
                <w:szCs w:val="21"/>
                <w:highlight w:val="none"/>
              </w:rPr>
              <w:t>mg/L</w:t>
            </w:r>
          </w:p>
        </w:tc>
      </w:tr>
      <w:tr w14:paraId="12B7E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7FCF3543">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424" w:type="pct"/>
            <w:tcBorders>
              <w:tl2br w:val="nil"/>
              <w:tr2bl w:val="nil"/>
            </w:tcBorders>
            <w:vAlign w:val="center"/>
          </w:tcPr>
          <w:p w14:paraId="511DA3A7">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eastAsia="zh-CN"/>
              </w:rPr>
              <w:t>氟化物</w:t>
            </w:r>
          </w:p>
        </w:tc>
        <w:tc>
          <w:tcPr>
            <w:tcW w:w="967" w:type="pct"/>
            <w:tcBorders>
              <w:tl2br w:val="nil"/>
              <w:tr2bl w:val="nil"/>
            </w:tcBorders>
            <w:noWrap/>
            <w:vAlign w:val="center"/>
          </w:tcPr>
          <w:p w14:paraId="65B6ACA6">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08834FA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0</w:t>
            </w:r>
          </w:p>
        </w:tc>
        <w:tc>
          <w:tcPr>
            <w:tcW w:w="1042" w:type="pct"/>
            <w:tcBorders>
              <w:tl2br w:val="nil"/>
              <w:tr2bl w:val="nil"/>
            </w:tcBorders>
            <w:shd w:val="clear" w:color="auto" w:fill="auto"/>
            <w:noWrap/>
            <w:vAlign w:val="center"/>
          </w:tcPr>
          <w:p w14:paraId="53E57769">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eastAsia="zh-CN"/>
              </w:rPr>
              <w:t>铅</w:t>
            </w:r>
          </w:p>
        </w:tc>
        <w:tc>
          <w:tcPr>
            <w:tcW w:w="759" w:type="pct"/>
            <w:tcBorders>
              <w:tl2br w:val="nil"/>
              <w:tr2bl w:val="nil"/>
            </w:tcBorders>
            <w:shd w:val="clear" w:color="auto" w:fill="auto"/>
            <w:noWrap/>
            <w:vAlign w:val="center"/>
          </w:tcPr>
          <w:p w14:paraId="12B0EBA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rPr>
              <w:t>mg/L</w:t>
            </w:r>
          </w:p>
        </w:tc>
      </w:tr>
      <w:tr w14:paraId="14F72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4C4557F4">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424" w:type="pct"/>
            <w:tcBorders>
              <w:tl2br w:val="nil"/>
              <w:tr2bl w:val="nil"/>
            </w:tcBorders>
            <w:vAlign w:val="center"/>
          </w:tcPr>
          <w:p w14:paraId="3BC9DBD4">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氰化物</w:t>
            </w:r>
          </w:p>
        </w:tc>
        <w:tc>
          <w:tcPr>
            <w:tcW w:w="967" w:type="pct"/>
            <w:tcBorders>
              <w:tl2br w:val="nil"/>
              <w:tr2bl w:val="nil"/>
            </w:tcBorders>
            <w:noWrap/>
            <w:vAlign w:val="center"/>
          </w:tcPr>
          <w:p w14:paraId="5080B73E">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≤0.05</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17032D8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1</w:t>
            </w:r>
          </w:p>
        </w:tc>
        <w:tc>
          <w:tcPr>
            <w:tcW w:w="1042" w:type="pct"/>
            <w:tcBorders>
              <w:tl2br w:val="nil"/>
              <w:tr2bl w:val="nil"/>
            </w:tcBorders>
            <w:shd w:val="clear" w:color="auto" w:fill="auto"/>
            <w:noWrap/>
            <w:vAlign w:val="center"/>
          </w:tcPr>
          <w:p w14:paraId="59CE8895">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铜</w:t>
            </w:r>
          </w:p>
        </w:tc>
        <w:tc>
          <w:tcPr>
            <w:tcW w:w="759" w:type="pct"/>
            <w:tcBorders>
              <w:tl2br w:val="nil"/>
              <w:tr2bl w:val="nil"/>
            </w:tcBorders>
            <w:shd w:val="clear" w:color="auto" w:fill="auto"/>
            <w:noWrap/>
            <w:vAlign w:val="center"/>
          </w:tcPr>
          <w:p w14:paraId="7226F35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mg/L</w:t>
            </w:r>
          </w:p>
        </w:tc>
      </w:tr>
      <w:tr w14:paraId="6062D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0322B124">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424" w:type="pct"/>
            <w:tcBorders>
              <w:tl2br w:val="nil"/>
              <w:tr2bl w:val="nil"/>
            </w:tcBorders>
            <w:vAlign w:val="center"/>
          </w:tcPr>
          <w:p w14:paraId="0148D803">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挥发酚</w:t>
            </w:r>
          </w:p>
        </w:tc>
        <w:tc>
          <w:tcPr>
            <w:tcW w:w="967" w:type="pct"/>
            <w:tcBorders>
              <w:tl2br w:val="nil"/>
              <w:tr2bl w:val="nil"/>
            </w:tcBorders>
            <w:noWrap/>
            <w:vAlign w:val="center"/>
          </w:tcPr>
          <w:p w14:paraId="446F9FE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≤0.002</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2746822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2</w:t>
            </w:r>
          </w:p>
        </w:tc>
        <w:tc>
          <w:tcPr>
            <w:tcW w:w="1042" w:type="pct"/>
            <w:tcBorders>
              <w:tl2br w:val="nil"/>
              <w:tr2bl w:val="nil"/>
            </w:tcBorders>
            <w:shd w:val="clear" w:color="auto" w:fill="auto"/>
            <w:noWrap/>
            <w:vAlign w:val="center"/>
          </w:tcPr>
          <w:p w14:paraId="76E88712">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kern w:val="0"/>
                <w:sz w:val="21"/>
                <w:szCs w:val="21"/>
                <w:highlight w:val="none"/>
                <w:lang w:val="en-US" w:eastAsia="zh-CN"/>
              </w:rPr>
              <w:t>铬（六价）</w:t>
            </w:r>
          </w:p>
        </w:tc>
        <w:tc>
          <w:tcPr>
            <w:tcW w:w="759" w:type="pct"/>
            <w:tcBorders>
              <w:tl2br w:val="nil"/>
              <w:tr2bl w:val="nil"/>
            </w:tcBorders>
            <w:shd w:val="clear" w:color="auto" w:fill="auto"/>
            <w:noWrap/>
            <w:vAlign w:val="center"/>
          </w:tcPr>
          <w:p w14:paraId="43A2BEF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≤0.05</w:t>
            </w:r>
            <w:r>
              <w:rPr>
                <w:rFonts w:hint="default" w:ascii="Times New Roman" w:hAnsi="Times New Roman" w:eastAsia="宋体" w:cs="Times New Roman"/>
                <w:color w:val="auto"/>
                <w:sz w:val="21"/>
                <w:szCs w:val="21"/>
                <w:highlight w:val="none"/>
              </w:rPr>
              <w:t>mg/L</w:t>
            </w:r>
          </w:p>
        </w:tc>
      </w:tr>
      <w:tr w14:paraId="0BD69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7365BFB3">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1424" w:type="pct"/>
            <w:tcBorders>
              <w:tl2br w:val="nil"/>
              <w:tr2bl w:val="nil"/>
            </w:tcBorders>
            <w:vAlign w:val="center"/>
          </w:tcPr>
          <w:p w14:paraId="608C4B45">
            <w:pPr>
              <w:pStyle w:val="232"/>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color w:val="auto"/>
                <w:sz w:val="21"/>
                <w:szCs w:val="21"/>
                <w:highlight w:val="none"/>
              </w:rPr>
              <w:t>总大肠菌群</w:t>
            </w:r>
          </w:p>
        </w:tc>
        <w:tc>
          <w:tcPr>
            <w:tcW w:w="967" w:type="pct"/>
            <w:tcBorders>
              <w:tl2br w:val="nil"/>
              <w:tr2bl w:val="nil"/>
            </w:tcBorders>
            <w:noWrap/>
            <w:vAlign w:val="center"/>
          </w:tcPr>
          <w:p w14:paraId="07F6C086">
            <w:pPr>
              <w:pStyle w:val="232"/>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≤3.0CFΜ/100mL</w:t>
            </w:r>
          </w:p>
        </w:tc>
        <w:tc>
          <w:tcPr>
            <w:tcW w:w="434" w:type="pct"/>
            <w:tcBorders>
              <w:tl2br w:val="nil"/>
              <w:tr2bl w:val="nil"/>
            </w:tcBorders>
            <w:shd w:val="clear" w:color="auto" w:fill="auto"/>
            <w:noWrap/>
            <w:vAlign w:val="top"/>
          </w:tcPr>
          <w:p w14:paraId="7A402DA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3</w:t>
            </w:r>
          </w:p>
        </w:tc>
        <w:tc>
          <w:tcPr>
            <w:tcW w:w="1042" w:type="pct"/>
            <w:tcBorders>
              <w:tl2br w:val="nil"/>
              <w:tr2bl w:val="nil"/>
            </w:tcBorders>
            <w:shd w:val="clear" w:color="auto" w:fill="auto"/>
            <w:noWrap/>
            <w:vAlign w:val="center"/>
          </w:tcPr>
          <w:p w14:paraId="358ED4E2">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铁</w:t>
            </w:r>
          </w:p>
        </w:tc>
        <w:tc>
          <w:tcPr>
            <w:tcW w:w="759" w:type="pct"/>
            <w:tcBorders>
              <w:tl2br w:val="nil"/>
              <w:tr2bl w:val="nil"/>
            </w:tcBorders>
            <w:shd w:val="clear" w:color="auto" w:fill="auto"/>
            <w:noWrap/>
            <w:vAlign w:val="center"/>
          </w:tcPr>
          <w:p w14:paraId="684EE93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mg/L</w:t>
            </w:r>
          </w:p>
        </w:tc>
      </w:tr>
      <w:tr w14:paraId="7AB69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4D00A46B">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1424" w:type="pct"/>
            <w:tcBorders>
              <w:tl2br w:val="nil"/>
              <w:tr2bl w:val="nil"/>
            </w:tcBorders>
            <w:vAlign w:val="center"/>
          </w:tcPr>
          <w:p w14:paraId="34DE57A6">
            <w:pPr>
              <w:pStyle w:val="232"/>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color w:val="auto"/>
                <w:sz w:val="21"/>
                <w:szCs w:val="21"/>
                <w:highlight w:val="none"/>
              </w:rPr>
              <w:t>菌落总数</w:t>
            </w:r>
          </w:p>
        </w:tc>
        <w:tc>
          <w:tcPr>
            <w:tcW w:w="967" w:type="pct"/>
            <w:tcBorders>
              <w:tl2br w:val="nil"/>
              <w:tr2bl w:val="nil"/>
            </w:tcBorders>
            <w:noWrap/>
            <w:vAlign w:val="center"/>
          </w:tcPr>
          <w:p w14:paraId="2B43B418">
            <w:pPr>
              <w:pStyle w:val="232"/>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≤100CF</w:t>
            </w:r>
            <w:r>
              <w:rPr>
                <w:rFonts w:hint="eastAsia" w:cs="Times New Roman"/>
                <w:color w:val="auto"/>
                <w:sz w:val="21"/>
                <w:szCs w:val="21"/>
                <w:highlight w:val="none"/>
                <w:lang w:val="en-US" w:eastAsia="zh-CN"/>
              </w:rPr>
              <w:t>U</w:t>
            </w:r>
            <w:r>
              <w:rPr>
                <w:rFonts w:hint="default" w:ascii="Times New Roman" w:hAnsi="Times New Roman" w:eastAsia="宋体" w:cs="Times New Roman"/>
                <w:color w:val="auto"/>
                <w:sz w:val="21"/>
                <w:szCs w:val="21"/>
                <w:highlight w:val="none"/>
              </w:rPr>
              <w:t>/mL</w:t>
            </w:r>
          </w:p>
        </w:tc>
        <w:tc>
          <w:tcPr>
            <w:tcW w:w="434" w:type="pct"/>
            <w:tcBorders>
              <w:tl2br w:val="nil"/>
              <w:tr2bl w:val="nil"/>
            </w:tcBorders>
            <w:noWrap/>
            <w:vAlign w:val="top"/>
          </w:tcPr>
          <w:p w14:paraId="6D7D23C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4</w:t>
            </w:r>
          </w:p>
        </w:tc>
        <w:tc>
          <w:tcPr>
            <w:tcW w:w="1042" w:type="pct"/>
            <w:tcBorders>
              <w:tl2br w:val="nil"/>
              <w:tr2bl w:val="nil"/>
            </w:tcBorders>
            <w:shd w:val="clear" w:color="auto" w:fill="auto"/>
            <w:noWrap/>
            <w:vAlign w:val="center"/>
          </w:tcPr>
          <w:p w14:paraId="4C459E97">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锰</w:t>
            </w:r>
          </w:p>
        </w:tc>
        <w:tc>
          <w:tcPr>
            <w:tcW w:w="759" w:type="pct"/>
            <w:tcBorders>
              <w:tl2br w:val="nil"/>
              <w:tr2bl w:val="nil"/>
            </w:tcBorders>
            <w:shd w:val="clear" w:color="auto" w:fill="auto"/>
            <w:noWrap/>
            <w:vAlign w:val="center"/>
          </w:tcPr>
          <w:p w14:paraId="48AE052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≤0.10</w:t>
            </w:r>
            <w:r>
              <w:rPr>
                <w:rFonts w:hint="default" w:ascii="Times New Roman" w:hAnsi="Times New Roman" w:eastAsia="宋体" w:cs="Times New Roman"/>
                <w:color w:val="auto"/>
                <w:sz w:val="21"/>
                <w:szCs w:val="21"/>
                <w:highlight w:val="none"/>
              </w:rPr>
              <w:t>mg/L</w:t>
            </w:r>
          </w:p>
        </w:tc>
      </w:tr>
      <w:tr w14:paraId="711E9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36F0647D">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w:t>
            </w:r>
          </w:p>
        </w:tc>
        <w:tc>
          <w:tcPr>
            <w:tcW w:w="1424" w:type="pct"/>
            <w:tcBorders>
              <w:tl2br w:val="nil"/>
              <w:tr2bl w:val="nil"/>
            </w:tcBorders>
            <w:vAlign w:val="center"/>
          </w:tcPr>
          <w:p w14:paraId="328F46BB">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镍</w:t>
            </w:r>
          </w:p>
        </w:tc>
        <w:tc>
          <w:tcPr>
            <w:tcW w:w="967" w:type="pct"/>
            <w:tcBorders>
              <w:tl2br w:val="nil"/>
              <w:tr2bl w:val="nil"/>
            </w:tcBorders>
            <w:noWrap/>
            <w:vAlign w:val="center"/>
          </w:tcPr>
          <w:p w14:paraId="52C5FE4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noWrap/>
          </w:tcPr>
          <w:p w14:paraId="0EB631D4">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5</w:t>
            </w:r>
          </w:p>
        </w:tc>
        <w:tc>
          <w:tcPr>
            <w:tcW w:w="1042" w:type="pct"/>
            <w:tcBorders>
              <w:tl2br w:val="nil"/>
              <w:tr2bl w:val="nil"/>
            </w:tcBorders>
            <w:shd w:val="clear" w:color="auto" w:fill="auto"/>
            <w:noWrap/>
            <w:vAlign w:val="center"/>
          </w:tcPr>
          <w:p w14:paraId="045863D0">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钼</w:t>
            </w:r>
          </w:p>
        </w:tc>
        <w:tc>
          <w:tcPr>
            <w:tcW w:w="759" w:type="pct"/>
            <w:tcBorders>
              <w:tl2br w:val="nil"/>
              <w:tr2bl w:val="nil"/>
            </w:tcBorders>
            <w:shd w:val="clear" w:color="auto" w:fill="auto"/>
            <w:noWrap/>
            <w:vAlign w:val="center"/>
          </w:tcPr>
          <w:p w14:paraId="3FA0B77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0.07</w:t>
            </w:r>
            <w:r>
              <w:rPr>
                <w:rFonts w:hint="default" w:ascii="Times New Roman" w:hAnsi="Times New Roman" w:eastAsia="宋体" w:cs="Times New Roman"/>
                <w:color w:val="auto"/>
                <w:sz w:val="21"/>
                <w:szCs w:val="21"/>
                <w:highlight w:val="none"/>
              </w:rPr>
              <w:t>mg/L</w:t>
            </w:r>
          </w:p>
        </w:tc>
      </w:tr>
      <w:tr w14:paraId="42958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15617483">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1424" w:type="pct"/>
            <w:tcBorders>
              <w:tl2br w:val="nil"/>
              <w:tr2bl w:val="nil"/>
            </w:tcBorders>
            <w:vAlign w:val="center"/>
          </w:tcPr>
          <w:p w14:paraId="48342A84">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钴</w:t>
            </w:r>
          </w:p>
        </w:tc>
        <w:tc>
          <w:tcPr>
            <w:tcW w:w="967" w:type="pct"/>
            <w:tcBorders>
              <w:tl2br w:val="nil"/>
              <w:tr2bl w:val="nil"/>
            </w:tcBorders>
            <w:noWrap/>
            <w:vAlign w:val="center"/>
          </w:tcPr>
          <w:p w14:paraId="625C2A5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noWrap/>
          </w:tcPr>
          <w:p w14:paraId="139580A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6</w:t>
            </w:r>
          </w:p>
        </w:tc>
        <w:tc>
          <w:tcPr>
            <w:tcW w:w="1042" w:type="pct"/>
            <w:tcBorders>
              <w:tl2br w:val="nil"/>
              <w:tr2bl w:val="nil"/>
            </w:tcBorders>
            <w:shd w:val="clear" w:color="auto" w:fill="auto"/>
            <w:noWrap/>
            <w:vAlign w:val="center"/>
          </w:tcPr>
          <w:p w14:paraId="7E39E1AC">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石油类</w:t>
            </w:r>
          </w:p>
        </w:tc>
        <w:tc>
          <w:tcPr>
            <w:tcW w:w="759" w:type="pct"/>
            <w:tcBorders>
              <w:tl2br w:val="nil"/>
              <w:tr2bl w:val="nil"/>
            </w:tcBorders>
            <w:shd w:val="clear" w:color="auto" w:fill="auto"/>
            <w:noWrap/>
            <w:vAlign w:val="center"/>
          </w:tcPr>
          <w:p w14:paraId="0960EEC7">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0.0</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sz w:val="21"/>
                <w:szCs w:val="21"/>
                <w:highlight w:val="none"/>
              </w:rPr>
              <w:t>mg/L</w:t>
            </w:r>
          </w:p>
        </w:tc>
      </w:tr>
    </w:tbl>
    <w:p w14:paraId="12427905">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（4）土壤环境</w:t>
      </w:r>
    </w:p>
    <w:p w14:paraId="598A3D75">
      <w:pPr>
        <w:pageBreakBefore w:val="0"/>
        <w:wordWrap/>
        <w:topLinePunct w:val="0"/>
        <w:bidi w:val="0"/>
        <w:adjustRightInd w:val="0"/>
        <w:snapToGrid w:val="0"/>
        <w:ind w:left="0" w:lef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项目用地</w:t>
      </w:r>
      <w:r>
        <w:rPr>
          <w:rFonts w:hint="eastAsia" w:cs="Times New Roman"/>
          <w:color w:val="auto"/>
          <w:highlight w:val="none"/>
          <w:lang w:val="en-US" w:eastAsia="zh-CN"/>
        </w:rPr>
        <w:t>工业用地，</w:t>
      </w:r>
      <w:r>
        <w:rPr>
          <w:rFonts w:hint="default" w:ascii="Times New Roman" w:hAnsi="Times New Roman" w:cs="Times New Roman"/>
          <w:color w:val="auto"/>
          <w:highlight w:val="none"/>
        </w:rPr>
        <w:t>土壤环境执行《土壤环境质量 建设用地土壤污染风险管控标准（试行）》（GB36600-2018）第二类用地筛选值标准</w:t>
      </w:r>
      <w:r>
        <w:rPr>
          <w:rFonts w:hint="default" w:ascii="Times New Roman" w:hAnsi="Times New Roman" w:cs="Times New Roman"/>
          <w:color w:val="auto"/>
          <w:spacing w:val="10"/>
          <w:highlight w:val="none"/>
        </w:rPr>
        <w:t>要求</w:t>
      </w:r>
      <w:r>
        <w:rPr>
          <w:rFonts w:hint="default" w:ascii="Times New Roman" w:hAnsi="Times New Roman" w:cs="Times New Roman"/>
          <w:color w:val="auto"/>
          <w:highlight w:val="none"/>
        </w:rPr>
        <w:t>，厂区外土壤环境影响评价范围内耕地执行《土壤环境质量</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农用地土壤污染风险管控标准（试行）（GB15618-2018）》表1其他限值要求。具体标准限值见表2.4-5和表2.4-6。</w:t>
      </w:r>
    </w:p>
    <w:p w14:paraId="470A6392">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表2.4-5   建设用地土壤环境质量限值  单位：mg/kg</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21"/>
        <w:gridCol w:w="2142"/>
        <w:gridCol w:w="1464"/>
        <w:gridCol w:w="771"/>
        <w:gridCol w:w="2142"/>
        <w:gridCol w:w="1489"/>
      </w:tblGrid>
      <w:tr w14:paraId="336431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98" w:hRule="atLeast"/>
          <w:jc w:val="center"/>
        </w:trPr>
        <w:tc>
          <w:tcPr>
            <w:tcW w:w="413" w:type="pct"/>
            <w:tcBorders>
              <w:tl2br w:val="nil"/>
              <w:tr2bl w:val="nil"/>
            </w:tcBorders>
            <w:noWrap w:val="0"/>
            <w:vAlign w:val="center"/>
          </w:tcPr>
          <w:p w14:paraId="6BAC042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226" w:type="pct"/>
            <w:tcBorders>
              <w:tl2br w:val="nil"/>
              <w:tr2bl w:val="nil"/>
            </w:tcBorders>
            <w:noWrap w:val="0"/>
            <w:vAlign w:val="center"/>
          </w:tcPr>
          <w:p w14:paraId="3DBCAF6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污染物项目</w:t>
            </w:r>
          </w:p>
        </w:tc>
        <w:tc>
          <w:tcPr>
            <w:tcW w:w="838" w:type="pct"/>
            <w:tcBorders>
              <w:tl2br w:val="nil"/>
              <w:tr2bl w:val="nil"/>
            </w:tcBorders>
            <w:noWrap w:val="0"/>
            <w:vAlign w:val="center"/>
          </w:tcPr>
          <w:p w14:paraId="62975F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筛选值</w:t>
            </w:r>
          </w:p>
          <w:p w14:paraId="191F1F7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（第二类）</w:t>
            </w:r>
          </w:p>
        </w:tc>
        <w:tc>
          <w:tcPr>
            <w:tcW w:w="441" w:type="pct"/>
            <w:tcBorders>
              <w:tl2br w:val="nil"/>
              <w:tr2bl w:val="nil"/>
            </w:tcBorders>
            <w:noWrap w:val="0"/>
            <w:vAlign w:val="center"/>
          </w:tcPr>
          <w:p w14:paraId="378BF1C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226" w:type="pct"/>
            <w:tcBorders>
              <w:tl2br w:val="nil"/>
              <w:tr2bl w:val="nil"/>
            </w:tcBorders>
            <w:noWrap w:val="0"/>
            <w:vAlign w:val="center"/>
          </w:tcPr>
          <w:p w14:paraId="0AE7E5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污染物项目</w:t>
            </w:r>
          </w:p>
        </w:tc>
        <w:tc>
          <w:tcPr>
            <w:tcW w:w="852" w:type="pct"/>
            <w:tcBorders>
              <w:tl2br w:val="nil"/>
              <w:tr2bl w:val="nil"/>
            </w:tcBorders>
            <w:noWrap w:val="0"/>
            <w:vAlign w:val="center"/>
          </w:tcPr>
          <w:p w14:paraId="413C0DE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筛选值</w:t>
            </w:r>
          </w:p>
          <w:p w14:paraId="3D452EF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（第二类）</w:t>
            </w:r>
          </w:p>
        </w:tc>
      </w:tr>
      <w:tr w14:paraId="3CF163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7E9CC7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226" w:type="pct"/>
            <w:tcBorders>
              <w:tl2br w:val="nil"/>
              <w:tr2bl w:val="nil"/>
            </w:tcBorders>
            <w:noWrap w:val="0"/>
            <w:vAlign w:val="center"/>
          </w:tcPr>
          <w:p w14:paraId="2757AE3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砷</w:t>
            </w:r>
          </w:p>
        </w:tc>
        <w:tc>
          <w:tcPr>
            <w:tcW w:w="838" w:type="pct"/>
            <w:tcBorders>
              <w:tl2br w:val="nil"/>
              <w:tr2bl w:val="nil"/>
            </w:tcBorders>
            <w:noWrap w:val="0"/>
            <w:vAlign w:val="center"/>
          </w:tcPr>
          <w:p w14:paraId="53E4BA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441" w:type="pct"/>
            <w:tcBorders>
              <w:tl2br w:val="nil"/>
              <w:tr2bl w:val="nil"/>
            </w:tcBorders>
            <w:noWrap w:val="0"/>
            <w:vAlign w:val="center"/>
          </w:tcPr>
          <w:p w14:paraId="577F7A5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w:t>
            </w:r>
          </w:p>
        </w:tc>
        <w:tc>
          <w:tcPr>
            <w:tcW w:w="1226" w:type="pct"/>
            <w:tcBorders>
              <w:tl2br w:val="nil"/>
              <w:tr2bl w:val="nil"/>
            </w:tcBorders>
            <w:noWrap w:val="0"/>
            <w:vAlign w:val="center"/>
          </w:tcPr>
          <w:p w14:paraId="7F188F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1,2,3-三氯丙烷</w:t>
            </w:r>
          </w:p>
        </w:tc>
        <w:tc>
          <w:tcPr>
            <w:tcW w:w="852" w:type="pct"/>
            <w:tcBorders>
              <w:tl2br w:val="nil"/>
              <w:tr2bl w:val="nil"/>
            </w:tcBorders>
            <w:noWrap w:val="0"/>
            <w:vAlign w:val="center"/>
          </w:tcPr>
          <w:p w14:paraId="23593EA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0.5</w:t>
            </w:r>
          </w:p>
        </w:tc>
      </w:tr>
      <w:tr w14:paraId="7F36D4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AC011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226" w:type="pct"/>
            <w:tcBorders>
              <w:tl2br w:val="nil"/>
              <w:tr2bl w:val="nil"/>
            </w:tcBorders>
            <w:noWrap w:val="0"/>
            <w:vAlign w:val="center"/>
          </w:tcPr>
          <w:p w14:paraId="389F611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镉</w:t>
            </w:r>
          </w:p>
        </w:tc>
        <w:tc>
          <w:tcPr>
            <w:tcW w:w="838" w:type="pct"/>
            <w:tcBorders>
              <w:tl2br w:val="nil"/>
              <w:tr2bl w:val="nil"/>
            </w:tcBorders>
            <w:noWrap w:val="0"/>
            <w:vAlign w:val="center"/>
          </w:tcPr>
          <w:p w14:paraId="0796D2D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65</w:t>
            </w:r>
          </w:p>
        </w:tc>
        <w:tc>
          <w:tcPr>
            <w:tcW w:w="441" w:type="pct"/>
            <w:tcBorders>
              <w:tl2br w:val="nil"/>
              <w:tr2bl w:val="nil"/>
            </w:tcBorders>
            <w:noWrap w:val="0"/>
            <w:vAlign w:val="center"/>
          </w:tcPr>
          <w:p w14:paraId="77AE2B1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w:t>
            </w:r>
          </w:p>
        </w:tc>
        <w:tc>
          <w:tcPr>
            <w:tcW w:w="1226" w:type="pct"/>
            <w:tcBorders>
              <w:tl2br w:val="nil"/>
              <w:tr2bl w:val="nil"/>
            </w:tcBorders>
            <w:noWrap w:val="0"/>
            <w:vAlign w:val="center"/>
          </w:tcPr>
          <w:p w14:paraId="301E154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氯乙烯</w:t>
            </w:r>
          </w:p>
        </w:tc>
        <w:tc>
          <w:tcPr>
            <w:tcW w:w="852" w:type="pct"/>
            <w:tcBorders>
              <w:tl2br w:val="nil"/>
              <w:tr2bl w:val="nil"/>
            </w:tcBorders>
            <w:noWrap w:val="0"/>
            <w:vAlign w:val="center"/>
          </w:tcPr>
          <w:p w14:paraId="522598E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0.43</w:t>
            </w:r>
          </w:p>
        </w:tc>
      </w:tr>
      <w:tr w14:paraId="0B1F99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FFE6EF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226" w:type="pct"/>
            <w:tcBorders>
              <w:tl2br w:val="nil"/>
              <w:tr2bl w:val="nil"/>
            </w:tcBorders>
            <w:noWrap w:val="0"/>
            <w:vAlign w:val="center"/>
          </w:tcPr>
          <w:p w14:paraId="287D7C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铬（六价）</w:t>
            </w:r>
          </w:p>
        </w:tc>
        <w:tc>
          <w:tcPr>
            <w:tcW w:w="838" w:type="pct"/>
            <w:tcBorders>
              <w:tl2br w:val="nil"/>
              <w:tr2bl w:val="nil"/>
            </w:tcBorders>
            <w:noWrap w:val="0"/>
            <w:vAlign w:val="center"/>
          </w:tcPr>
          <w:p w14:paraId="3312648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5.7</w:t>
            </w:r>
          </w:p>
        </w:tc>
        <w:tc>
          <w:tcPr>
            <w:tcW w:w="441" w:type="pct"/>
            <w:tcBorders>
              <w:tl2br w:val="nil"/>
              <w:tr2bl w:val="nil"/>
            </w:tcBorders>
            <w:noWrap w:val="0"/>
            <w:vAlign w:val="center"/>
          </w:tcPr>
          <w:p w14:paraId="00F9402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26</w:t>
            </w:r>
          </w:p>
        </w:tc>
        <w:tc>
          <w:tcPr>
            <w:tcW w:w="1226" w:type="pct"/>
            <w:tcBorders>
              <w:tl2br w:val="nil"/>
              <w:tr2bl w:val="nil"/>
            </w:tcBorders>
            <w:noWrap w:val="0"/>
            <w:vAlign w:val="center"/>
          </w:tcPr>
          <w:p w14:paraId="52078C6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w:t>
            </w:r>
          </w:p>
        </w:tc>
        <w:tc>
          <w:tcPr>
            <w:tcW w:w="852" w:type="pct"/>
            <w:tcBorders>
              <w:tl2br w:val="nil"/>
              <w:tr2bl w:val="nil"/>
            </w:tcBorders>
            <w:noWrap w:val="0"/>
            <w:vAlign w:val="center"/>
          </w:tcPr>
          <w:p w14:paraId="6B969DA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r>
      <w:tr w14:paraId="0BC365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5C6B831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226" w:type="pct"/>
            <w:tcBorders>
              <w:tl2br w:val="nil"/>
              <w:tr2bl w:val="nil"/>
            </w:tcBorders>
            <w:noWrap w:val="0"/>
            <w:vAlign w:val="center"/>
          </w:tcPr>
          <w:p w14:paraId="2C5F27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铜</w:t>
            </w:r>
          </w:p>
        </w:tc>
        <w:tc>
          <w:tcPr>
            <w:tcW w:w="838" w:type="pct"/>
            <w:tcBorders>
              <w:tl2br w:val="nil"/>
              <w:tr2bl w:val="nil"/>
            </w:tcBorders>
            <w:noWrap w:val="0"/>
            <w:vAlign w:val="center"/>
          </w:tcPr>
          <w:p w14:paraId="5567473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18000</w:t>
            </w:r>
          </w:p>
        </w:tc>
        <w:tc>
          <w:tcPr>
            <w:tcW w:w="441" w:type="pct"/>
            <w:tcBorders>
              <w:tl2br w:val="nil"/>
              <w:tr2bl w:val="nil"/>
            </w:tcBorders>
            <w:noWrap w:val="0"/>
            <w:vAlign w:val="center"/>
          </w:tcPr>
          <w:p w14:paraId="15DB84A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27</w:t>
            </w:r>
          </w:p>
        </w:tc>
        <w:tc>
          <w:tcPr>
            <w:tcW w:w="1226" w:type="pct"/>
            <w:tcBorders>
              <w:tl2br w:val="nil"/>
              <w:tr2bl w:val="nil"/>
            </w:tcBorders>
            <w:noWrap w:val="0"/>
            <w:vAlign w:val="center"/>
          </w:tcPr>
          <w:p w14:paraId="05CF931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氯苯</w:t>
            </w:r>
          </w:p>
        </w:tc>
        <w:tc>
          <w:tcPr>
            <w:tcW w:w="852" w:type="pct"/>
            <w:tcBorders>
              <w:tl2br w:val="nil"/>
              <w:tr2bl w:val="nil"/>
            </w:tcBorders>
            <w:noWrap w:val="0"/>
            <w:vAlign w:val="center"/>
          </w:tcPr>
          <w:p w14:paraId="439C80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270</w:t>
            </w:r>
          </w:p>
        </w:tc>
      </w:tr>
      <w:tr w14:paraId="6EA8E4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5BA3DC0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226" w:type="pct"/>
            <w:tcBorders>
              <w:tl2br w:val="nil"/>
              <w:tr2bl w:val="nil"/>
            </w:tcBorders>
            <w:noWrap w:val="0"/>
            <w:vAlign w:val="center"/>
          </w:tcPr>
          <w:p w14:paraId="65C50F5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铅</w:t>
            </w:r>
          </w:p>
        </w:tc>
        <w:tc>
          <w:tcPr>
            <w:tcW w:w="838" w:type="pct"/>
            <w:tcBorders>
              <w:tl2br w:val="nil"/>
              <w:tr2bl w:val="nil"/>
            </w:tcBorders>
            <w:noWrap w:val="0"/>
            <w:vAlign w:val="center"/>
          </w:tcPr>
          <w:p w14:paraId="191E483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800</w:t>
            </w:r>
          </w:p>
        </w:tc>
        <w:tc>
          <w:tcPr>
            <w:tcW w:w="441" w:type="pct"/>
            <w:tcBorders>
              <w:tl2br w:val="nil"/>
              <w:tr2bl w:val="nil"/>
            </w:tcBorders>
            <w:noWrap w:val="0"/>
            <w:vAlign w:val="center"/>
          </w:tcPr>
          <w:p w14:paraId="770681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1226" w:type="pct"/>
            <w:tcBorders>
              <w:tl2br w:val="nil"/>
              <w:tr2bl w:val="nil"/>
            </w:tcBorders>
            <w:noWrap w:val="0"/>
            <w:vAlign w:val="center"/>
          </w:tcPr>
          <w:p w14:paraId="1071F69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1,2-二氯苯</w:t>
            </w:r>
          </w:p>
        </w:tc>
        <w:tc>
          <w:tcPr>
            <w:tcW w:w="852" w:type="pct"/>
            <w:tcBorders>
              <w:tl2br w:val="nil"/>
              <w:tr2bl w:val="nil"/>
            </w:tcBorders>
            <w:noWrap w:val="0"/>
            <w:vAlign w:val="center"/>
          </w:tcPr>
          <w:p w14:paraId="504C66D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560</w:t>
            </w:r>
          </w:p>
        </w:tc>
      </w:tr>
      <w:tr w14:paraId="6D1485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42902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226" w:type="pct"/>
            <w:tcBorders>
              <w:tl2br w:val="nil"/>
              <w:tr2bl w:val="nil"/>
            </w:tcBorders>
            <w:noWrap w:val="0"/>
            <w:vAlign w:val="center"/>
          </w:tcPr>
          <w:p w14:paraId="653BDC2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汞</w:t>
            </w:r>
          </w:p>
        </w:tc>
        <w:tc>
          <w:tcPr>
            <w:tcW w:w="838" w:type="pct"/>
            <w:tcBorders>
              <w:tl2br w:val="nil"/>
              <w:tr2bl w:val="nil"/>
            </w:tcBorders>
            <w:noWrap w:val="0"/>
            <w:vAlign w:val="center"/>
          </w:tcPr>
          <w:p w14:paraId="347D60D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38</w:t>
            </w:r>
          </w:p>
        </w:tc>
        <w:tc>
          <w:tcPr>
            <w:tcW w:w="441" w:type="pct"/>
            <w:tcBorders>
              <w:tl2br w:val="nil"/>
              <w:tr2bl w:val="nil"/>
            </w:tcBorders>
            <w:noWrap w:val="0"/>
            <w:vAlign w:val="center"/>
          </w:tcPr>
          <w:p w14:paraId="286FEC5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29</w:t>
            </w:r>
          </w:p>
        </w:tc>
        <w:tc>
          <w:tcPr>
            <w:tcW w:w="1226" w:type="pct"/>
            <w:tcBorders>
              <w:tl2br w:val="nil"/>
              <w:tr2bl w:val="nil"/>
            </w:tcBorders>
            <w:noWrap w:val="0"/>
            <w:vAlign w:val="center"/>
          </w:tcPr>
          <w:p w14:paraId="76DFD0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1,4-二氯苯</w:t>
            </w:r>
          </w:p>
        </w:tc>
        <w:tc>
          <w:tcPr>
            <w:tcW w:w="852" w:type="pct"/>
            <w:tcBorders>
              <w:tl2br w:val="nil"/>
              <w:tr2bl w:val="nil"/>
            </w:tcBorders>
            <w:noWrap w:val="0"/>
            <w:vAlign w:val="center"/>
          </w:tcPr>
          <w:p w14:paraId="2A85DC3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r>
      <w:tr w14:paraId="05B587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E1EAC4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226" w:type="pct"/>
            <w:tcBorders>
              <w:tl2br w:val="nil"/>
              <w:tr2bl w:val="nil"/>
            </w:tcBorders>
            <w:noWrap w:val="0"/>
            <w:vAlign w:val="center"/>
          </w:tcPr>
          <w:p w14:paraId="437ABBA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镍</w:t>
            </w:r>
          </w:p>
        </w:tc>
        <w:tc>
          <w:tcPr>
            <w:tcW w:w="838" w:type="pct"/>
            <w:tcBorders>
              <w:tl2br w:val="nil"/>
              <w:tr2bl w:val="nil"/>
            </w:tcBorders>
            <w:noWrap w:val="0"/>
            <w:vAlign w:val="center"/>
          </w:tcPr>
          <w:p w14:paraId="4E77A0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w:t>
            </w:r>
          </w:p>
        </w:tc>
        <w:tc>
          <w:tcPr>
            <w:tcW w:w="441" w:type="pct"/>
            <w:tcBorders>
              <w:tl2br w:val="nil"/>
              <w:tr2bl w:val="nil"/>
            </w:tcBorders>
            <w:noWrap w:val="0"/>
            <w:vAlign w:val="center"/>
          </w:tcPr>
          <w:p w14:paraId="111B178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1226" w:type="pct"/>
            <w:tcBorders>
              <w:tl2br w:val="nil"/>
              <w:tr2bl w:val="nil"/>
            </w:tcBorders>
            <w:noWrap w:val="0"/>
            <w:vAlign w:val="center"/>
          </w:tcPr>
          <w:p w14:paraId="746FB03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乙苯</w:t>
            </w:r>
          </w:p>
        </w:tc>
        <w:tc>
          <w:tcPr>
            <w:tcW w:w="852" w:type="pct"/>
            <w:tcBorders>
              <w:tl2br w:val="nil"/>
              <w:tr2bl w:val="nil"/>
            </w:tcBorders>
            <w:noWrap w:val="0"/>
            <w:vAlign w:val="center"/>
          </w:tcPr>
          <w:p w14:paraId="2765C6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r>
      <w:tr w14:paraId="689135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390438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226" w:type="pct"/>
            <w:tcBorders>
              <w:tl2br w:val="nil"/>
              <w:tr2bl w:val="nil"/>
            </w:tcBorders>
            <w:noWrap w:val="0"/>
            <w:vAlign w:val="center"/>
          </w:tcPr>
          <w:p w14:paraId="4927C7A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四氯化碳</w:t>
            </w:r>
          </w:p>
        </w:tc>
        <w:tc>
          <w:tcPr>
            <w:tcW w:w="838" w:type="pct"/>
            <w:tcBorders>
              <w:tl2br w:val="nil"/>
              <w:tr2bl w:val="nil"/>
            </w:tcBorders>
            <w:noWrap w:val="0"/>
            <w:vAlign w:val="center"/>
          </w:tcPr>
          <w:p w14:paraId="20F9E3A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441" w:type="pct"/>
            <w:tcBorders>
              <w:tl2br w:val="nil"/>
              <w:tr2bl w:val="nil"/>
            </w:tcBorders>
            <w:noWrap w:val="0"/>
            <w:vAlign w:val="center"/>
          </w:tcPr>
          <w:p w14:paraId="01995E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31</w:t>
            </w:r>
          </w:p>
        </w:tc>
        <w:tc>
          <w:tcPr>
            <w:tcW w:w="1226" w:type="pct"/>
            <w:tcBorders>
              <w:tl2br w:val="nil"/>
              <w:tr2bl w:val="nil"/>
            </w:tcBorders>
            <w:noWrap w:val="0"/>
            <w:vAlign w:val="center"/>
          </w:tcPr>
          <w:p w14:paraId="3C34AAE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苯乙烯</w:t>
            </w:r>
          </w:p>
        </w:tc>
        <w:tc>
          <w:tcPr>
            <w:tcW w:w="852" w:type="pct"/>
            <w:tcBorders>
              <w:tl2br w:val="nil"/>
              <w:tr2bl w:val="nil"/>
            </w:tcBorders>
            <w:noWrap w:val="0"/>
            <w:vAlign w:val="center"/>
          </w:tcPr>
          <w:p w14:paraId="69161CB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1290</w:t>
            </w:r>
          </w:p>
        </w:tc>
      </w:tr>
      <w:tr w14:paraId="02FC7B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15DE91B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226" w:type="pct"/>
            <w:tcBorders>
              <w:tl2br w:val="nil"/>
              <w:tr2bl w:val="nil"/>
            </w:tcBorders>
            <w:noWrap w:val="0"/>
            <w:vAlign w:val="center"/>
          </w:tcPr>
          <w:p w14:paraId="5E69D53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氯仿</w:t>
            </w:r>
          </w:p>
        </w:tc>
        <w:tc>
          <w:tcPr>
            <w:tcW w:w="838" w:type="pct"/>
            <w:tcBorders>
              <w:tl2br w:val="nil"/>
              <w:tr2bl w:val="nil"/>
            </w:tcBorders>
            <w:noWrap w:val="0"/>
            <w:vAlign w:val="center"/>
          </w:tcPr>
          <w:p w14:paraId="51ACFFD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0.9</w:t>
            </w:r>
          </w:p>
        </w:tc>
        <w:tc>
          <w:tcPr>
            <w:tcW w:w="441" w:type="pct"/>
            <w:tcBorders>
              <w:tl2br w:val="nil"/>
              <w:tr2bl w:val="nil"/>
            </w:tcBorders>
            <w:noWrap w:val="0"/>
            <w:vAlign w:val="center"/>
          </w:tcPr>
          <w:p w14:paraId="01C2DC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32</w:t>
            </w:r>
          </w:p>
        </w:tc>
        <w:tc>
          <w:tcPr>
            <w:tcW w:w="1226" w:type="pct"/>
            <w:tcBorders>
              <w:tl2br w:val="nil"/>
              <w:tr2bl w:val="nil"/>
            </w:tcBorders>
            <w:noWrap w:val="0"/>
            <w:vAlign w:val="center"/>
          </w:tcPr>
          <w:p w14:paraId="539C0B2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甲苯</w:t>
            </w:r>
          </w:p>
        </w:tc>
        <w:tc>
          <w:tcPr>
            <w:tcW w:w="852" w:type="pct"/>
            <w:tcBorders>
              <w:tl2br w:val="nil"/>
              <w:tr2bl w:val="nil"/>
            </w:tcBorders>
            <w:noWrap w:val="0"/>
            <w:vAlign w:val="center"/>
          </w:tcPr>
          <w:p w14:paraId="753198C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1200</w:t>
            </w:r>
          </w:p>
        </w:tc>
      </w:tr>
      <w:tr w14:paraId="58D151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93" w:hRule="atLeast"/>
          <w:jc w:val="center"/>
        </w:trPr>
        <w:tc>
          <w:tcPr>
            <w:tcW w:w="413" w:type="pct"/>
            <w:tcBorders>
              <w:tl2br w:val="nil"/>
              <w:tr2bl w:val="nil"/>
            </w:tcBorders>
            <w:noWrap w:val="0"/>
            <w:vAlign w:val="center"/>
          </w:tcPr>
          <w:p w14:paraId="7C2D9F5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226" w:type="pct"/>
            <w:tcBorders>
              <w:tl2br w:val="nil"/>
              <w:tr2bl w:val="nil"/>
            </w:tcBorders>
            <w:noWrap w:val="0"/>
            <w:vAlign w:val="center"/>
          </w:tcPr>
          <w:p w14:paraId="7E4D0E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氯甲烷</w:t>
            </w:r>
          </w:p>
        </w:tc>
        <w:tc>
          <w:tcPr>
            <w:tcW w:w="838" w:type="pct"/>
            <w:tcBorders>
              <w:tl2br w:val="nil"/>
              <w:tr2bl w:val="nil"/>
            </w:tcBorders>
            <w:noWrap w:val="0"/>
            <w:vAlign w:val="center"/>
          </w:tcPr>
          <w:p w14:paraId="06F7DE0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37</w:t>
            </w:r>
          </w:p>
        </w:tc>
        <w:tc>
          <w:tcPr>
            <w:tcW w:w="441" w:type="pct"/>
            <w:tcBorders>
              <w:tl2br w:val="nil"/>
              <w:tr2bl w:val="nil"/>
            </w:tcBorders>
            <w:noWrap w:val="0"/>
            <w:vAlign w:val="center"/>
          </w:tcPr>
          <w:p w14:paraId="4E15A32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33</w:t>
            </w:r>
          </w:p>
        </w:tc>
        <w:tc>
          <w:tcPr>
            <w:tcW w:w="1226" w:type="pct"/>
            <w:tcBorders>
              <w:tl2br w:val="nil"/>
              <w:tr2bl w:val="nil"/>
            </w:tcBorders>
            <w:noWrap w:val="0"/>
            <w:vAlign w:val="center"/>
          </w:tcPr>
          <w:p w14:paraId="392900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间二甲苯+对二甲苯</w:t>
            </w:r>
          </w:p>
        </w:tc>
        <w:tc>
          <w:tcPr>
            <w:tcW w:w="852" w:type="pct"/>
            <w:tcBorders>
              <w:tl2br w:val="nil"/>
              <w:tr2bl w:val="nil"/>
            </w:tcBorders>
            <w:noWrap w:val="0"/>
            <w:vAlign w:val="center"/>
          </w:tcPr>
          <w:p w14:paraId="2579C65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570</w:t>
            </w:r>
          </w:p>
        </w:tc>
      </w:tr>
      <w:tr w14:paraId="70366E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455F71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1226" w:type="pct"/>
            <w:tcBorders>
              <w:tl2br w:val="nil"/>
              <w:tr2bl w:val="nil"/>
            </w:tcBorders>
            <w:noWrap w:val="0"/>
            <w:vAlign w:val="center"/>
          </w:tcPr>
          <w:p w14:paraId="6744E3F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1,1-二氯乙烷</w:t>
            </w:r>
          </w:p>
        </w:tc>
        <w:tc>
          <w:tcPr>
            <w:tcW w:w="838" w:type="pct"/>
            <w:tcBorders>
              <w:tl2br w:val="nil"/>
              <w:tr2bl w:val="nil"/>
            </w:tcBorders>
            <w:noWrap w:val="0"/>
            <w:vAlign w:val="center"/>
          </w:tcPr>
          <w:p w14:paraId="7DD58A4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441" w:type="pct"/>
            <w:tcBorders>
              <w:tl2br w:val="nil"/>
              <w:tr2bl w:val="nil"/>
            </w:tcBorders>
            <w:noWrap w:val="0"/>
            <w:vAlign w:val="center"/>
          </w:tcPr>
          <w:p w14:paraId="08865A0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34</w:t>
            </w:r>
          </w:p>
        </w:tc>
        <w:tc>
          <w:tcPr>
            <w:tcW w:w="1226" w:type="pct"/>
            <w:tcBorders>
              <w:tl2br w:val="nil"/>
              <w:tr2bl w:val="nil"/>
            </w:tcBorders>
            <w:noWrap w:val="0"/>
            <w:vAlign w:val="center"/>
          </w:tcPr>
          <w:p w14:paraId="7B45C00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邻二甲苯</w:t>
            </w:r>
          </w:p>
        </w:tc>
        <w:tc>
          <w:tcPr>
            <w:tcW w:w="852" w:type="pct"/>
            <w:tcBorders>
              <w:tl2br w:val="nil"/>
              <w:tr2bl w:val="nil"/>
            </w:tcBorders>
            <w:noWrap w:val="0"/>
            <w:vAlign w:val="center"/>
          </w:tcPr>
          <w:p w14:paraId="54C2C69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640</w:t>
            </w:r>
          </w:p>
        </w:tc>
      </w:tr>
      <w:tr w14:paraId="60B492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003E89D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1226" w:type="pct"/>
            <w:tcBorders>
              <w:tl2br w:val="nil"/>
              <w:tr2bl w:val="nil"/>
            </w:tcBorders>
            <w:noWrap w:val="0"/>
            <w:vAlign w:val="center"/>
          </w:tcPr>
          <w:p w14:paraId="2516659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1,2-二氯乙烷</w:t>
            </w:r>
          </w:p>
        </w:tc>
        <w:tc>
          <w:tcPr>
            <w:tcW w:w="838" w:type="pct"/>
            <w:tcBorders>
              <w:tl2br w:val="nil"/>
              <w:tr2bl w:val="nil"/>
            </w:tcBorders>
            <w:noWrap w:val="0"/>
            <w:vAlign w:val="center"/>
          </w:tcPr>
          <w:p w14:paraId="10C2E19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441" w:type="pct"/>
            <w:tcBorders>
              <w:tl2br w:val="nil"/>
              <w:tr2bl w:val="nil"/>
            </w:tcBorders>
            <w:noWrap w:val="0"/>
            <w:vAlign w:val="center"/>
          </w:tcPr>
          <w:p w14:paraId="096B991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1226" w:type="pct"/>
            <w:tcBorders>
              <w:tl2br w:val="nil"/>
              <w:tr2bl w:val="nil"/>
            </w:tcBorders>
            <w:noWrap w:val="0"/>
            <w:vAlign w:val="center"/>
          </w:tcPr>
          <w:p w14:paraId="1E24C58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硝基苯</w:t>
            </w:r>
          </w:p>
        </w:tc>
        <w:tc>
          <w:tcPr>
            <w:tcW w:w="852" w:type="pct"/>
            <w:tcBorders>
              <w:tl2br w:val="nil"/>
              <w:tr2bl w:val="nil"/>
            </w:tcBorders>
            <w:noWrap w:val="0"/>
            <w:vAlign w:val="center"/>
          </w:tcPr>
          <w:p w14:paraId="0645D1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76</w:t>
            </w:r>
          </w:p>
        </w:tc>
      </w:tr>
      <w:tr w14:paraId="20CD20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1A1244C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1226" w:type="pct"/>
            <w:tcBorders>
              <w:tl2br w:val="nil"/>
              <w:tr2bl w:val="nil"/>
            </w:tcBorders>
            <w:noWrap w:val="0"/>
            <w:vAlign w:val="center"/>
          </w:tcPr>
          <w:p w14:paraId="66F440A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1,1-二氯乙烯</w:t>
            </w:r>
          </w:p>
        </w:tc>
        <w:tc>
          <w:tcPr>
            <w:tcW w:w="838" w:type="pct"/>
            <w:tcBorders>
              <w:tl2br w:val="nil"/>
              <w:tr2bl w:val="nil"/>
            </w:tcBorders>
            <w:noWrap w:val="0"/>
            <w:vAlign w:val="center"/>
          </w:tcPr>
          <w:p w14:paraId="6785E70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66</w:t>
            </w:r>
          </w:p>
        </w:tc>
        <w:tc>
          <w:tcPr>
            <w:tcW w:w="441" w:type="pct"/>
            <w:tcBorders>
              <w:tl2br w:val="nil"/>
              <w:tr2bl w:val="nil"/>
            </w:tcBorders>
            <w:noWrap w:val="0"/>
            <w:vAlign w:val="center"/>
          </w:tcPr>
          <w:p w14:paraId="19401BB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36</w:t>
            </w:r>
          </w:p>
        </w:tc>
        <w:tc>
          <w:tcPr>
            <w:tcW w:w="1226" w:type="pct"/>
            <w:tcBorders>
              <w:tl2br w:val="nil"/>
              <w:tr2bl w:val="nil"/>
            </w:tcBorders>
            <w:noWrap w:val="0"/>
            <w:vAlign w:val="center"/>
          </w:tcPr>
          <w:p w14:paraId="67F2971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苯胺</w:t>
            </w:r>
          </w:p>
        </w:tc>
        <w:tc>
          <w:tcPr>
            <w:tcW w:w="852" w:type="pct"/>
            <w:tcBorders>
              <w:tl2br w:val="nil"/>
              <w:tr2bl w:val="nil"/>
            </w:tcBorders>
            <w:noWrap w:val="0"/>
            <w:vAlign w:val="center"/>
          </w:tcPr>
          <w:p w14:paraId="1CCFAA0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260</w:t>
            </w:r>
          </w:p>
        </w:tc>
      </w:tr>
      <w:tr w14:paraId="613F5B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46AC55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1226" w:type="pct"/>
            <w:tcBorders>
              <w:tl2br w:val="nil"/>
              <w:tr2bl w:val="nil"/>
            </w:tcBorders>
            <w:noWrap w:val="0"/>
            <w:vAlign w:val="center"/>
          </w:tcPr>
          <w:p w14:paraId="2AA90F5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顺-1,2-二氯乙烯</w:t>
            </w:r>
          </w:p>
        </w:tc>
        <w:tc>
          <w:tcPr>
            <w:tcW w:w="838" w:type="pct"/>
            <w:tcBorders>
              <w:tl2br w:val="nil"/>
              <w:tr2bl w:val="nil"/>
            </w:tcBorders>
            <w:noWrap w:val="0"/>
            <w:vAlign w:val="center"/>
          </w:tcPr>
          <w:p w14:paraId="62DF4D2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596</w:t>
            </w:r>
          </w:p>
        </w:tc>
        <w:tc>
          <w:tcPr>
            <w:tcW w:w="441" w:type="pct"/>
            <w:tcBorders>
              <w:tl2br w:val="nil"/>
              <w:tr2bl w:val="nil"/>
            </w:tcBorders>
            <w:noWrap w:val="0"/>
            <w:vAlign w:val="center"/>
          </w:tcPr>
          <w:p w14:paraId="4C13CAA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37</w:t>
            </w:r>
          </w:p>
        </w:tc>
        <w:tc>
          <w:tcPr>
            <w:tcW w:w="1226" w:type="pct"/>
            <w:tcBorders>
              <w:tl2br w:val="nil"/>
              <w:tr2bl w:val="nil"/>
            </w:tcBorders>
            <w:noWrap w:val="0"/>
            <w:vAlign w:val="center"/>
          </w:tcPr>
          <w:p w14:paraId="1F4961D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2-氯酚</w:t>
            </w:r>
          </w:p>
        </w:tc>
        <w:tc>
          <w:tcPr>
            <w:tcW w:w="852" w:type="pct"/>
            <w:tcBorders>
              <w:tl2br w:val="nil"/>
              <w:tr2bl w:val="nil"/>
            </w:tcBorders>
            <w:noWrap w:val="0"/>
            <w:vAlign w:val="center"/>
          </w:tcPr>
          <w:p w14:paraId="47C732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2480</w:t>
            </w:r>
          </w:p>
        </w:tc>
      </w:tr>
      <w:tr w14:paraId="212F2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500DE1B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1226" w:type="pct"/>
            <w:tcBorders>
              <w:tl2br w:val="nil"/>
              <w:tr2bl w:val="nil"/>
            </w:tcBorders>
            <w:noWrap w:val="0"/>
            <w:vAlign w:val="center"/>
          </w:tcPr>
          <w:p w14:paraId="390323F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反-1,2-二氯乙烯</w:t>
            </w:r>
          </w:p>
        </w:tc>
        <w:tc>
          <w:tcPr>
            <w:tcW w:w="838" w:type="pct"/>
            <w:tcBorders>
              <w:tl2br w:val="nil"/>
              <w:tr2bl w:val="nil"/>
            </w:tcBorders>
            <w:noWrap w:val="0"/>
            <w:vAlign w:val="center"/>
          </w:tcPr>
          <w:p w14:paraId="7C1DA1C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54</w:t>
            </w:r>
          </w:p>
        </w:tc>
        <w:tc>
          <w:tcPr>
            <w:tcW w:w="441" w:type="pct"/>
            <w:tcBorders>
              <w:tl2br w:val="nil"/>
              <w:tr2bl w:val="nil"/>
            </w:tcBorders>
            <w:noWrap w:val="0"/>
            <w:vAlign w:val="center"/>
          </w:tcPr>
          <w:p w14:paraId="06FE55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38</w:t>
            </w:r>
          </w:p>
        </w:tc>
        <w:tc>
          <w:tcPr>
            <w:tcW w:w="1226" w:type="pct"/>
            <w:tcBorders>
              <w:tl2br w:val="nil"/>
              <w:tr2bl w:val="nil"/>
            </w:tcBorders>
            <w:noWrap w:val="0"/>
            <w:vAlign w:val="center"/>
          </w:tcPr>
          <w:p w14:paraId="7A87DA9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苯并[a]蒽</w:t>
            </w:r>
          </w:p>
        </w:tc>
        <w:tc>
          <w:tcPr>
            <w:tcW w:w="852" w:type="pct"/>
            <w:tcBorders>
              <w:tl2br w:val="nil"/>
              <w:tr2bl w:val="nil"/>
            </w:tcBorders>
            <w:noWrap w:val="0"/>
            <w:vAlign w:val="center"/>
          </w:tcPr>
          <w:p w14:paraId="3B2F838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30ECB7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70A0BE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1226" w:type="pct"/>
            <w:tcBorders>
              <w:tl2br w:val="nil"/>
              <w:tr2bl w:val="nil"/>
            </w:tcBorders>
            <w:noWrap w:val="0"/>
            <w:vAlign w:val="center"/>
          </w:tcPr>
          <w:p w14:paraId="447FC1F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二氯甲烷</w:t>
            </w:r>
          </w:p>
        </w:tc>
        <w:tc>
          <w:tcPr>
            <w:tcW w:w="838" w:type="pct"/>
            <w:tcBorders>
              <w:tl2br w:val="nil"/>
              <w:tr2bl w:val="nil"/>
            </w:tcBorders>
            <w:noWrap w:val="0"/>
            <w:vAlign w:val="center"/>
          </w:tcPr>
          <w:p w14:paraId="11DC0DF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616</w:t>
            </w:r>
          </w:p>
        </w:tc>
        <w:tc>
          <w:tcPr>
            <w:tcW w:w="441" w:type="pct"/>
            <w:tcBorders>
              <w:tl2br w:val="nil"/>
              <w:tr2bl w:val="nil"/>
            </w:tcBorders>
            <w:noWrap w:val="0"/>
            <w:vAlign w:val="center"/>
          </w:tcPr>
          <w:p w14:paraId="19650C6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39</w:t>
            </w:r>
          </w:p>
        </w:tc>
        <w:tc>
          <w:tcPr>
            <w:tcW w:w="1226" w:type="pct"/>
            <w:tcBorders>
              <w:tl2br w:val="nil"/>
              <w:tr2bl w:val="nil"/>
            </w:tcBorders>
            <w:noWrap w:val="0"/>
            <w:vAlign w:val="center"/>
          </w:tcPr>
          <w:p w14:paraId="05E08DD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苯并[a]芘</w:t>
            </w:r>
          </w:p>
        </w:tc>
        <w:tc>
          <w:tcPr>
            <w:tcW w:w="852" w:type="pct"/>
            <w:tcBorders>
              <w:tl2br w:val="nil"/>
              <w:tr2bl w:val="nil"/>
            </w:tcBorders>
            <w:noWrap w:val="0"/>
            <w:vAlign w:val="center"/>
          </w:tcPr>
          <w:p w14:paraId="3328144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1EEA3D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0F5FB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1226" w:type="pct"/>
            <w:tcBorders>
              <w:tl2br w:val="nil"/>
              <w:tr2bl w:val="nil"/>
            </w:tcBorders>
            <w:noWrap w:val="0"/>
            <w:vAlign w:val="center"/>
          </w:tcPr>
          <w:p w14:paraId="763FA7A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1,2-二氯丙烷</w:t>
            </w:r>
          </w:p>
        </w:tc>
        <w:tc>
          <w:tcPr>
            <w:tcW w:w="838" w:type="pct"/>
            <w:tcBorders>
              <w:tl2br w:val="nil"/>
              <w:tr2bl w:val="nil"/>
            </w:tcBorders>
            <w:noWrap w:val="0"/>
            <w:vAlign w:val="center"/>
          </w:tcPr>
          <w:p w14:paraId="1E0830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441" w:type="pct"/>
            <w:tcBorders>
              <w:tl2br w:val="nil"/>
              <w:tr2bl w:val="nil"/>
            </w:tcBorders>
            <w:noWrap w:val="0"/>
            <w:vAlign w:val="center"/>
          </w:tcPr>
          <w:p w14:paraId="1062F24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1226" w:type="pct"/>
            <w:tcBorders>
              <w:tl2br w:val="nil"/>
              <w:tr2bl w:val="nil"/>
            </w:tcBorders>
            <w:noWrap w:val="0"/>
            <w:vAlign w:val="center"/>
          </w:tcPr>
          <w:p w14:paraId="55539A4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苯并[b]荧蒽</w:t>
            </w:r>
          </w:p>
        </w:tc>
        <w:tc>
          <w:tcPr>
            <w:tcW w:w="852" w:type="pct"/>
            <w:tcBorders>
              <w:tl2br w:val="nil"/>
              <w:tr2bl w:val="nil"/>
            </w:tcBorders>
            <w:noWrap w:val="0"/>
            <w:vAlign w:val="center"/>
          </w:tcPr>
          <w:p w14:paraId="096997F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67AA50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1B05EA1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1226" w:type="pct"/>
            <w:tcBorders>
              <w:tl2br w:val="nil"/>
              <w:tr2bl w:val="nil"/>
            </w:tcBorders>
            <w:noWrap w:val="0"/>
            <w:vAlign w:val="center"/>
          </w:tcPr>
          <w:p w14:paraId="0B7A609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1,1,1,2-四氯乙烷</w:t>
            </w:r>
          </w:p>
        </w:tc>
        <w:tc>
          <w:tcPr>
            <w:tcW w:w="838" w:type="pct"/>
            <w:tcBorders>
              <w:tl2br w:val="nil"/>
              <w:tr2bl w:val="nil"/>
            </w:tcBorders>
            <w:noWrap w:val="0"/>
            <w:vAlign w:val="center"/>
          </w:tcPr>
          <w:p w14:paraId="3A2635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441" w:type="pct"/>
            <w:tcBorders>
              <w:tl2br w:val="nil"/>
              <w:tr2bl w:val="nil"/>
            </w:tcBorders>
            <w:noWrap w:val="0"/>
            <w:vAlign w:val="center"/>
          </w:tcPr>
          <w:p w14:paraId="348FD2D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41</w:t>
            </w:r>
          </w:p>
        </w:tc>
        <w:tc>
          <w:tcPr>
            <w:tcW w:w="1226" w:type="pct"/>
            <w:tcBorders>
              <w:tl2br w:val="nil"/>
              <w:tr2bl w:val="nil"/>
            </w:tcBorders>
            <w:noWrap w:val="0"/>
            <w:vAlign w:val="center"/>
          </w:tcPr>
          <w:p w14:paraId="392F063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苯并[k]荧蒽</w:t>
            </w:r>
          </w:p>
        </w:tc>
        <w:tc>
          <w:tcPr>
            <w:tcW w:w="852" w:type="pct"/>
            <w:tcBorders>
              <w:tl2br w:val="nil"/>
              <w:tr2bl w:val="nil"/>
            </w:tcBorders>
            <w:noWrap w:val="0"/>
            <w:vAlign w:val="center"/>
          </w:tcPr>
          <w:p w14:paraId="4740E81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151</w:t>
            </w:r>
          </w:p>
        </w:tc>
      </w:tr>
      <w:tr w14:paraId="31983D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6A67DB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w:t>
            </w:r>
          </w:p>
        </w:tc>
        <w:tc>
          <w:tcPr>
            <w:tcW w:w="1226" w:type="pct"/>
            <w:tcBorders>
              <w:tl2br w:val="nil"/>
              <w:tr2bl w:val="nil"/>
            </w:tcBorders>
            <w:noWrap w:val="0"/>
            <w:vAlign w:val="center"/>
          </w:tcPr>
          <w:p w14:paraId="3FF0244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1,1,2,2-四氯乙烷</w:t>
            </w:r>
          </w:p>
        </w:tc>
        <w:tc>
          <w:tcPr>
            <w:tcW w:w="838" w:type="pct"/>
            <w:tcBorders>
              <w:tl2br w:val="nil"/>
              <w:tr2bl w:val="nil"/>
            </w:tcBorders>
            <w:noWrap w:val="0"/>
            <w:vAlign w:val="center"/>
          </w:tcPr>
          <w:p w14:paraId="629D91A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6.8</w:t>
            </w:r>
          </w:p>
        </w:tc>
        <w:tc>
          <w:tcPr>
            <w:tcW w:w="441" w:type="pct"/>
            <w:tcBorders>
              <w:tl2br w:val="nil"/>
              <w:tr2bl w:val="nil"/>
            </w:tcBorders>
            <w:noWrap w:val="0"/>
            <w:vAlign w:val="center"/>
          </w:tcPr>
          <w:p w14:paraId="17F96A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42</w:t>
            </w:r>
          </w:p>
        </w:tc>
        <w:tc>
          <w:tcPr>
            <w:tcW w:w="1226" w:type="pct"/>
            <w:tcBorders>
              <w:tl2br w:val="nil"/>
              <w:tr2bl w:val="nil"/>
            </w:tcBorders>
            <w:noWrap w:val="0"/>
            <w:vAlign w:val="center"/>
          </w:tcPr>
          <w:p w14:paraId="728C3AA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䓛</w:t>
            </w:r>
          </w:p>
        </w:tc>
        <w:tc>
          <w:tcPr>
            <w:tcW w:w="852" w:type="pct"/>
            <w:tcBorders>
              <w:tl2br w:val="nil"/>
              <w:tr2bl w:val="nil"/>
            </w:tcBorders>
            <w:noWrap w:val="0"/>
            <w:vAlign w:val="center"/>
          </w:tcPr>
          <w:p w14:paraId="2604364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1293</w:t>
            </w:r>
          </w:p>
        </w:tc>
      </w:tr>
      <w:tr w14:paraId="3EF2FA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8" w:hRule="atLeast"/>
          <w:jc w:val="center"/>
        </w:trPr>
        <w:tc>
          <w:tcPr>
            <w:tcW w:w="413" w:type="pct"/>
            <w:tcBorders>
              <w:tl2br w:val="nil"/>
              <w:tr2bl w:val="nil"/>
            </w:tcBorders>
            <w:noWrap w:val="0"/>
            <w:vAlign w:val="center"/>
          </w:tcPr>
          <w:p w14:paraId="0763FB6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1226" w:type="pct"/>
            <w:tcBorders>
              <w:tl2br w:val="nil"/>
              <w:tr2bl w:val="nil"/>
            </w:tcBorders>
            <w:noWrap w:val="0"/>
            <w:vAlign w:val="center"/>
          </w:tcPr>
          <w:p w14:paraId="6BA7B9A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四氯乙烯</w:t>
            </w:r>
          </w:p>
        </w:tc>
        <w:tc>
          <w:tcPr>
            <w:tcW w:w="838" w:type="pct"/>
            <w:tcBorders>
              <w:tl2br w:val="nil"/>
              <w:tr2bl w:val="nil"/>
            </w:tcBorders>
            <w:noWrap w:val="0"/>
            <w:vAlign w:val="center"/>
          </w:tcPr>
          <w:p w14:paraId="270053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53</w:t>
            </w:r>
          </w:p>
        </w:tc>
        <w:tc>
          <w:tcPr>
            <w:tcW w:w="441" w:type="pct"/>
            <w:tcBorders>
              <w:tl2br w:val="nil"/>
              <w:tr2bl w:val="nil"/>
            </w:tcBorders>
            <w:noWrap w:val="0"/>
            <w:vAlign w:val="center"/>
          </w:tcPr>
          <w:p w14:paraId="07F6FB5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43</w:t>
            </w:r>
          </w:p>
        </w:tc>
        <w:tc>
          <w:tcPr>
            <w:tcW w:w="1226" w:type="pct"/>
            <w:tcBorders>
              <w:tl2br w:val="nil"/>
              <w:tr2bl w:val="nil"/>
            </w:tcBorders>
            <w:noWrap w:val="0"/>
            <w:vAlign w:val="center"/>
          </w:tcPr>
          <w:p w14:paraId="3E21B84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二苯并[a,h]蒽</w:t>
            </w:r>
          </w:p>
        </w:tc>
        <w:tc>
          <w:tcPr>
            <w:tcW w:w="852" w:type="pct"/>
            <w:tcBorders>
              <w:tl2br w:val="nil"/>
              <w:tr2bl w:val="nil"/>
            </w:tcBorders>
            <w:noWrap w:val="0"/>
            <w:vAlign w:val="center"/>
          </w:tcPr>
          <w:p w14:paraId="4A0997B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66E0EE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3F6B5F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w:t>
            </w:r>
          </w:p>
        </w:tc>
        <w:tc>
          <w:tcPr>
            <w:tcW w:w="1226" w:type="pct"/>
            <w:tcBorders>
              <w:tl2br w:val="nil"/>
              <w:tr2bl w:val="nil"/>
            </w:tcBorders>
            <w:noWrap w:val="0"/>
            <w:vAlign w:val="center"/>
          </w:tcPr>
          <w:p w14:paraId="6F1E7E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1,1,1-三氯乙烷</w:t>
            </w:r>
          </w:p>
        </w:tc>
        <w:tc>
          <w:tcPr>
            <w:tcW w:w="838" w:type="pct"/>
            <w:tcBorders>
              <w:tl2br w:val="nil"/>
              <w:tr2bl w:val="nil"/>
            </w:tcBorders>
            <w:noWrap w:val="0"/>
            <w:vAlign w:val="center"/>
          </w:tcPr>
          <w:p w14:paraId="4DD5F6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840</w:t>
            </w:r>
          </w:p>
        </w:tc>
        <w:tc>
          <w:tcPr>
            <w:tcW w:w="441" w:type="pct"/>
            <w:tcBorders>
              <w:tl2br w:val="nil"/>
              <w:tr2bl w:val="nil"/>
            </w:tcBorders>
            <w:noWrap w:val="0"/>
            <w:vAlign w:val="center"/>
          </w:tcPr>
          <w:p w14:paraId="609C9F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44</w:t>
            </w:r>
          </w:p>
        </w:tc>
        <w:tc>
          <w:tcPr>
            <w:tcW w:w="1226" w:type="pct"/>
            <w:tcBorders>
              <w:tl2br w:val="nil"/>
              <w:tr2bl w:val="nil"/>
            </w:tcBorders>
            <w:noWrap w:val="0"/>
            <w:vAlign w:val="center"/>
          </w:tcPr>
          <w:p w14:paraId="000C467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茚并[1,2,3-cd]芘</w:t>
            </w:r>
          </w:p>
        </w:tc>
        <w:tc>
          <w:tcPr>
            <w:tcW w:w="852" w:type="pct"/>
            <w:tcBorders>
              <w:tl2br w:val="nil"/>
              <w:tr2bl w:val="nil"/>
            </w:tcBorders>
            <w:noWrap w:val="0"/>
            <w:vAlign w:val="center"/>
          </w:tcPr>
          <w:p w14:paraId="440A085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265FDB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7403A6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w:t>
            </w:r>
          </w:p>
        </w:tc>
        <w:tc>
          <w:tcPr>
            <w:tcW w:w="1226" w:type="pct"/>
            <w:tcBorders>
              <w:tl2br w:val="nil"/>
              <w:tr2bl w:val="nil"/>
            </w:tcBorders>
            <w:noWrap w:val="0"/>
            <w:vAlign w:val="center"/>
          </w:tcPr>
          <w:p w14:paraId="445312E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1,1,2-三氯乙烷</w:t>
            </w:r>
          </w:p>
        </w:tc>
        <w:tc>
          <w:tcPr>
            <w:tcW w:w="838" w:type="pct"/>
            <w:tcBorders>
              <w:tl2br w:val="nil"/>
              <w:tr2bl w:val="nil"/>
            </w:tcBorders>
            <w:noWrap w:val="0"/>
            <w:vAlign w:val="center"/>
          </w:tcPr>
          <w:p w14:paraId="2A64EE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441" w:type="pct"/>
            <w:tcBorders>
              <w:tl2br w:val="nil"/>
              <w:tr2bl w:val="nil"/>
            </w:tcBorders>
            <w:noWrap w:val="0"/>
            <w:vAlign w:val="center"/>
          </w:tcPr>
          <w:p w14:paraId="0292F68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45</w:t>
            </w:r>
          </w:p>
        </w:tc>
        <w:tc>
          <w:tcPr>
            <w:tcW w:w="1226" w:type="pct"/>
            <w:tcBorders>
              <w:tl2br w:val="nil"/>
              <w:tr2bl w:val="nil"/>
            </w:tcBorders>
            <w:noWrap w:val="0"/>
            <w:vAlign w:val="center"/>
          </w:tcPr>
          <w:p w14:paraId="6B37D17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萘</w:t>
            </w:r>
          </w:p>
        </w:tc>
        <w:tc>
          <w:tcPr>
            <w:tcW w:w="852" w:type="pct"/>
            <w:tcBorders>
              <w:tl2br w:val="nil"/>
              <w:tr2bl w:val="nil"/>
            </w:tcBorders>
            <w:noWrap w:val="0"/>
            <w:vAlign w:val="center"/>
          </w:tcPr>
          <w:p w14:paraId="2D784A9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r>
      <w:tr w14:paraId="63C282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413" w:type="pct"/>
            <w:tcBorders>
              <w:tl2br w:val="nil"/>
              <w:tr2bl w:val="nil"/>
            </w:tcBorders>
            <w:noWrap w:val="0"/>
            <w:vAlign w:val="center"/>
          </w:tcPr>
          <w:p w14:paraId="640E2F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w:t>
            </w:r>
          </w:p>
        </w:tc>
        <w:tc>
          <w:tcPr>
            <w:tcW w:w="1226" w:type="pct"/>
            <w:tcBorders>
              <w:tl2br w:val="nil"/>
              <w:tr2bl w:val="nil"/>
            </w:tcBorders>
            <w:noWrap w:val="0"/>
            <w:vAlign w:val="center"/>
          </w:tcPr>
          <w:p w14:paraId="7AA0C12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三氯乙烯</w:t>
            </w:r>
          </w:p>
        </w:tc>
        <w:tc>
          <w:tcPr>
            <w:tcW w:w="838" w:type="pct"/>
            <w:tcBorders>
              <w:tl2br w:val="nil"/>
              <w:tr2bl w:val="nil"/>
            </w:tcBorders>
            <w:noWrap w:val="0"/>
            <w:vAlign w:val="center"/>
          </w:tcPr>
          <w:p w14:paraId="0CD6D65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441" w:type="pct"/>
            <w:tcBorders>
              <w:tl2br w:val="nil"/>
              <w:tr2bl w:val="nil"/>
            </w:tcBorders>
            <w:noWrap w:val="0"/>
            <w:vAlign w:val="center"/>
          </w:tcPr>
          <w:p w14:paraId="70C84B6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26" w:type="pct"/>
            <w:tcBorders>
              <w:tl2br w:val="nil"/>
              <w:tr2bl w:val="nil"/>
            </w:tcBorders>
            <w:noWrap w:val="0"/>
            <w:vAlign w:val="center"/>
          </w:tcPr>
          <w:p w14:paraId="357BFA6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852" w:type="pct"/>
            <w:tcBorders>
              <w:tl2br w:val="nil"/>
              <w:tr2bl w:val="nil"/>
            </w:tcBorders>
            <w:noWrap w:val="0"/>
            <w:vAlign w:val="center"/>
          </w:tcPr>
          <w:p w14:paraId="34111D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r>
    </w:tbl>
    <w:p w14:paraId="4D1D6411">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表2.4-6   农用地土壤环境质量限值  单位：mg/kg</w:t>
      </w:r>
    </w:p>
    <w:tbl>
      <w:tblPr>
        <w:tblStyle w:val="33"/>
        <w:tblW w:w="89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1"/>
        <w:gridCol w:w="2731"/>
        <w:gridCol w:w="2400"/>
        <w:gridCol w:w="2832"/>
      </w:tblGrid>
      <w:tr w14:paraId="7C99B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981" w:type="dxa"/>
            <w:vMerge w:val="restart"/>
            <w:vAlign w:val="center"/>
          </w:tcPr>
          <w:p w14:paraId="6840FE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2731" w:type="dxa"/>
            <w:vMerge w:val="restart"/>
            <w:vAlign w:val="center"/>
          </w:tcPr>
          <w:p w14:paraId="64AA64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污染物项目</w:t>
            </w:r>
            <w:r>
              <w:rPr>
                <w:rFonts w:hint="eastAsia" w:ascii="Times New Roman" w:hAnsi="Times New Roman" w:cs="Times New Roman"/>
                <w:b/>
                <w:color w:val="auto"/>
                <w:sz w:val="21"/>
                <w:szCs w:val="21"/>
                <w:highlight w:val="none"/>
                <w:lang w:eastAsia="zh-CN"/>
              </w:rPr>
              <w:t>（</w:t>
            </w:r>
            <w:r>
              <w:rPr>
                <w:rFonts w:hint="eastAsia" w:ascii="Times New Roman" w:hAnsi="Times New Roman" w:cs="Times New Roman"/>
                <w:b/>
                <w:color w:val="auto"/>
                <w:sz w:val="21"/>
                <w:szCs w:val="21"/>
                <w:highlight w:val="none"/>
                <w:lang w:val="en-US" w:eastAsia="zh-CN"/>
              </w:rPr>
              <w:t>其他</w:t>
            </w:r>
            <w:r>
              <w:rPr>
                <w:rFonts w:hint="eastAsia" w:ascii="Times New Roman" w:hAnsi="Times New Roman" w:cs="Times New Roman"/>
                <w:b/>
                <w:color w:val="auto"/>
                <w:sz w:val="21"/>
                <w:szCs w:val="21"/>
                <w:highlight w:val="none"/>
                <w:lang w:eastAsia="zh-CN"/>
              </w:rPr>
              <w:t>）</w:t>
            </w:r>
          </w:p>
        </w:tc>
        <w:tc>
          <w:tcPr>
            <w:tcW w:w="5232" w:type="dxa"/>
            <w:gridSpan w:val="2"/>
            <w:vAlign w:val="center"/>
          </w:tcPr>
          <w:p w14:paraId="0B192E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风险筛选值</w:t>
            </w:r>
          </w:p>
        </w:tc>
      </w:tr>
      <w:tr w14:paraId="6676E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981" w:type="dxa"/>
            <w:vMerge w:val="continue"/>
            <w:vAlign w:val="center"/>
          </w:tcPr>
          <w:p w14:paraId="0BCC4A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2731" w:type="dxa"/>
            <w:vMerge w:val="continue"/>
            <w:vAlign w:val="center"/>
          </w:tcPr>
          <w:p w14:paraId="5102D2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2400" w:type="dxa"/>
            <w:vAlign w:val="center"/>
          </w:tcPr>
          <w:p w14:paraId="0DDBB7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r>
              <w:rPr>
                <w:rFonts w:hint="eastAsia" w:cs="Times New Roman"/>
                <w:color w:val="auto"/>
                <w:sz w:val="21"/>
                <w:szCs w:val="21"/>
                <w:highlight w:val="none"/>
                <w:lang w:eastAsia="zh-CN"/>
              </w:rPr>
              <w:t>&lt;</w:t>
            </w:r>
            <w:r>
              <w:rPr>
                <w:rFonts w:hint="default" w:ascii="Times New Roman" w:hAnsi="Times New Roman" w:cs="Times New Roman"/>
                <w:color w:val="auto"/>
                <w:sz w:val="21"/>
                <w:szCs w:val="21"/>
                <w:highlight w:val="none"/>
              </w:rPr>
              <w:t>pH≤7.5</w:t>
            </w:r>
          </w:p>
        </w:tc>
        <w:tc>
          <w:tcPr>
            <w:tcW w:w="2832" w:type="dxa"/>
            <w:vAlign w:val="center"/>
          </w:tcPr>
          <w:p w14:paraId="7D7007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pH</w:t>
            </w:r>
            <w:r>
              <w:rPr>
                <w:rFonts w:hint="eastAsia" w:cs="Times New Roman"/>
                <w:color w:val="auto"/>
                <w:sz w:val="21"/>
                <w:szCs w:val="21"/>
                <w:highlight w:val="none"/>
                <w:lang w:eastAsia="zh-CN"/>
              </w:rPr>
              <w:t>&gt;</w:t>
            </w:r>
            <w:r>
              <w:rPr>
                <w:rFonts w:hint="default" w:ascii="Times New Roman" w:hAnsi="Times New Roman" w:cs="Times New Roman"/>
                <w:color w:val="auto"/>
                <w:sz w:val="21"/>
                <w:szCs w:val="21"/>
                <w:highlight w:val="none"/>
              </w:rPr>
              <w:t>7.5</w:t>
            </w:r>
          </w:p>
        </w:tc>
      </w:tr>
      <w:tr w14:paraId="2B2FB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670609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731" w:type="dxa"/>
            <w:vAlign w:val="center"/>
          </w:tcPr>
          <w:p w14:paraId="1CB6C0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2400" w:type="dxa"/>
            <w:vAlign w:val="center"/>
          </w:tcPr>
          <w:p w14:paraId="27AB2D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2832" w:type="dxa"/>
            <w:vAlign w:val="center"/>
          </w:tcPr>
          <w:p w14:paraId="384490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w:t>
            </w:r>
          </w:p>
        </w:tc>
      </w:tr>
      <w:tr w14:paraId="25642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981" w:type="dxa"/>
            <w:vAlign w:val="center"/>
          </w:tcPr>
          <w:p w14:paraId="0B8E80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731" w:type="dxa"/>
            <w:vAlign w:val="center"/>
          </w:tcPr>
          <w:p w14:paraId="7AFF0E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w:t>
            </w:r>
          </w:p>
        </w:tc>
        <w:tc>
          <w:tcPr>
            <w:tcW w:w="2400" w:type="dxa"/>
            <w:vAlign w:val="center"/>
          </w:tcPr>
          <w:p w14:paraId="31B4F8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2832" w:type="dxa"/>
            <w:vAlign w:val="center"/>
          </w:tcPr>
          <w:p w14:paraId="764E46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r>
      <w:tr w14:paraId="63595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1550A9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731" w:type="dxa"/>
            <w:vAlign w:val="center"/>
          </w:tcPr>
          <w:p w14:paraId="735F86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w:t>
            </w:r>
          </w:p>
        </w:tc>
        <w:tc>
          <w:tcPr>
            <w:tcW w:w="2400" w:type="dxa"/>
            <w:vAlign w:val="center"/>
          </w:tcPr>
          <w:p w14:paraId="22F768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2832" w:type="dxa"/>
            <w:vAlign w:val="center"/>
          </w:tcPr>
          <w:p w14:paraId="420689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r>
      <w:tr w14:paraId="5DEF0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3CCABE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731" w:type="dxa"/>
            <w:vAlign w:val="center"/>
          </w:tcPr>
          <w:p w14:paraId="648728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2400" w:type="dxa"/>
            <w:vAlign w:val="center"/>
          </w:tcPr>
          <w:p w14:paraId="3D5829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2832" w:type="dxa"/>
            <w:vAlign w:val="center"/>
          </w:tcPr>
          <w:p w14:paraId="5A4AA3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170</w:t>
            </w:r>
          </w:p>
        </w:tc>
      </w:tr>
      <w:tr w14:paraId="57668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0F13F7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731" w:type="dxa"/>
            <w:vAlign w:val="center"/>
          </w:tcPr>
          <w:p w14:paraId="4369A5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铬</w:t>
            </w:r>
          </w:p>
        </w:tc>
        <w:tc>
          <w:tcPr>
            <w:tcW w:w="2400" w:type="dxa"/>
            <w:vAlign w:val="center"/>
          </w:tcPr>
          <w:p w14:paraId="489729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c>
          <w:tcPr>
            <w:tcW w:w="2832" w:type="dxa"/>
            <w:vAlign w:val="center"/>
          </w:tcPr>
          <w:p w14:paraId="661EB4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r>
      <w:tr w14:paraId="077DF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7294A2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731" w:type="dxa"/>
            <w:vAlign w:val="center"/>
          </w:tcPr>
          <w:p w14:paraId="38B67E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tc>
        <w:tc>
          <w:tcPr>
            <w:tcW w:w="2400" w:type="dxa"/>
            <w:vAlign w:val="center"/>
          </w:tcPr>
          <w:p w14:paraId="05E36A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2832" w:type="dxa"/>
            <w:vAlign w:val="center"/>
          </w:tcPr>
          <w:p w14:paraId="0E7FCB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7C4D2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0AC337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731" w:type="dxa"/>
            <w:vAlign w:val="center"/>
          </w:tcPr>
          <w:p w14:paraId="53C51A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w:t>
            </w:r>
          </w:p>
        </w:tc>
        <w:tc>
          <w:tcPr>
            <w:tcW w:w="2400" w:type="dxa"/>
            <w:vAlign w:val="center"/>
          </w:tcPr>
          <w:p w14:paraId="7E5F53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2832" w:type="dxa"/>
            <w:vAlign w:val="center"/>
          </w:tcPr>
          <w:p w14:paraId="5230EA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190</w:t>
            </w:r>
          </w:p>
        </w:tc>
      </w:tr>
      <w:tr w14:paraId="0C1AD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2B0B1D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731" w:type="dxa"/>
            <w:vAlign w:val="center"/>
          </w:tcPr>
          <w:p w14:paraId="24E68B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锌</w:t>
            </w:r>
          </w:p>
        </w:tc>
        <w:tc>
          <w:tcPr>
            <w:tcW w:w="2400" w:type="dxa"/>
            <w:vAlign w:val="center"/>
          </w:tcPr>
          <w:p w14:paraId="67DC2E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2832" w:type="dxa"/>
            <w:vAlign w:val="center"/>
          </w:tcPr>
          <w:p w14:paraId="40D6E7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r>
    </w:tbl>
    <w:p w14:paraId="7FD3A46E">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2.4.2 污染物排放标准</w:t>
      </w:r>
    </w:p>
    <w:p w14:paraId="273C1E6F">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bookmarkStart w:id="82" w:name="_Hlk150727683"/>
      <w:r>
        <w:rPr>
          <w:rFonts w:hint="default" w:ascii="Times New Roman" w:hAnsi="Times New Roman" w:cs="Times New Roman"/>
          <w:b/>
          <w:bCs/>
          <w:color w:val="auto"/>
          <w:highlight w:val="none"/>
        </w:rPr>
        <w:t>（1）废气</w:t>
      </w:r>
    </w:p>
    <w:p w14:paraId="50641C6F">
      <w:pPr>
        <w:pStyle w:val="10"/>
        <w:keepNext w:val="0"/>
        <w:keepLines w:val="0"/>
        <w:pageBreakBefore w:val="0"/>
        <w:widowControl w:val="0"/>
        <w:kinsoku/>
        <w:wordWrap/>
        <w:overflowPunct/>
        <w:topLinePunct w:val="0"/>
        <w:autoSpaceDE/>
        <w:autoSpaceDN/>
        <w:bidi w:val="0"/>
        <w:adjustRightInd w:val="0"/>
        <w:snapToGrid w:val="0"/>
        <w:spacing w:beforeLines="0" w:afterLines="0" w:line="480" w:lineRule="exact"/>
        <w:ind w:left="0" w:leftChars="0" w:right="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本项目主要大气污染物为硫酸雾、颗粒物。有组织颗粒物</w:t>
      </w:r>
      <w:r>
        <w:rPr>
          <w:rFonts w:hint="eastAsia" w:ascii="Times New Roman" w:eastAsia="宋体" w:cs="Times New Roman"/>
          <w:b w:val="0"/>
          <w:color w:val="auto"/>
          <w:kern w:val="2"/>
          <w:sz w:val="24"/>
          <w:szCs w:val="24"/>
          <w:highlight w:val="none"/>
          <w:lang w:val="en-US" w:eastAsia="zh-CN" w:bidi="ar-SA"/>
        </w:rPr>
        <w:t>、硫酸雾执行</w:t>
      </w:r>
      <w:r>
        <w:rPr>
          <w:rFonts w:hint="default" w:ascii="Times New Roman" w:hAnsi="Times New Roman" w:eastAsia="宋体" w:cs="Times New Roman"/>
          <w:b w:val="0"/>
          <w:color w:val="auto"/>
          <w:kern w:val="2"/>
          <w:sz w:val="24"/>
          <w:szCs w:val="24"/>
          <w:highlight w:val="none"/>
          <w:lang w:val="en-US" w:eastAsia="zh-CN" w:bidi="ar-SA"/>
        </w:rPr>
        <w:t>《铜、镍、钴工业污染物排放标准》（GB25467-2010）中表</w:t>
      </w:r>
      <w:r>
        <w:rPr>
          <w:rFonts w:hint="eastAsia" w:ascii="Times New Roman" w:eastAsia="宋体" w:cs="Times New Roman"/>
          <w:b w:val="0"/>
          <w:color w:val="auto"/>
          <w:kern w:val="2"/>
          <w:sz w:val="24"/>
          <w:szCs w:val="24"/>
          <w:highlight w:val="none"/>
          <w:lang w:val="en-US" w:eastAsia="zh-CN" w:bidi="ar-SA"/>
        </w:rPr>
        <w:t>5</w:t>
      </w:r>
      <w:r>
        <w:rPr>
          <w:rFonts w:hint="default" w:ascii="Times New Roman" w:hAnsi="Times New Roman" w:eastAsia="宋体" w:cs="Times New Roman"/>
          <w:b w:val="0"/>
          <w:color w:val="auto"/>
          <w:kern w:val="2"/>
          <w:sz w:val="24"/>
          <w:szCs w:val="24"/>
          <w:highlight w:val="none"/>
          <w:lang w:val="en-US" w:eastAsia="zh-CN" w:bidi="ar-SA"/>
        </w:rPr>
        <w:t>大气污染物特别排放限值，无组织颗粒物和硫酸排放执行《铜、镍、钴工业污染物排放标准》（GB25467-2010）表6 现有和新建企业边界大气污染物浓度限值</w:t>
      </w:r>
      <w:r>
        <w:rPr>
          <w:rFonts w:hint="eastAsia" w:ascii="Times New Roman" w:eastAsia="宋体" w:cs="Times New Roman"/>
          <w:b w:val="0"/>
          <w:color w:val="auto"/>
          <w:kern w:val="2"/>
          <w:sz w:val="24"/>
          <w:szCs w:val="24"/>
          <w:highlight w:val="none"/>
          <w:lang w:val="en-US" w:eastAsia="zh-CN" w:bidi="ar-SA"/>
        </w:rPr>
        <w:t>，非甲烷总烃有组织排放执行《大气污染物综合排放标准》（GB16297-1996）表2新污染源大气污染物排放限值，同时执行厂区内非甲烷总烃满足《挥发性有机物无组织排放控制标准》（GB37822-2019）要求。</w:t>
      </w:r>
      <w:r>
        <w:rPr>
          <w:rFonts w:hint="default" w:ascii="Times New Roman" w:hAnsi="Times New Roman" w:eastAsia="宋体" w:cs="Times New Roman"/>
          <w:b w:val="0"/>
          <w:color w:val="auto"/>
          <w:kern w:val="2"/>
          <w:sz w:val="24"/>
          <w:szCs w:val="24"/>
          <w:highlight w:val="none"/>
          <w:lang w:val="en-US" w:eastAsia="zh-CN" w:bidi="ar-SA"/>
        </w:rPr>
        <w:t>具体标准限值见表2.4-7。</w:t>
      </w:r>
    </w:p>
    <w:p w14:paraId="78351731">
      <w:pPr>
        <w:pStyle w:val="1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rPr>
      </w:pPr>
      <w:bookmarkStart w:id="83" w:name="OLE_LINK19"/>
      <w:r>
        <w:rPr>
          <w:rFonts w:hint="default" w:ascii="Times New Roman" w:hAnsi="Times New Roman" w:eastAsia="宋体" w:cs="Times New Roman"/>
          <w:b/>
          <w:color w:val="auto"/>
          <w:kern w:val="2"/>
          <w:sz w:val="21"/>
          <w:szCs w:val="21"/>
          <w:highlight w:val="none"/>
        </w:rPr>
        <w:t>表</w:t>
      </w:r>
      <w:r>
        <w:rPr>
          <w:rFonts w:hint="default" w:ascii="Times New Roman" w:hAnsi="Times New Roman" w:eastAsia="宋体" w:cs="Times New Roman"/>
          <w:b/>
          <w:color w:val="auto"/>
          <w:kern w:val="2"/>
          <w:sz w:val="21"/>
          <w:szCs w:val="21"/>
          <w:highlight w:val="none"/>
          <w:lang w:val="en-US" w:eastAsia="zh-CN"/>
        </w:rPr>
        <w:t>2.4-7</w:t>
      </w:r>
      <w:r>
        <w:rPr>
          <w:rFonts w:hint="default" w:ascii="Times New Roman" w:hAnsi="Times New Roman" w:eastAsia="宋体" w:cs="Times New Roman"/>
          <w:b/>
          <w:color w:val="auto"/>
          <w:kern w:val="2"/>
          <w:sz w:val="21"/>
          <w:szCs w:val="21"/>
          <w:highlight w:val="none"/>
        </w:rPr>
        <w:t xml:space="preserve">  </w:t>
      </w:r>
      <w:r>
        <w:rPr>
          <w:rFonts w:hint="default" w:ascii="Times New Roman" w:hAnsi="Times New Roman" w:eastAsia="宋体" w:cs="Times New Roman"/>
          <w:b/>
          <w:color w:val="auto"/>
          <w:kern w:val="2"/>
          <w:sz w:val="21"/>
          <w:szCs w:val="21"/>
          <w:highlight w:val="none"/>
          <w:lang w:val="en-US" w:eastAsia="zh-CN"/>
        </w:rPr>
        <w:t xml:space="preserve"> </w:t>
      </w:r>
      <w:r>
        <w:rPr>
          <w:rFonts w:hint="default" w:ascii="Times New Roman" w:hAnsi="Times New Roman" w:eastAsia="宋体" w:cs="Times New Roman"/>
          <w:b/>
          <w:color w:val="auto"/>
          <w:kern w:val="2"/>
          <w:sz w:val="21"/>
          <w:szCs w:val="21"/>
          <w:highlight w:val="none"/>
        </w:rPr>
        <w:t xml:space="preserve"> 废气污染物执行标准</w:t>
      </w:r>
      <w:r>
        <w:rPr>
          <w:rFonts w:hint="default" w:ascii="Times New Roman" w:hAnsi="Times New Roman" w:eastAsia="宋体" w:cs="Times New Roman"/>
          <w:b/>
          <w:color w:val="auto"/>
          <w:kern w:val="2"/>
          <w:sz w:val="21"/>
          <w:szCs w:val="21"/>
          <w:highlight w:val="none"/>
          <w:lang w:val="en-US" w:eastAsia="zh-CN"/>
        </w:rPr>
        <w:t xml:space="preserve">    单位：</w:t>
      </w: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49"/>
        <w:gridCol w:w="956"/>
        <w:gridCol w:w="2154"/>
        <w:gridCol w:w="873"/>
        <w:gridCol w:w="2918"/>
      </w:tblGrid>
      <w:tr w14:paraId="169C72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restart"/>
            <w:tcBorders>
              <w:tl2br w:val="nil"/>
              <w:tr2bl w:val="nil"/>
            </w:tcBorders>
            <w:vAlign w:val="center"/>
          </w:tcPr>
          <w:p w14:paraId="1C61F9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序号</w:t>
            </w:r>
          </w:p>
        </w:tc>
        <w:tc>
          <w:tcPr>
            <w:tcW w:w="658" w:type="pct"/>
            <w:vMerge w:val="restart"/>
            <w:tcBorders>
              <w:tl2br w:val="nil"/>
              <w:tr2bl w:val="nil"/>
            </w:tcBorders>
            <w:vAlign w:val="center"/>
          </w:tcPr>
          <w:p w14:paraId="0D6C17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污染物</w:t>
            </w:r>
          </w:p>
        </w:tc>
        <w:tc>
          <w:tcPr>
            <w:tcW w:w="547" w:type="pct"/>
            <w:vMerge w:val="restart"/>
            <w:tcBorders>
              <w:tl2br w:val="nil"/>
              <w:tr2bl w:val="nil"/>
            </w:tcBorders>
            <w:vAlign w:val="center"/>
          </w:tcPr>
          <w:p w14:paraId="38640A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限值</w:t>
            </w:r>
          </w:p>
        </w:tc>
        <w:tc>
          <w:tcPr>
            <w:tcW w:w="1733" w:type="pct"/>
            <w:gridSpan w:val="2"/>
            <w:tcBorders>
              <w:tl2br w:val="nil"/>
              <w:tr2bl w:val="nil"/>
            </w:tcBorders>
            <w:vAlign w:val="center"/>
          </w:tcPr>
          <w:p w14:paraId="73EE6F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无组织排放监控浓度限值</w:t>
            </w:r>
          </w:p>
        </w:tc>
        <w:tc>
          <w:tcPr>
            <w:tcW w:w="1671" w:type="pct"/>
            <w:vMerge w:val="restart"/>
            <w:tcBorders>
              <w:tl2br w:val="nil"/>
              <w:tr2bl w:val="nil"/>
            </w:tcBorders>
            <w:vAlign w:val="center"/>
          </w:tcPr>
          <w:p w14:paraId="5F55E5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来源</w:t>
            </w:r>
          </w:p>
        </w:tc>
      </w:tr>
      <w:tr w14:paraId="081185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388" w:type="pct"/>
            <w:vMerge w:val="continue"/>
            <w:tcBorders>
              <w:tl2br w:val="nil"/>
              <w:tr2bl w:val="nil"/>
            </w:tcBorders>
            <w:vAlign w:val="center"/>
          </w:tcPr>
          <w:p w14:paraId="11BE32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p>
        </w:tc>
        <w:tc>
          <w:tcPr>
            <w:tcW w:w="658" w:type="pct"/>
            <w:vMerge w:val="continue"/>
            <w:tcBorders>
              <w:tl2br w:val="nil"/>
              <w:tr2bl w:val="nil"/>
            </w:tcBorders>
            <w:vAlign w:val="center"/>
          </w:tcPr>
          <w:p w14:paraId="3A7E1D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p>
        </w:tc>
        <w:tc>
          <w:tcPr>
            <w:tcW w:w="547" w:type="pct"/>
            <w:vMerge w:val="continue"/>
            <w:tcBorders>
              <w:tl2br w:val="nil"/>
              <w:tr2bl w:val="nil"/>
            </w:tcBorders>
            <w:vAlign w:val="center"/>
          </w:tcPr>
          <w:p w14:paraId="66C653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p>
        </w:tc>
        <w:tc>
          <w:tcPr>
            <w:tcW w:w="1233" w:type="pct"/>
            <w:tcBorders>
              <w:tl2br w:val="nil"/>
              <w:tr2bl w:val="nil"/>
            </w:tcBorders>
            <w:vAlign w:val="center"/>
          </w:tcPr>
          <w:p w14:paraId="425794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监控点</w:t>
            </w:r>
          </w:p>
        </w:tc>
        <w:tc>
          <w:tcPr>
            <w:tcW w:w="500" w:type="pct"/>
            <w:tcBorders>
              <w:tl2br w:val="nil"/>
              <w:tr2bl w:val="nil"/>
            </w:tcBorders>
            <w:vAlign w:val="center"/>
          </w:tcPr>
          <w:p w14:paraId="34F2F9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浓度</w:t>
            </w:r>
          </w:p>
        </w:tc>
        <w:tc>
          <w:tcPr>
            <w:tcW w:w="1671" w:type="pct"/>
            <w:vMerge w:val="continue"/>
            <w:tcBorders>
              <w:tl2br w:val="nil"/>
              <w:tr2bl w:val="nil"/>
            </w:tcBorders>
            <w:vAlign w:val="center"/>
          </w:tcPr>
          <w:p w14:paraId="03C240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p>
        </w:tc>
      </w:tr>
      <w:tr w14:paraId="14EA82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restart"/>
            <w:tcBorders>
              <w:tl2br w:val="nil"/>
              <w:tr2bl w:val="nil"/>
            </w:tcBorders>
            <w:vAlign w:val="center"/>
          </w:tcPr>
          <w:p w14:paraId="78658F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w:t>
            </w:r>
          </w:p>
        </w:tc>
        <w:tc>
          <w:tcPr>
            <w:tcW w:w="658" w:type="pct"/>
            <w:vMerge w:val="restart"/>
            <w:tcBorders>
              <w:tl2br w:val="nil"/>
              <w:tr2bl w:val="nil"/>
            </w:tcBorders>
            <w:vAlign w:val="center"/>
          </w:tcPr>
          <w:p w14:paraId="1E8144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颗粒物</w:t>
            </w:r>
          </w:p>
        </w:tc>
        <w:tc>
          <w:tcPr>
            <w:tcW w:w="547" w:type="pct"/>
            <w:tcBorders>
              <w:tl2br w:val="nil"/>
              <w:tr2bl w:val="nil"/>
            </w:tcBorders>
            <w:vAlign w:val="center"/>
          </w:tcPr>
          <w:p w14:paraId="777563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80</w:t>
            </w:r>
          </w:p>
        </w:tc>
        <w:tc>
          <w:tcPr>
            <w:tcW w:w="1233" w:type="pct"/>
            <w:tcBorders>
              <w:tl2br w:val="nil"/>
              <w:tr2bl w:val="nil"/>
            </w:tcBorders>
            <w:vAlign w:val="center"/>
          </w:tcPr>
          <w:p w14:paraId="04FFD3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500" w:type="pct"/>
            <w:tcBorders>
              <w:tl2br w:val="nil"/>
              <w:tr2bl w:val="nil"/>
            </w:tcBorders>
            <w:vAlign w:val="center"/>
          </w:tcPr>
          <w:p w14:paraId="0FB1BC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671" w:type="pct"/>
            <w:vMerge w:val="restart"/>
            <w:tcBorders>
              <w:tl2br w:val="nil"/>
              <w:tr2bl w:val="nil"/>
            </w:tcBorders>
            <w:vAlign w:val="center"/>
          </w:tcPr>
          <w:p w14:paraId="33BD78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eastAsia="zh-CN"/>
              </w:rPr>
              <w:t>《铜、镍、钴工业污染物排放标准》（GB25467-2010）</w:t>
            </w:r>
            <w:r>
              <w:rPr>
                <w:rFonts w:hint="default" w:ascii="Times New Roman" w:hAnsi="Times New Roman" w:eastAsia="宋体" w:cs="Times New Roman"/>
                <w:b w:val="0"/>
                <w:bCs w:val="0"/>
                <w:snapToGrid w:val="0"/>
                <w:color w:val="auto"/>
                <w:kern w:val="0"/>
                <w:sz w:val="21"/>
                <w:szCs w:val="21"/>
                <w:highlight w:val="none"/>
                <w:lang w:val="en-US" w:eastAsia="zh-CN"/>
              </w:rPr>
              <w:t>中</w:t>
            </w:r>
            <w:r>
              <w:rPr>
                <w:rFonts w:hint="default" w:ascii="Times New Roman" w:hAnsi="Times New Roman" w:eastAsia="宋体" w:cs="Times New Roman"/>
                <w:b w:val="0"/>
                <w:bCs w:val="0"/>
                <w:snapToGrid w:val="0"/>
                <w:color w:val="auto"/>
                <w:kern w:val="0"/>
                <w:sz w:val="21"/>
                <w:szCs w:val="21"/>
                <w:highlight w:val="none"/>
                <w:lang w:eastAsia="zh-CN"/>
              </w:rPr>
              <w:t>表</w:t>
            </w:r>
            <w:r>
              <w:rPr>
                <w:rFonts w:hint="eastAsia" w:ascii="Times New Roman" w:hAnsi="Times New Roman" w:eastAsia="宋体" w:cs="Times New Roman"/>
                <w:b w:val="0"/>
                <w:bCs w:val="0"/>
                <w:snapToGrid w:val="0"/>
                <w:color w:val="auto"/>
                <w:kern w:val="0"/>
                <w:sz w:val="21"/>
                <w:szCs w:val="21"/>
                <w:highlight w:val="none"/>
                <w:lang w:val="en-US" w:eastAsia="zh-CN"/>
              </w:rPr>
              <w:t>5及表</w:t>
            </w:r>
            <w:r>
              <w:rPr>
                <w:rFonts w:hint="default" w:ascii="Times New Roman" w:hAnsi="Times New Roman" w:eastAsia="宋体" w:cs="Times New Roman"/>
                <w:b w:val="0"/>
                <w:bCs w:val="0"/>
                <w:snapToGrid w:val="0"/>
                <w:color w:val="auto"/>
                <w:kern w:val="0"/>
                <w:sz w:val="21"/>
                <w:szCs w:val="21"/>
                <w:highlight w:val="none"/>
                <w:lang w:eastAsia="zh-CN"/>
              </w:rPr>
              <w:t>6</w:t>
            </w:r>
          </w:p>
        </w:tc>
      </w:tr>
      <w:tr w14:paraId="0B4486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continue"/>
            <w:tcBorders>
              <w:tl2br w:val="nil"/>
              <w:tr2bl w:val="nil"/>
            </w:tcBorders>
            <w:vAlign w:val="center"/>
          </w:tcPr>
          <w:p w14:paraId="5512C6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658" w:type="pct"/>
            <w:vMerge w:val="continue"/>
            <w:tcBorders>
              <w:tl2br w:val="nil"/>
              <w:tr2bl w:val="nil"/>
            </w:tcBorders>
            <w:vAlign w:val="center"/>
          </w:tcPr>
          <w:p w14:paraId="357F37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547" w:type="pct"/>
            <w:tcBorders>
              <w:tl2br w:val="nil"/>
              <w:tr2bl w:val="nil"/>
            </w:tcBorders>
            <w:vAlign w:val="center"/>
          </w:tcPr>
          <w:p w14:paraId="5CD3E3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233" w:type="pct"/>
            <w:tcBorders>
              <w:tl2br w:val="nil"/>
              <w:tr2bl w:val="nil"/>
            </w:tcBorders>
            <w:vAlign w:val="center"/>
          </w:tcPr>
          <w:p w14:paraId="63A538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厂界</w:t>
            </w:r>
          </w:p>
        </w:tc>
        <w:tc>
          <w:tcPr>
            <w:tcW w:w="500" w:type="pct"/>
            <w:tcBorders>
              <w:tl2br w:val="nil"/>
              <w:tr2bl w:val="nil"/>
            </w:tcBorders>
            <w:vAlign w:val="center"/>
          </w:tcPr>
          <w:p w14:paraId="2E62E2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1.0</w:t>
            </w:r>
          </w:p>
        </w:tc>
        <w:tc>
          <w:tcPr>
            <w:tcW w:w="1671" w:type="pct"/>
            <w:vMerge w:val="continue"/>
            <w:tcBorders>
              <w:tl2br w:val="nil"/>
              <w:tr2bl w:val="nil"/>
            </w:tcBorders>
            <w:vAlign w:val="center"/>
          </w:tcPr>
          <w:p w14:paraId="5D3E1F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eastAsia="zh-CN"/>
              </w:rPr>
            </w:pPr>
          </w:p>
        </w:tc>
      </w:tr>
      <w:tr w14:paraId="2BC2F0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tcBorders>
              <w:tl2br w:val="nil"/>
              <w:tr2bl w:val="nil"/>
            </w:tcBorders>
            <w:vAlign w:val="center"/>
          </w:tcPr>
          <w:p w14:paraId="7156E3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2</w:t>
            </w:r>
          </w:p>
        </w:tc>
        <w:tc>
          <w:tcPr>
            <w:tcW w:w="658" w:type="pct"/>
            <w:tcBorders>
              <w:tl2br w:val="nil"/>
              <w:tr2bl w:val="nil"/>
            </w:tcBorders>
            <w:vAlign w:val="center"/>
          </w:tcPr>
          <w:p w14:paraId="64B88D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硫酸雾</w:t>
            </w:r>
          </w:p>
        </w:tc>
        <w:tc>
          <w:tcPr>
            <w:tcW w:w="547" w:type="pct"/>
            <w:tcBorders>
              <w:tl2br w:val="nil"/>
              <w:tr2bl w:val="nil"/>
            </w:tcBorders>
            <w:vAlign w:val="center"/>
          </w:tcPr>
          <w:p w14:paraId="36E2F9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rPr>
            </w:pPr>
            <w:r>
              <w:rPr>
                <w:rFonts w:hint="eastAsia" w:cs="Times New Roman"/>
                <w:b w:val="0"/>
                <w:bCs w:val="0"/>
                <w:snapToGrid w:val="0"/>
                <w:color w:val="auto"/>
                <w:kern w:val="0"/>
                <w:sz w:val="21"/>
                <w:szCs w:val="21"/>
                <w:highlight w:val="none"/>
                <w:lang w:val="en-US" w:eastAsia="zh-CN"/>
              </w:rPr>
              <w:t>40</w:t>
            </w:r>
          </w:p>
        </w:tc>
        <w:tc>
          <w:tcPr>
            <w:tcW w:w="1233" w:type="pct"/>
            <w:tcBorders>
              <w:tl2br w:val="nil"/>
              <w:tr2bl w:val="nil"/>
            </w:tcBorders>
            <w:vAlign w:val="center"/>
          </w:tcPr>
          <w:p w14:paraId="4339DA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厂界</w:t>
            </w:r>
          </w:p>
        </w:tc>
        <w:tc>
          <w:tcPr>
            <w:tcW w:w="500" w:type="pct"/>
            <w:tcBorders>
              <w:tl2br w:val="nil"/>
              <w:tr2bl w:val="nil"/>
            </w:tcBorders>
            <w:vAlign w:val="center"/>
          </w:tcPr>
          <w:p w14:paraId="1A6F29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0.3</w:t>
            </w:r>
          </w:p>
        </w:tc>
        <w:tc>
          <w:tcPr>
            <w:tcW w:w="1671" w:type="pct"/>
            <w:vMerge w:val="continue"/>
            <w:tcBorders>
              <w:tl2br w:val="nil"/>
              <w:tr2bl w:val="nil"/>
            </w:tcBorders>
            <w:vAlign w:val="center"/>
          </w:tcPr>
          <w:p w14:paraId="2A424A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r>
      <w:tr w14:paraId="0E9FAB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tcBorders>
              <w:tl2br w:val="nil"/>
              <w:tr2bl w:val="nil"/>
            </w:tcBorders>
            <w:vAlign w:val="center"/>
          </w:tcPr>
          <w:p w14:paraId="580D47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w:t>
            </w:r>
          </w:p>
        </w:tc>
        <w:tc>
          <w:tcPr>
            <w:tcW w:w="1205" w:type="pct"/>
            <w:gridSpan w:val="2"/>
            <w:tcBorders>
              <w:tl2br w:val="nil"/>
              <w:tr2bl w:val="nil"/>
            </w:tcBorders>
            <w:vAlign w:val="center"/>
          </w:tcPr>
          <w:p w14:paraId="6F25D3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单位产品基准排气量</w:t>
            </w:r>
          </w:p>
        </w:tc>
        <w:tc>
          <w:tcPr>
            <w:tcW w:w="1233" w:type="pct"/>
            <w:tcBorders>
              <w:tl2br w:val="nil"/>
              <w:tr2bl w:val="nil"/>
            </w:tcBorders>
            <w:vAlign w:val="center"/>
          </w:tcPr>
          <w:p w14:paraId="62CA7F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铜冶炼/（m</w:t>
            </w:r>
            <w:r>
              <w:rPr>
                <w:rFonts w:hint="default" w:ascii="Times New Roman" w:hAnsi="Times New Roman" w:eastAsia="宋体" w:cs="Times New Roman"/>
                <w:b w:val="0"/>
                <w:bCs w:val="0"/>
                <w:snapToGrid w:val="0"/>
                <w:color w:val="auto"/>
                <w:kern w:val="0"/>
                <w:sz w:val="21"/>
                <w:szCs w:val="21"/>
                <w:highlight w:val="none"/>
                <w:vertAlign w:val="superscript"/>
                <w:lang w:val="en-US" w:eastAsia="zh-CN"/>
              </w:rPr>
              <w:t>3</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/t</w:t>
            </w: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500" w:type="pct"/>
            <w:tcBorders>
              <w:tl2br w:val="nil"/>
              <w:tr2bl w:val="nil"/>
            </w:tcBorders>
            <w:vAlign w:val="center"/>
          </w:tcPr>
          <w:p w14:paraId="62AE08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21000</w:t>
            </w:r>
          </w:p>
        </w:tc>
        <w:tc>
          <w:tcPr>
            <w:tcW w:w="1671" w:type="pct"/>
            <w:vMerge w:val="continue"/>
            <w:tcBorders>
              <w:tl2br w:val="nil"/>
              <w:tr2bl w:val="nil"/>
            </w:tcBorders>
            <w:vAlign w:val="center"/>
          </w:tcPr>
          <w:p w14:paraId="1677EA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r>
      <w:bookmarkEnd w:id="82"/>
      <w:bookmarkEnd w:id="83"/>
      <w:tr w14:paraId="777A5A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restart"/>
            <w:tcBorders>
              <w:tl2br w:val="nil"/>
              <w:tr2bl w:val="nil"/>
            </w:tcBorders>
            <w:vAlign w:val="center"/>
          </w:tcPr>
          <w:p w14:paraId="25C5A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4</w:t>
            </w:r>
          </w:p>
        </w:tc>
        <w:tc>
          <w:tcPr>
            <w:tcW w:w="658" w:type="pct"/>
            <w:vMerge w:val="restart"/>
            <w:tcBorders>
              <w:tl2br w:val="nil"/>
              <w:tr2bl w:val="nil"/>
            </w:tcBorders>
            <w:vAlign w:val="center"/>
          </w:tcPr>
          <w:p w14:paraId="6D25F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非甲烷总烃</w:t>
            </w:r>
          </w:p>
        </w:tc>
        <w:tc>
          <w:tcPr>
            <w:tcW w:w="547" w:type="pct"/>
            <w:tcBorders>
              <w:tl2br w:val="nil"/>
              <w:tr2bl w:val="nil"/>
            </w:tcBorders>
            <w:vAlign w:val="center"/>
          </w:tcPr>
          <w:p w14:paraId="0F63C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233" w:type="pct"/>
            <w:tcBorders>
              <w:tl2br w:val="nil"/>
              <w:tr2bl w:val="nil"/>
            </w:tcBorders>
            <w:vAlign w:val="center"/>
          </w:tcPr>
          <w:p w14:paraId="3433AA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厂界</w:t>
            </w:r>
          </w:p>
        </w:tc>
        <w:tc>
          <w:tcPr>
            <w:tcW w:w="500" w:type="pct"/>
            <w:tcBorders>
              <w:tl2br w:val="nil"/>
              <w:tr2bl w:val="nil"/>
            </w:tcBorders>
            <w:vAlign w:val="center"/>
          </w:tcPr>
          <w:p w14:paraId="1442F5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4.0</w:t>
            </w:r>
          </w:p>
        </w:tc>
        <w:tc>
          <w:tcPr>
            <w:tcW w:w="1671" w:type="pct"/>
            <w:tcBorders>
              <w:tl2br w:val="nil"/>
              <w:tr2bl w:val="nil"/>
            </w:tcBorders>
            <w:vAlign w:val="center"/>
          </w:tcPr>
          <w:p w14:paraId="044980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《大气污染物综合排放标准》（GB16297-1996）表2</w:t>
            </w:r>
          </w:p>
        </w:tc>
      </w:tr>
      <w:tr w14:paraId="7DFBAC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continue"/>
            <w:tcBorders>
              <w:tl2br w:val="nil"/>
              <w:tr2bl w:val="nil"/>
            </w:tcBorders>
            <w:vAlign w:val="center"/>
          </w:tcPr>
          <w:p w14:paraId="05FED1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658" w:type="pct"/>
            <w:vMerge w:val="continue"/>
            <w:tcBorders>
              <w:tl2br w:val="nil"/>
              <w:tr2bl w:val="nil"/>
            </w:tcBorders>
            <w:vAlign w:val="center"/>
          </w:tcPr>
          <w:p w14:paraId="513F1A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c>
          <w:tcPr>
            <w:tcW w:w="547" w:type="pct"/>
            <w:tcBorders>
              <w:tl2br w:val="nil"/>
              <w:tr2bl w:val="nil"/>
            </w:tcBorders>
            <w:vAlign w:val="center"/>
          </w:tcPr>
          <w:p w14:paraId="2BF83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233" w:type="pct"/>
            <w:tcBorders>
              <w:tl2br w:val="nil"/>
              <w:tr2bl w:val="nil"/>
            </w:tcBorders>
            <w:vAlign w:val="center"/>
          </w:tcPr>
          <w:p w14:paraId="19247B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厂房外监控点1h平均浓度值</w:t>
            </w:r>
          </w:p>
        </w:tc>
        <w:tc>
          <w:tcPr>
            <w:tcW w:w="500" w:type="pct"/>
            <w:tcBorders>
              <w:tl2br w:val="nil"/>
              <w:tr2bl w:val="nil"/>
            </w:tcBorders>
            <w:vAlign w:val="center"/>
          </w:tcPr>
          <w:p w14:paraId="113923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10</w:t>
            </w:r>
          </w:p>
        </w:tc>
        <w:tc>
          <w:tcPr>
            <w:tcW w:w="1671" w:type="pct"/>
            <w:vMerge w:val="restart"/>
            <w:tcBorders>
              <w:tl2br w:val="nil"/>
              <w:tr2bl w:val="nil"/>
            </w:tcBorders>
            <w:vAlign w:val="center"/>
          </w:tcPr>
          <w:p w14:paraId="34CD13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《挥发性有机物无组织排放控制标准》（GB37822-2019）表A.1</w:t>
            </w:r>
          </w:p>
        </w:tc>
      </w:tr>
      <w:tr w14:paraId="506C21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continue"/>
            <w:tcBorders>
              <w:tl2br w:val="nil"/>
              <w:tr2bl w:val="nil"/>
            </w:tcBorders>
            <w:vAlign w:val="center"/>
          </w:tcPr>
          <w:p w14:paraId="7C530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658" w:type="pct"/>
            <w:vMerge w:val="continue"/>
            <w:tcBorders>
              <w:tl2br w:val="nil"/>
              <w:tr2bl w:val="nil"/>
            </w:tcBorders>
            <w:vAlign w:val="center"/>
          </w:tcPr>
          <w:p w14:paraId="59F12E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c>
          <w:tcPr>
            <w:tcW w:w="547" w:type="pct"/>
            <w:tcBorders>
              <w:tl2br w:val="nil"/>
              <w:tr2bl w:val="nil"/>
            </w:tcBorders>
            <w:vAlign w:val="center"/>
          </w:tcPr>
          <w:p w14:paraId="0B2188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233" w:type="pct"/>
            <w:tcBorders>
              <w:tl2br w:val="nil"/>
              <w:tr2bl w:val="nil"/>
            </w:tcBorders>
            <w:vAlign w:val="center"/>
          </w:tcPr>
          <w:p w14:paraId="06B870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厂房外监控点任意一次浓度值</w:t>
            </w:r>
          </w:p>
        </w:tc>
        <w:tc>
          <w:tcPr>
            <w:tcW w:w="500" w:type="pct"/>
            <w:tcBorders>
              <w:tl2br w:val="nil"/>
              <w:tr2bl w:val="nil"/>
            </w:tcBorders>
            <w:vAlign w:val="center"/>
          </w:tcPr>
          <w:p w14:paraId="5B783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30</w:t>
            </w:r>
          </w:p>
        </w:tc>
        <w:tc>
          <w:tcPr>
            <w:tcW w:w="1671" w:type="pct"/>
            <w:vMerge w:val="continue"/>
            <w:tcBorders>
              <w:tl2br w:val="nil"/>
              <w:tr2bl w:val="nil"/>
            </w:tcBorders>
            <w:vAlign w:val="center"/>
          </w:tcPr>
          <w:p w14:paraId="1D1F98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r>
    </w:tbl>
    <w:p w14:paraId="5BA9A16A">
      <w:pPr>
        <w:pageBreakBefore w:val="0"/>
        <w:numPr>
          <w:ilvl w:val="0"/>
          <w:numId w:val="0"/>
        </w:numPr>
        <w:wordWrap/>
        <w:topLinePunct w:val="0"/>
        <w:bidi w:val="0"/>
        <w:adjustRightInd w:val="0"/>
        <w:snapToGrid w:val="0"/>
        <w:ind w:left="0" w:leftChars="0" w:right="0" w:firstLine="482" w:firstLineChars="200"/>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cs="Times New Roman"/>
          <w:b/>
          <w:bCs/>
          <w:color w:val="auto"/>
          <w:highlight w:val="none"/>
        </w:rPr>
        <w:t>噪声</w:t>
      </w:r>
    </w:p>
    <w:p w14:paraId="27D06A8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w:t>
      </w:r>
      <w:r>
        <w:rPr>
          <w:rFonts w:hint="eastAsia" w:cs="Times New Roman"/>
          <w:color w:val="auto"/>
          <w:highlight w:val="none"/>
          <w:lang w:val="en-US" w:eastAsia="zh-CN"/>
        </w:rPr>
        <w:t>排放</w:t>
      </w:r>
      <w:r>
        <w:rPr>
          <w:rFonts w:hint="default" w:ascii="Times New Roman" w:hAnsi="Times New Roman" w:cs="Times New Roman"/>
          <w:color w:val="auto"/>
          <w:highlight w:val="none"/>
        </w:rPr>
        <w:t>执行《建筑施工场界环境噪声排放标准》（GB12523-2011）中标准限值；运营期厂界噪声</w:t>
      </w:r>
      <w:r>
        <w:rPr>
          <w:rFonts w:hint="eastAsia" w:cs="Times New Roman"/>
          <w:color w:val="auto"/>
          <w:highlight w:val="none"/>
          <w:lang w:val="en-US" w:eastAsia="zh-CN"/>
        </w:rPr>
        <w:t>排放</w:t>
      </w:r>
      <w:r>
        <w:rPr>
          <w:rFonts w:hint="default" w:ascii="Times New Roman" w:hAnsi="Times New Roman" w:cs="Times New Roman"/>
          <w:color w:val="auto"/>
          <w:highlight w:val="none"/>
        </w:rPr>
        <w:t>执行《工业企业厂界环境噪声排放标准》（GB12348-2008）中3类标准，厂界噪声最高限值见表2.4-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14:paraId="0B5B1E9C">
      <w:pPr>
        <w:pStyle w:val="7"/>
        <w:pageBreakBefore w:val="0"/>
        <w:wordWrap/>
        <w:topLinePunct w:val="0"/>
        <w:bidi w:val="0"/>
        <w:adjustRightInd w:val="0"/>
        <w:snapToGrid w:val="0"/>
        <w:spacing w:line="32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表2.4</w:t>
      </w:r>
      <w:r>
        <w:rPr>
          <w:rFonts w:hint="default" w:ascii="Times New Roman" w:hAnsi="Times New Roman" w:cs="Times New Roman"/>
          <w:b/>
          <w:color w:val="auto"/>
          <w:sz w:val="21"/>
          <w:szCs w:val="21"/>
          <w:highlight w:val="none"/>
          <w:lang w:val="en-US" w:eastAsia="zh-CN"/>
        </w:rPr>
        <w:t>-8</w:t>
      </w:r>
      <w:r>
        <w:rPr>
          <w:rFonts w:hint="default" w:ascii="Times New Roman" w:hAnsi="Times New Roman" w:cs="Times New Roman"/>
          <w:b/>
          <w:color w:val="auto"/>
          <w:sz w:val="21"/>
          <w:szCs w:val="21"/>
          <w:highlight w:val="none"/>
        </w:rPr>
        <w:t xml:space="preserve">  本项目环境噪声排放限值  单位：dB（A）</w:t>
      </w:r>
    </w:p>
    <w:tbl>
      <w:tblPr>
        <w:tblStyle w:val="33"/>
        <w:tblW w:w="89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2977"/>
        <w:gridCol w:w="1985"/>
        <w:gridCol w:w="2283"/>
      </w:tblGrid>
      <w:tr w14:paraId="75096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1" w:type="dxa"/>
            <w:vAlign w:val="center"/>
          </w:tcPr>
          <w:p w14:paraId="0E5AD7AC">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阶段</w:t>
            </w:r>
          </w:p>
        </w:tc>
        <w:tc>
          <w:tcPr>
            <w:tcW w:w="2977" w:type="dxa"/>
            <w:vAlign w:val="center"/>
          </w:tcPr>
          <w:p w14:paraId="6022EF97">
            <w:pPr>
              <w:pageBreakBefore w:val="0"/>
              <w:wordWrap/>
              <w:topLinePunct w:val="0"/>
              <w:bidi w:val="0"/>
              <w:adjustRightInd w:val="0"/>
              <w:snapToGrid w:val="0"/>
              <w:spacing w:line="360" w:lineRule="exact"/>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w:t>
            </w:r>
          </w:p>
        </w:tc>
        <w:tc>
          <w:tcPr>
            <w:tcW w:w="1985" w:type="dxa"/>
            <w:vAlign w:val="center"/>
          </w:tcPr>
          <w:p w14:paraId="172C246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2283" w:type="dxa"/>
            <w:vAlign w:val="center"/>
          </w:tcPr>
          <w:p w14:paraId="30D2AA3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r>
      <w:tr w14:paraId="682C8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1" w:type="dxa"/>
            <w:vAlign w:val="center"/>
          </w:tcPr>
          <w:p w14:paraId="77DFEFF5">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施工期</w:t>
            </w:r>
          </w:p>
        </w:tc>
        <w:tc>
          <w:tcPr>
            <w:tcW w:w="2977" w:type="dxa"/>
            <w:vAlign w:val="center"/>
          </w:tcPr>
          <w:p w14:paraId="0711D303">
            <w:pPr>
              <w:pageBreakBefore w:val="0"/>
              <w:wordWrap/>
              <w:topLinePunct w:val="0"/>
              <w:bidi w:val="0"/>
              <w:adjustRightInd w:val="0"/>
              <w:snapToGrid w:val="0"/>
              <w:spacing w:line="360" w:lineRule="exact"/>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GB12523-2011</w:t>
            </w:r>
          </w:p>
        </w:tc>
        <w:tc>
          <w:tcPr>
            <w:tcW w:w="1985" w:type="dxa"/>
            <w:vAlign w:val="center"/>
          </w:tcPr>
          <w:p w14:paraId="65B9623B">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70</w:t>
            </w:r>
          </w:p>
        </w:tc>
        <w:tc>
          <w:tcPr>
            <w:tcW w:w="2283" w:type="dxa"/>
            <w:vAlign w:val="center"/>
          </w:tcPr>
          <w:p w14:paraId="3E76F92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55</w:t>
            </w:r>
          </w:p>
        </w:tc>
      </w:tr>
      <w:tr w14:paraId="24602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1" w:type="dxa"/>
            <w:vAlign w:val="center"/>
          </w:tcPr>
          <w:p w14:paraId="7F218C4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2977" w:type="dxa"/>
            <w:vAlign w:val="center"/>
          </w:tcPr>
          <w:p w14:paraId="0F407822">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GB12348-2008中3类</w:t>
            </w:r>
          </w:p>
        </w:tc>
        <w:tc>
          <w:tcPr>
            <w:tcW w:w="1985" w:type="dxa"/>
            <w:vAlign w:val="center"/>
          </w:tcPr>
          <w:p w14:paraId="639D6BD2">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2283" w:type="dxa"/>
            <w:vAlign w:val="center"/>
          </w:tcPr>
          <w:p w14:paraId="2ACE8AFC">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bl>
    <w:p w14:paraId="1C1810B1">
      <w:pPr>
        <w:pageBreakBefore w:val="0"/>
        <w:numPr>
          <w:ilvl w:val="0"/>
          <w:numId w:val="0"/>
        </w:numPr>
        <w:wordWrap/>
        <w:topLinePunct w:val="0"/>
        <w:bidi w:val="0"/>
        <w:adjustRightInd w:val="0"/>
        <w:snapToGrid w:val="0"/>
        <w:ind w:left="0" w:leftChars="0" w:right="0" w:firstLine="482" w:firstLineChars="200"/>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cs="Times New Roman"/>
          <w:b/>
          <w:bCs/>
          <w:color w:val="auto"/>
          <w:highlight w:val="none"/>
        </w:rPr>
        <w:t>固体废物</w:t>
      </w:r>
    </w:p>
    <w:p w14:paraId="7EF70CA9">
      <w:pPr>
        <w:pStyle w:val="46"/>
        <w:pageBreakBefore w:val="0"/>
        <w:wordWrap/>
        <w:topLinePunct w:val="0"/>
        <w:bidi w:val="0"/>
        <w:adjustRightInd w:val="0"/>
        <w:snapToGrid w:val="0"/>
        <w:ind w:left="0" w:leftChars="0" w:right="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一般工业固体废物污染控制执行《一般工业固体废物贮存和填埋污染控制标准》（GB18599-2020）；危险废物执行《危险废物贮存污染控制标准》（GB18597-2023）；生活垃圾执行《生活垃圾填埋场污染控制标准》（GB16889-2024）。</w:t>
      </w:r>
    </w:p>
    <w:p w14:paraId="00AEE6A9">
      <w:pPr>
        <w:pageBreakBefore w:val="0"/>
        <w:numPr>
          <w:ilvl w:val="0"/>
          <w:numId w:val="0"/>
        </w:numPr>
        <w:wordWrap/>
        <w:topLinePunct w:val="0"/>
        <w:bidi w:val="0"/>
        <w:adjustRightInd w:val="0"/>
        <w:snapToGrid w:val="0"/>
        <w:ind w:left="0" w:leftChars="0" w:right="0" w:firstLine="482" w:firstLineChars="20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（4）废水</w:t>
      </w:r>
    </w:p>
    <w:p w14:paraId="4AC1D758">
      <w:pPr>
        <w:pStyle w:val="46"/>
        <w:pageBreakBefore w:val="0"/>
        <w:wordWrap/>
        <w:topLinePunct w:val="0"/>
        <w:bidi w:val="0"/>
        <w:adjustRightInd w:val="0"/>
        <w:snapToGrid w:val="0"/>
        <w:ind w:left="0" w:leftChars="0" w:right="0" w:firstLine="48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zh-CN"/>
        </w:rPr>
        <w:t>项目生产用水循环使用，不外排</w:t>
      </w:r>
      <w:r>
        <w:rPr>
          <w:rFonts w:hint="eastAsia" w:ascii="Times New Roman" w:hAnsi="Times New Roman" w:cs="Times New Roman"/>
          <w:color w:val="auto"/>
          <w:highlight w:val="none"/>
          <w:lang w:val="zh-CN"/>
        </w:rPr>
        <w:t>；</w:t>
      </w:r>
      <w:r>
        <w:rPr>
          <w:rFonts w:hint="default" w:ascii="Times New Roman" w:hAnsi="Times New Roman" w:cs="Times New Roman"/>
          <w:color w:val="auto"/>
          <w:highlight w:val="none"/>
          <w:lang w:val="zh-CN"/>
        </w:rPr>
        <w:t>生活污水废水依托生活区化粪池暂存，定期拉运处理</w:t>
      </w:r>
      <w:r>
        <w:rPr>
          <w:rFonts w:hint="eastAsia" w:ascii="Times New Roman" w:hAnsi="Times New Roman" w:cs="Times New Roman"/>
          <w:color w:val="auto"/>
          <w:highlight w:val="none"/>
          <w:lang w:val="zh-CN"/>
        </w:rPr>
        <w:t>，</w:t>
      </w:r>
      <w:r>
        <w:rPr>
          <w:rFonts w:hint="eastAsia" w:ascii="Times New Roman" w:hAnsi="Times New Roman" w:cs="Times New Roman"/>
          <w:color w:val="auto"/>
          <w:highlight w:val="none"/>
          <w:lang w:val="en-US" w:eastAsia="zh-CN"/>
        </w:rPr>
        <w:t>不外排</w:t>
      </w:r>
      <w:r>
        <w:rPr>
          <w:rFonts w:hint="default" w:ascii="Times New Roman" w:hAnsi="Times New Roman" w:cs="Times New Roman"/>
          <w:color w:val="auto"/>
          <w:highlight w:val="none"/>
          <w:lang w:val="zh-CN"/>
        </w:rPr>
        <w:t>。</w:t>
      </w:r>
    </w:p>
    <w:p w14:paraId="4E00F89F">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84" w:name="_Toc22336"/>
      <w:bookmarkStart w:id="85" w:name="_Toc12960"/>
      <w:r>
        <w:rPr>
          <w:rFonts w:hint="default" w:ascii="Times New Roman" w:hAnsi="Times New Roman" w:eastAsia="宋体" w:cs="Times New Roman"/>
          <w:color w:val="auto"/>
          <w:highlight w:val="none"/>
        </w:rPr>
        <w:t>2.5 评价等级及评价范围</w:t>
      </w:r>
      <w:bookmarkEnd w:id="84"/>
      <w:bookmarkEnd w:id="85"/>
    </w:p>
    <w:p w14:paraId="0893A268">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rPr>
      </w:pPr>
      <w:bookmarkStart w:id="86" w:name="_Toc293592339"/>
      <w:bookmarkStart w:id="87" w:name="_Toc329793423"/>
      <w:bookmarkStart w:id="88" w:name="_Toc321821692"/>
      <w:r>
        <w:rPr>
          <w:rFonts w:hint="default" w:ascii="Times New Roman" w:hAnsi="Times New Roman" w:eastAsia="宋体" w:cs="Times New Roman"/>
          <w:color w:val="auto"/>
          <w:highlight w:val="none"/>
          <w:lang w:val="en-US" w:eastAsia="zh-CN"/>
        </w:rPr>
        <w:t>2.5.1</w:t>
      </w:r>
      <w:bookmarkEnd w:id="86"/>
      <w:bookmarkEnd w:id="87"/>
      <w:bookmarkEnd w:id="88"/>
      <w:r>
        <w:rPr>
          <w:rFonts w:hint="eastAsia" w:cs="Times New Roman"/>
          <w:color w:val="auto"/>
          <w:highlight w:val="none"/>
          <w:lang w:val="en-US" w:eastAsia="zh-CN"/>
        </w:rPr>
        <w:t>大气环境</w:t>
      </w:r>
      <w:r>
        <w:rPr>
          <w:rFonts w:hint="default" w:ascii="Times New Roman" w:hAnsi="Times New Roman" w:eastAsia="宋体" w:cs="Times New Roman"/>
          <w:color w:val="auto"/>
          <w:highlight w:val="none"/>
        </w:rPr>
        <w:t>影响评价等级</w:t>
      </w:r>
    </w:p>
    <w:p w14:paraId="2DD0585D">
      <w:pPr>
        <w:pageBreakBefore w:val="0"/>
        <w:numPr>
          <w:ilvl w:val="0"/>
          <w:numId w:val="0"/>
        </w:numPr>
        <w:wordWrap/>
        <w:topLinePunct w:val="0"/>
        <w:bidi w:val="0"/>
        <w:adjustRightInd w:val="0"/>
        <w:snapToGrid w:val="0"/>
        <w:ind w:left="0" w:leftChars="0" w:right="0"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（1）评价等级</w:t>
      </w:r>
    </w:p>
    <w:p w14:paraId="4B210B21">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本次评价根据《环境影响评价技术导则 大气环境》（HJ2.2-2018）中评价等级的判定要求，选择项目污染源正常排放的主要污染物及排放参数，采用附录A推荐的估算模型AERSCREEN分别计算项目污染源的最大环境影响，然后按评价工作分级判据进行分级。</w:t>
      </w:r>
    </w:p>
    <w:p w14:paraId="1F2BD5B9">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根据项目污染源初步调查结果，分别计算项目排放主要污染物的最大地面空气质量浓度占标率P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（第i个污染物，简称“最大浓度占标率”），及第i个污染物的地面空气质量浓度达到标准值的10%时所对应的最远距离D</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w:t>
      </w:r>
    </w:p>
    <w:p w14:paraId="5A0D82DD">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其中P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定义见公式：</w:t>
      </w:r>
    </w:p>
    <w:p w14:paraId="3735E07B">
      <w:pPr>
        <w:keepNext w:val="0"/>
        <w:keepLines w:val="0"/>
        <w:pageBreakBefore w:val="0"/>
        <w:kinsoku/>
        <w:wordWrap/>
        <w:overflowPunct/>
        <w:topLinePunct w:val="0"/>
        <w:autoSpaceDE/>
        <w:autoSpaceDN/>
        <w:bidi w:val="0"/>
        <w:adjustRightInd w:val="0"/>
        <w:snapToGrid w:val="0"/>
        <w:spacing w:line="360" w:lineRule="auto"/>
        <w:ind w:left="0" w:leftChars="0" w:right="0" w:firstLine="1200" w:firstLineChars="5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5" o:spt="75" type="#_x0000_t75" style="height:33.75pt;width:78pt;" o:ole="t" filled="f" o:preferrelative="t" stroked="f" coordsize="21600,21600">
            <v:path/>
            <v:fill on="f" focussize="0,0"/>
            <v:stroke on="f" joinstyle="miter"/>
            <v:imagedata r:id="rId37" o:title=""/>
            <o:lock v:ext="edit" aspectratio="t"/>
            <w10:wrap type="none"/>
            <w10:anchorlock/>
          </v:shape>
          <o:OLEObject Type="Embed" ProgID="Equation.3" ShapeID="_x0000_i1025" DrawAspect="Content" ObjectID="_1468075725" r:id="rId36">
            <o:LockedField>false</o:LockedField>
          </o:OLEObject>
        </w:object>
      </w:r>
    </w:p>
    <w:p w14:paraId="54F92E5A">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——第i个污染物的最大地面空气质量浓度占标率，%；</w:t>
      </w:r>
    </w:p>
    <w:p w14:paraId="48F3AADD">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1090" w:firstLineChars="500"/>
        <w:jc w:val="both"/>
        <w:textAlignment w:val="auto"/>
        <w:rPr>
          <w:rFonts w:hint="default" w:ascii="Times New Roman" w:hAnsi="Times New Roman" w:cs="Times New Roman"/>
          <w:color w:val="auto"/>
          <w:spacing w:val="-11"/>
          <w:sz w:val="24"/>
          <w:highlight w:val="none"/>
        </w:rPr>
      </w:pPr>
      <w:r>
        <w:rPr>
          <w:rFonts w:hint="default" w:ascii="Times New Roman" w:hAnsi="Times New Roman" w:cs="Times New Roman"/>
          <w:color w:val="auto"/>
          <w:spacing w:val="-11"/>
          <w:sz w:val="24"/>
          <w:highlight w:val="none"/>
        </w:rPr>
        <w:t>C</w:t>
      </w:r>
      <w:r>
        <w:rPr>
          <w:rFonts w:hint="default" w:ascii="Times New Roman" w:hAnsi="Times New Roman" w:cs="Times New Roman"/>
          <w:color w:val="auto"/>
          <w:spacing w:val="-11"/>
          <w:sz w:val="24"/>
          <w:highlight w:val="none"/>
          <w:vertAlign w:val="subscript"/>
        </w:rPr>
        <w:t>i</w:t>
      </w:r>
      <w:r>
        <w:rPr>
          <w:rFonts w:hint="default" w:ascii="Times New Roman" w:hAnsi="Times New Roman" w:cs="Times New Roman"/>
          <w:color w:val="auto"/>
          <w:spacing w:val="-11"/>
          <w:sz w:val="24"/>
          <w:highlight w:val="none"/>
        </w:rPr>
        <w:t>——采用估算模式计算出的第i个污染物的最大1h地面空气质量浓度，μg/m</w:t>
      </w:r>
      <w:r>
        <w:rPr>
          <w:rFonts w:hint="default" w:ascii="Times New Roman" w:hAnsi="Times New Roman" w:cs="Times New Roman"/>
          <w:color w:val="auto"/>
          <w:spacing w:val="-11"/>
          <w:sz w:val="24"/>
          <w:highlight w:val="none"/>
          <w:vertAlign w:val="superscript"/>
        </w:rPr>
        <w:t>3</w:t>
      </w:r>
      <w:r>
        <w:rPr>
          <w:rFonts w:hint="default" w:ascii="Times New Roman" w:hAnsi="Times New Roman" w:cs="Times New Roman"/>
          <w:color w:val="auto"/>
          <w:spacing w:val="-11"/>
          <w:sz w:val="24"/>
          <w:highlight w:val="none"/>
        </w:rPr>
        <w:t>；</w:t>
      </w:r>
    </w:p>
    <w:p w14:paraId="39E9BEC9">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1200" w:firstLineChars="5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——第i个污染物的环境空气质量浓度标准，μg/m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。一般</w:t>
      </w:r>
      <w:r>
        <w:rPr>
          <w:rFonts w:hint="eastAsia" w:cs="Times New Roman"/>
          <w:color w:val="auto"/>
          <w:highlight w:val="none"/>
          <w:lang w:eastAsia="zh-CN"/>
        </w:rPr>
        <w:t>选择</w:t>
      </w:r>
      <w:r>
        <w:rPr>
          <w:rFonts w:hint="default" w:ascii="Times New Roman" w:hAnsi="Times New Roman" w:cs="Times New Roman"/>
          <w:color w:val="auto"/>
          <w:highlight w:val="none"/>
        </w:rPr>
        <w:t>GB3095中1h平均质量浓度的二级浓度限值，如项目位于一类环境空气功能区，应选择相应的一级浓度限值；对该标准中未包含的污染物，使用HJ2.2中5.2确定的各评价因子1h平均质量浓度限值。对仅有8h平均质量浓度限值、日平均质量浓度限值或年平均质量浓度限值的，可分别按2倍、3倍、6倍折算为1h平均质量浓度限值。</w:t>
      </w:r>
    </w:p>
    <w:p w14:paraId="79658940">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评价等级按表2.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-1的分级判据进行划分。</w:t>
      </w:r>
    </w:p>
    <w:p w14:paraId="7E1EED76">
      <w:pPr>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表2.</w:t>
      </w:r>
      <w:r>
        <w:rPr>
          <w:rFonts w:hint="default" w:ascii="Times New Roman" w:hAnsi="Times New Roman" w:cs="Times New Roman"/>
          <w:b/>
          <w:color w:val="auto"/>
          <w:kern w:val="0"/>
          <w:sz w:val="21"/>
          <w:szCs w:val="21"/>
          <w:highlight w:val="none"/>
          <w:lang w:val="en-US" w:eastAsia="zh-CN" w:bidi="ar"/>
        </w:rPr>
        <w:t>5</w:t>
      </w:r>
      <w:r>
        <w:rPr>
          <w:rFonts w:hint="default" w:ascii="Times New Roman" w:hAnsi="Times New Roman" w:cs="Times New Roman"/>
          <w:b/>
          <w:color w:val="auto"/>
          <w:kern w:val="0"/>
          <w:sz w:val="21"/>
          <w:szCs w:val="21"/>
          <w:highlight w:val="none"/>
          <w:lang w:bidi="ar"/>
        </w:rPr>
        <w:t>-1    大气环境影响评价工作等级划分</w:t>
      </w:r>
    </w:p>
    <w:tbl>
      <w:tblPr>
        <w:tblStyle w:val="33"/>
        <w:tblW w:w="506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19"/>
        <w:gridCol w:w="6827"/>
      </w:tblGrid>
      <w:tr w14:paraId="002D6F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4" w:type="pct"/>
            <w:tcBorders>
              <w:tl2br w:val="nil"/>
              <w:tr2bl w:val="nil"/>
            </w:tcBorders>
            <w:tcMar>
              <w:left w:w="0" w:type="dxa"/>
              <w:right w:w="0" w:type="dxa"/>
            </w:tcMar>
            <w:vAlign w:val="center"/>
          </w:tcPr>
          <w:p w14:paraId="0152C5ED">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评价等级</w:t>
            </w:r>
          </w:p>
        </w:tc>
        <w:tc>
          <w:tcPr>
            <w:tcW w:w="3815" w:type="pct"/>
            <w:tcBorders>
              <w:tl2br w:val="nil"/>
              <w:tr2bl w:val="nil"/>
            </w:tcBorders>
            <w:vAlign w:val="center"/>
          </w:tcPr>
          <w:p w14:paraId="674F47BF">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评价工作分级判据</w:t>
            </w:r>
          </w:p>
        </w:tc>
      </w:tr>
      <w:tr w14:paraId="4057DE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4" w:type="pct"/>
            <w:tcBorders>
              <w:tl2br w:val="nil"/>
              <w:tr2bl w:val="nil"/>
            </w:tcBorders>
            <w:tcMar>
              <w:left w:w="0" w:type="dxa"/>
              <w:right w:w="0" w:type="dxa"/>
            </w:tcMar>
            <w:vAlign w:val="center"/>
          </w:tcPr>
          <w:p w14:paraId="252AB976">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一级</w:t>
            </w:r>
          </w:p>
        </w:tc>
        <w:tc>
          <w:tcPr>
            <w:tcW w:w="3815" w:type="pct"/>
            <w:tcBorders>
              <w:tl2br w:val="nil"/>
              <w:tr2bl w:val="nil"/>
            </w:tcBorders>
            <w:vAlign w:val="center"/>
          </w:tcPr>
          <w:p w14:paraId="1D6ABD07">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P</w:t>
            </w:r>
            <w:r>
              <w:rPr>
                <w:rFonts w:hint="default" w:ascii="Times New Roman" w:hAnsi="Times New Roman" w:eastAsia="宋体" w:cs="Times New Roman"/>
                <w:color w:val="auto"/>
                <w:sz w:val="21"/>
                <w:szCs w:val="21"/>
                <w:highlight w:val="none"/>
                <w:vertAlign w:val="subscript"/>
                <w:lang w:bidi="ar"/>
              </w:rPr>
              <w:t>max</w:t>
            </w:r>
            <w:r>
              <w:rPr>
                <w:rFonts w:hint="default" w:ascii="Times New Roman" w:hAnsi="Times New Roman" w:eastAsia="宋体" w:cs="Times New Roman"/>
                <w:color w:val="auto"/>
                <w:sz w:val="21"/>
                <w:szCs w:val="21"/>
                <w:highlight w:val="none"/>
                <w:lang w:bidi="ar"/>
              </w:rPr>
              <w:t>≥10%</w:t>
            </w:r>
          </w:p>
        </w:tc>
      </w:tr>
      <w:tr w14:paraId="76382B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4" w:type="pct"/>
            <w:tcBorders>
              <w:tl2br w:val="nil"/>
              <w:tr2bl w:val="nil"/>
            </w:tcBorders>
            <w:tcMar>
              <w:left w:w="0" w:type="dxa"/>
              <w:right w:w="0" w:type="dxa"/>
            </w:tcMar>
            <w:vAlign w:val="center"/>
          </w:tcPr>
          <w:p w14:paraId="21D43DFC">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二级</w:t>
            </w:r>
          </w:p>
        </w:tc>
        <w:tc>
          <w:tcPr>
            <w:tcW w:w="3815" w:type="pct"/>
            <w:tcBorders>
              <w:tl2br w:val="nil"/>
              <w:tr2bl w:val="nil"/>
            </w:tcBorders>
            <w:vAlign w:val="center"/>
          </w:tcPr>
          <w:p w14:paraId="5EF48575">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1%≤P</w:t>
            </w:r>
            <w:r>
              <w:rPr>
                <w:rFonts w:hint="default" w:ascii="Times New Roman" w:hAnsi="Times New Roman" w:eastAsia="宋体" w:cs="Times New Roman"/>
                <w:color w:val="auto"/>
                <w:sz w:val="21"/>
                <w:szCs w:val="21"/>
                <w:highlight w:val="none"/>
                <w:vertAlign w:val="subscript"/>
                <w:lang w:bidi="ar"/>
              </w:rPr>
              <w:t>max</w:t>
            </w:r>
            <w:r>
              <w:rPr>
                <w:rFonts w:hint="default" w:ascii="Times New Roman" w:hAnsi="Times New Roman" w:eastAsia="宋体" w:cs="Times New Roman"/>
                <w:color w:val="auto"/>
                <w:sz w:val="21"/>
                <w:szCs w:val="21"/>
                <w:highlight w:val="none"/>
                <w:vertAlign w:val="subscript"/>
                <w:lang w:eastAsia="zh-CN" w:bidi="ar"/>
              </w:rPr>
              <w:t>&lt;</w:t>
            </w:r>
            <w:r>
              <w:rPr>
                <w:rFonts w:hint="default" w:ascii="Times New Roman" w:hAnsi="Times New Roman" w:eastAsia="宋体" w:cs="Times New Roman"/>
                <w:color w:val="auto"/>
                <w:sz w:val="21"/>
                <w:szCs w:val="21"/>
                <w:highlight w:val="none"/>
                <w:lang w:bidi="ar"/>
              </w:rPr>
              <w:t>10%</w:t>
            </w:r>
          </w:p>
        </w:tc>
      </w:tr>
      <w:tr w14:paraId="41659B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4" w:type="pct"/>
            <w:tcBorders>
              <w:tl2br w:val="nil"/>
              <w:tr2bl w:val="nil"/>
            </w:tcBorders>
            <w:tcMar>
              <w:left w:w="0" w:type="dxa"/>
              <w:right w:w="0" w:type="dxa"/>
            </w:tcMar>
            <w:vAlign w:val="center"/>
          </w:tcPr>
          <w:p w14:paraId="2F538968">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三级</w:t>
            </w:r>
          </w:p>
        </w:tc>
        <w:tc>
          <w:tcPr>
            <w:tcW w:w="3815" w:type="pct"/>
            <w:tcBorders>
              <w:tl2br w:val="nil"/>
              <w:tr2bl w:val="nil"/>
            </w:tcBorders>
            <w:vAlign w:val="center"/>
          </w:tcPr>
          <w:p w14:paraId="4A986872">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P</w:t>
            </w:r>
            <w:r>
              <w:rPr>
                <w:rFonts w:hint="default" w:ascii="Times New Roman" w:hAnsi="Times New Roman" w:eastAsia="宋体" w:cs="Times New Roman"/>
                <w:color w:val="auto"/>
                <w:sz w:val="21"/>
                <w:szCs w:val="21"/>
                <w:highlight w:val="none"/>
                <w:vertAlign w:val="subscript"/>
                <w:lang w:bidi="ar"/>
              </w:rPr>
              <w:t>max</w:t>
            </w:r>
            <w:r>
              <w:rPr>
                <w:rFonts w:hint="default" w:ascii="Times New Roman" w:hAnsi="Times New Roman" w:eastAsia="宋体" w:cs="Times New Roman"/>
                <w:color w:val="auto"/>
                <w:sz w:val="21"/>
                <w:szCs w:val="21"/>
                <w:highlight w:val="none"/>
                <w:lang w:bidi="ar"/>
              </w:rPr>
              <w:t>﹤1%</w:t>
            </w:r>
          </w:p>
        </w:tc>
      </w:tr>
    </w:tbl>
    <w:p w14:paraId="273B1545">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本项目各废气污染源的参数见表2.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zh-CN"/>
        </w:rPr>
        <w:t>-2。</w:t>
      </w:r>
    </w:p>
    <w:p w14:paraId="67561F02">
      <w:pPr>
        <w:keepNext w:val="0"/>
        <w:keepLines w:val="0"/>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zh-CN"/>
        </w:rPr>
        <w:t>表2.</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lang w:val="zh-CN"/>
        </w:rPr>
        <w:t>-2（</w:t>
      </w:r>
      <w:r>
        <w:rPr>
          <w:rFonts w:hint="default" w:ascii="Times New Roman" w:hAnsi="Times New Roman" w:cs="Times New Roman"/>
          <w:b/>
          <w:color w:val="auto"/>
          <w:sz w:val="21"/>
          <w:szCs w:val="21"/>
          <w:highlight w:val="none"/>
        </w:rPr>
        <w:t>1</w:t>
      </w:r>
      <w:r>
        <w:rPr>
          <w:rFonts w:hint="default" w:ascii="Times New Roman" w:hAnsi="Times New Roman" w:cs="Times New Roman"/>
          <w:b/>
          <w:color w:val="auto"/>
          <w:sz w:val="21"/>
          <w:szCs w:val="21"/>
          <w:highlight w:val="none"/>
          <w:lang w:val="zh-CN"/>
        </w:rPr>
        <w:t xml:space="preserve">）  </w:t>
      </w:r>
      <w:r>
        <w:rPr>
          <w:rFonts w:hint="default" w:ascii="Times New Roman" w:hAnsi="Times New Roman" w:cs="Times New Roman"/>
          <w:b/>
          <w:color w:val="auto"/>
          <w:sz w:val="21"/>
          <w:szCs w:val="21"/>
          <w:highlight w:val="none"/>
        </w:rPr>
        <w:t xml:space="preserve">  点源</w:t>
      </w:r>
      <w:r>
        <w:rPr>
          <w:rFonts w:hint="default" w:ascii="Times New Roman" w:hAnsi="Times New Roman" w:cs="Times New Roman"/>
          <w:b/>
          <w:color w:val="auto"/>
          <w:sz w:val="21"/>
          <w:szCs w:val="21"/>
          <w:highlight w:val="none"/>
          <w:lang w:val="zh-CN"/>
        </w:rPr>
        <w:t>参数选取</w:t>
      </w:r>
      <w:r>
        <w:rPr>
          <w:rFonts w:hint="default" w:ascii="Times New Roman" w:hAnsi="Times New Roman" w:cs="Times New Roman"/>
          <w:b/>
          <w:color w:val="auto"/>
          <w:sz w:val="21"/>
          <w:szCs w:val="21"/>
          <w:highlight w:val="none"/>
        </w:rPr>
        <w:t>表</w:t>
      </w:r>
    </w:p>
    <w:tbl>
      <w:tblPr>
        <w:tblStyle w:val="3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673"/>
        <w:gridCol w:w="822"/>
        <w:gridCol w:w="841"/>
        <w:gridCol w:w="783"/>
        <w:gridCol w:w="576"/>
        <w:gridCol w:w="679"/>
        <w:gridCol w:w="480"/>
        <w:gridCol w:w="532"/>
        <w:gridCol w:w="646"/>
        <w:gridCol w:w="462"/>
        <w:gridCol w:w="1192"/>
        <w:gridCol w:w="1193"/>
      </w:tblGrid>
      <w:tr w14:paraId="28D6D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vMerge w:val="restart"/>
            <w:tcBorders>
              <w:tl2br w:val="nil"/>
              <w:tr2bl w:val="nil"/>
            </w:tcBorders>
            <w:shd w:val="clear" w:color="auto" w:fill="auto"/>
            <w:vAlign w:val="center"/>
          </w:tcPr>
          <w:p w14:paraId="3BDDDE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名称</w:t>
            </w:r>
          </w:p>
        </w:tc>
        <w:tc>
          <w:tcPr>
            <w:tcW w:w="935" w:type="pct"/>
            <w:gridSpan w:val="2"/>
            <w:tcBorders>
              <w:tl2br w:val="nil"/>
              <w:tr2bl w:val="nil"/>
            </w:tcBorders>
            <w:shd w:val="clear" w:color="auto" w:fill="auto"/>
            <w:vAlign w:val="center"/>
          </w:tcPr>
          <w:p w14:paraId="63EDF4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排气筒底部中心坐标</w:t>
            </w:r>
            <w:r>
              <w:rPr>
                <w:rFonts w:hint="eastAsia" w:cs="Times New Roman"/>
                <w:b/>
                <w:bCs/>
                <w:color w:val="auto"/>
                <w:spacing w:val="-20"/>
                <w:sz w:val="21"/>
                <w:szCs w:val="21"/>
                <w:highlight w:val="none"/>
                <w:lang w:eastAsia="zh-CN"/>
              </w:rPr>
              <w:t>（</w:t>
            </w:r>
            <w:r>
              <w:rPr>
                <w:rFonts w:hint="default" w:ascii="Times New Roman" w:hAnsi="Times New Roman" w:eastAsia="宋体" w:cs="Times New Roman"/>
                <w:b/>
                <w:bCs/>
                <w:color w:val="auto"/>
                <w:spacing w:val="-20"/>
                <w:sz w:val="21"/>
                <w:szCs w:val="21"/>
                <w:highlight w:val="none"/>
                <w:lang w:eastAsia="zh-CN"/>
              </w:rPr>
              <w:t>o</w:t>
            </w:r>
            <w:r>
              <w:rPr>
                <w:rFonts w:hint="eastAsia" w:cs="Times New Roman"/>
                <w:b/>
                <w:bCs/>
                <w:color w:val="auto"/>
                <w:spacing w:val="-20"/>
                <w:sz w:val="21"/>
                <w:szCs w:val="21"/>
                <w:highlight w:val="none"/>
                <w:lang w:eastAsia="zh-CN"/>
              </w:rPr>
              <w:t>）</w:t>
            </w:r>
          </w:p>
        </w:tc>
        <w:tc>
          <w:tcPr>
            <w:tcW w:w="440" w:type="pct"/>
            <w:vMerge w:val="restart"/>
            <w:tcBorders>
              <w:tl2br w:val="nil"/>
              <w:tr2bl w:val="nil"/>
            </w:tcBorders>
            <w:shd w:val="clear" w:color="auto" w:fill="auto"/>
            <w:vAlign w:val="center"/>
          </w:tcPr>
          <w:p w14:paraId="6B7E3A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底部</w:t>
            </w:r>
            <w:r>
              <w:rPr>
                <w:rFonts w:hint="eastAsia" w:cs="Times New Roman"/>
                <w:b/>
                <w:bCs/>
                <w:color w:val="auto"/>
                <w:spacing w:val="-20"/>
                <w:sz w:val="21"/>
                <w:szCs w:val="21"/>
                <w:highlight w:val="none"/>
                <w:lang w:eastAsia="zh-CN"/>
              </w:rPr>
              <w:t>海拔</w:t>
            </w:r>
            <w:r>
              <w:rPr>
                <w:rFonts w:hint="default" w:ascii="Times New Roman" w:hAnsi="Times New Roman" w:eastAsia="宋体" w:cs="Times New Roman"/>
                <w:b/>
                <w:bCs/>
                <w:color w:val="auto"/>
                <w:spacing w:val="-20"/>
                <w:sz w:val="21"/>
                <w:szCs w:val="21"/>
                <w:highlight w:val="none"/>
                <w:lang w:eastAsia="zh-CN"/>
              </w:rPr>
              <w:t>/m</w:t>
            </w:r>
          </w:p>
        </w:tc>
        <w:tc>
          <w:tcPr>
            <w:tcW w:w="324" w:type="pct"/>
            <w:vMerge w:val="restart"/>
            <w:tcBorders>
              <w:tl2br w:val="nil"/>
              <w:tr2bl w:val="nil"/>
            </w:tcBorders>
            <w:shd w:val="clear" w:color="auto" w:fill="auto"/>
            <w:vAlign w:val="center"/>
          </w:tcPr>
          <w:p w14:paraId="744B0A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排放高度/m</w:t>
            </w:r>
          </w:p>
        </w:tc>
        <w:tc>
          <w:tcPr>
            <w:tcW w:w="382" w:type="pct"/>
            <w:vMerge w:val="restart"/>
            <w:tcBorders>
              <w:tl2br w:val="nil"/>
              <w:tr2bl w:val="nil"/>
            </w:tcBorders>
            <w:shd w:val="clear" w:color="auto" w:fill="auto"/>
            <w:vAlign w:val="center"/>
          </w:tcPr>
          <w:p w14:paraId="10C061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排气筒内径/m</w:t>
            </w:r>
          </w:p>
        </w:tc>
        <w:tc>
          <w:tcPr>
            <w:tcW w:w="270" w:type="pct"/>
            <w:vMerge w:val="restart"/>
            <w:tcBorders>
              <w:tl2br w:val="nil"/>
              <w:tr2bl w:val="nil"/>
            </w:tcBorders>
            <w:shd w:val="clear" w:color="auto" w:fill="auto"/>
            <w:vAlign w:val="center"/>
          </w:tcPr>
          <w:p w14:paraId="48F982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流速/m/s</w:t>
            </w:r>
          </w:p>
        </w:tc>
        <w:tc>
          <w:tcPr>
            <w:tcW w:w="299" w:type="pct"/>
            <w:vMerge w:val="restart"/>
            <w:tcBorders>
              <w:tl2br w:val="nil"/>
              <w:tr2bl w:val="nil"/>
            </w:tcBorders>
            <w:shd w:val="clear" w:color="auto" w:fill="auto"/>
            <w:vAlign w:val="center"/>
          </w:tcPr>
          <w:p w14:paraId="511715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温度℃</w:t>
            </w:r>
          </w:p>
        </w:tc>
        <w:tc>
          <w:tcPr>
            <w:tcW w:w="363" w:type="pct"/>
            <w:vMerge w:val="restart"/>
            <w:tcBorders>
              <w:tl2br w:val="nil"/>
              <w:tr2bl w:val="nil"/>
            </w:tcBorders>
            <w:shd w:val="clear" w:color="auto" w:fill="auto"/>
            <w:vAlign w:val="center"/>
          </w:tcPr>
          <w:p w14:paraId="08EAC0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排放小时数/h</w:t>
            </w:r>
          </w:p>
        </w:tc>
        <w:tc>
          <w:tcPr>
            <w:tcW w:w="260" w:type="pct"/>
            <w:vMerge w:val="restart"/>
            <w:tcBorders>
              <w:tl2br w:val="nil"/>
              <w:tr2bl w:val="nil"/>
            </w:tcBorders>
            <w:vAlign w:val="center"/>
          </w:tcPr>
          <w:p w14:paraId="1F8693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排放工况</w:t>
            </w:r>
          </w:p>
        </w:tc>
        <w:tc>
          <w:tcPr>
            <w:tcW w:w="1341" w:type="pct"/>
            <w:gridSpan w:val="2"/>
            <w:tcBorders>
              <w:tl2br w:val="nil"/>
              <w:tr2bl w:val="nil"/>
            </w:tcBorders>
            <w:vAlign w:val="center"/>
          </w:tcPr>
          <w:p w14:paraId="7F5659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污染物排放速率/（kg/h）</w:t>
            </w:r>
          </w:p>
        </w:tc>
      </w:tr>
      <w:tr w14:paraId="26238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90" w:hRule="atLeast"/>
          <w:jc w:val="center"/>
        </w:trPr>
        <w:tc>
          <w:tcPr>
            <w:tcW w:w="378" w:type="pct"/>
            <w:vMerge w:val="continue"/>
            <w:tcBorders>
              <w:tl2br w:val="nil"/>
              <w:tr2bl w:val="nil"/>
            </w:tcBorders>
            <w:shd w:val="clear" w:color="auto" w:fill="auto"/>
            <w:vAlign w:val="center"/>
          </w:tcPr>
          <w:p w14:paraId="42E5DF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62" w:type="pct"/>
            <w:tcBorders>
              <w:tl2br w:val="nil"/>
              <w:tr2bl w:val="nil"/>
            </w:tcBorders>
            <w:shd w:val="clear" w:color="auto" w:fill="auto"/>
            <w:vAlign w:val="center"/>
          </w:tcPr>
          <w:p w14:paraId="3E2D78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E</w:t>
            </w:r>
          </w:p>
        </w:tc>
        <w:tc>
          <w:tcPr>
            <w:tcW w:w="473" w:type="pct"/>
            <w:tcBorders>
              <w:tl2br w:val="nil"/>
              <w:tr2bl w:val="nil"/>
            </w:tcBorders>
            <w:shd w:val="clear" w:color="auto" w:fill="auto"/>
            <w:vAlign w:val="center"/>
          </w:tcPr>
          <w:p w14:paraId="4AA35D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N</w:t>
            </w:r>
          </w:p>
        </w:tc>
        <w:tc>
          <w:tcPr>
            <w:tcW w:w="440" w:type="pct"/>
            <w:vMerge w:val="continue"/>
            <w:tcBorders>
              <w:tl2br w:val="nil"/>
              <w:tr2bl w:val="nil"/>
            </w:tcBorders>
            <w:shd w:val="clear" w:color="auto" w:fill="auto"/>
            <w:vAlign w:val="center"/>
          </w:tcPr>
          <w:p w14:paraId="4F52B8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24" w:type="pct"/>
            <w:vMerge w:val="continue"/>
            <w:tcBorders>
              <w:tl2br w:val="nil"/>
              <w:tr2bl w:val="nil"/>
            </w:tcBorders>
            <w:shd w:val="clear" w:color="auto" w:fill="auto"/>
            <w:vAlign w:val="center"/>
          </w:tcPr>
          <w:p w14:paraId="3AB150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82" w:type="pct"/>
            <w:vMerge w:val="continue"/>
            <w:tcBorders>
              <w:tl2br w:val="nil"/>
              <w:tr2bl w:val="nil"/>
            </w:tcBorders>
            <w:shd w:val="clear" w:color="auto" w:fill="auto"/>
            <w:vAlign w:val="center"/>
          </w:tcPr>
          <w:p w14:paraId="3348C2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70" w:type="pct"/>
            <w:vMerge w:val="continue"/>
            <w:tcBorders>
              <w:tl2br w:val="nil"/>
              <w:tr2bl w:val="nil"/>
            </w:tcBorders>
            <w:shd w:val="clear" w:color="auto" w:fill="auto"/>
            <w:vAlign w:val="center"/>
          </w:tcPr>
          <w:p w14:paraId="1AC2EF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99" w:type="pct"/>
            <w:vMerge w:val="continue"/>
            <w:tcBorders>
              <w:tl2br w:val="nil"/>
              <w:tr2bl w:val="nil"/>
            </w:tcBorders>
            <w:shd w:val="clear" w:color="auto" w:fill="auto"/>
            <w:vAlign w:val="center"/>
          </w:tcPr>
          <w:p w14:paraId="5DAE30D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63" w:type="pct"/>
            <w:vMerge w:val="continue"/>
            <w:tcBorders>
              <w:tl2br w:val="nil"/>
              <w:tr2bl w:val="nil"/>
            </w:tcBorders>
            <w:shd w:val="clear" w:color="auto" w:fill="auto"/>
            <w:vAlign w:val="center"/>
          </w:tcPr>
          <w:p w14:paraId="38E4AD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60" w:type="pct"/>
            <w:vMerge w:val="continue"/>
            <w:tcBorders>
              <w:tl2br w:val="nil"/>
              <w:tr2bl w:val="nil"/>
            </w:tcBorders>
            <w:vAlign w:val="center"/>
          </w:tcPr>
          <w:p w14:paraId="2DBABC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670" w:type="pct"/>
            <w:tcBorders>
              <w:tl2br w:val="nil"/>
              <w:tr2bl w:val="nil"/>
            </w:tcBorders>
            <w:shd w:val="clear" w:color="auto" w:fill="auto"/>
            <w:vAlign w:val="center"/>
          </w:tcPr>
          <w:p w14:paraId="4BD3A4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颗粒物（PM</w:t>
            </w:r>
            <w:r>
              <w:rPr>
                <w:rFonts w:hint="default" w:ascii="Times New Roman" w:hAnsi="Times New Roman" w:eastAsia="宋体" w:cs="Times New Roman"/>
                <w:b/>
                <w:bCs/>
                <w:color w:val="auto"/>
                <w:spacing w:val="-20"/>
                <w:sz w:val="21"/>
                <w:szCs w:val="21"/>
                <w:highlight w:val="none"/>
                <w:vertAlign w:val="subscript"/>
                <w:lang w:eastAsia="zh-CN"/>
              </w:rPr>
              <w:t>10</w:t>
            </w:r>
            <w:r>
              <w:rPr>
                <w:rFonts w:hint="default" w:ascii="Times New Roman" w:hAnsi="Times New Roman" w:eastAsia="宋体" w:cs="Times New Roman"/>
                <w:b/>
                <w:bCs/>
                <w:color w:val="auto"/>
                <w:spacing w:val="-20"/>
                <w:sz w:val="21"/>
                <w:szCs w:val="21"/>
                <w:highlight w:val="none"/>
                <w:lang w:eastAsia="zh-CN"/>
              </w:rPr>
              <w:t>）</w:t>
            </w:r>
          </w:p>
        </w:tc>
        <w:tc>
          <w:tcPr>
            <w:tcW w:w="670" w:type="pct"/>
            <w:tcBorders>
              <w:tl2br w:val="nil"/>
              <w:tr2bl w:val="nil"/>
            </w:tcBorders>
            <w:shd w:val="clear" w:color="auto" w:fill="auto"/>
            <w:vAlign w:val="center"/>
          </w:tcPr>
          <w:p w14:paraId="3D4D80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val="en-US" w:eastAsia="zh-CN"/>
              </w:rPr>
            </w:pPr>
            <w:r>
              <w:rPr>
                <w:rFonts w:hint="eastAsia" w:cs="Times New Roman"/>
                <w:b/>
                <w:bCs/>
                <w:color w:val="auto"/>
                <w:spacing w:val="-20"/>
                <w:sz w:val="21"/>
                <w:szCs w:val="21"/>
                <w:highlight w:val="none"/>
                <w:lang w:val="en-US" w:eastAsia="zh-CN"/>
              </w:rPr>
              <w:t>硫酸雾</w:t>
            </w:r>
          </w:p>
        </w:tc>
      </w:tr>
      <w:tr w14:paraId="6AE31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06430D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DA001</w:t>
            </w:r>
          </w:p>
        </w:tc>
        <w:tc>
          <w:tcPr>
            <w:tcW w:w="462" w:type="pct"/>
            <w:tcBorders>
              <w:tl2br w:val="nil"/>
              <w:tr2bl w:val="nil"/>
            </w:tcBorders>
            <w:shd w:val="clear" w:color="auto" w:fill="auto"/>
            <w:vAlign w:val="center"/>
          </w:tcPr>
          <w:p w14:paraId="043E71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473" w:type="pct"/>
            <w:tcBorders>
              <w:tl2br w:val="nil"/>
              <w:tr2bl w:val="nil"/>
            </w:tcBorders>
            <w:shd w:val="clear" w:color="auto" w:fill="auto"/>
            <w:vAlign w:val="center"/>
          </w:tcPr>
          <w:p w14:paraId="44465D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42°37′10″</w:t>
            </w:r>
          </w:p>
        </w:tc>
        <w:tc>
          <w:tcPr>
            <w:tcW w:w="440" w:type="pct"/>
            <w:tcBorders>
              <w:tl2br w:val="nil"/>
              <w:tr2bl w:val="nil"/>
            </w:tcBorders>
            <w:shd w:val="clear" w:color="auto" w:fill="auto"/>
            <w:vAlign w:val="center"/>
          </w:tcPr>
          <w:p w14:paraId="60452C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7D814B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74EA06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0.2</w:t>
            </w:r>
          </w:p>
        </w:tc>
        <w:tc>
          <w:tcPr>
            <w:tcW w:w="270" w:type="pct"/>
            <w:tcBorders>
              <w:tl2br w:val="nil"/>
              <w:tr2bl w:val="nil"/>
            </w:tcBorders>
            <w:shd w:val="clear" w:color="auto" w:fill="auto"/>
            <w:vAlign w:val="center"/>
          </w:tcPr>
          <w:p w14:paraId="6C58A2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5.7</w:t>
            </w:r>
          </w:p>
        </w:tc>
        <w:tc>
          <w:tcPr>
            <w:tcW w:w="299" w:type="pct"/>
            <w:tcBorders>
              <w:tl2br w:val="nil"/>
              <w:tr2bl w:val="nil"/>
            </w:tcBorders>
            <w:shd w:val="clear" w:color="auto" w:fill="auto"/>
            <w:vAlign w:val="center"/>
          </w:tcPr>
          <w:p w14:paraId="2A480E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363" w:type="pct"/>
            <w:tcBorders>
              <w:tl2br w:val="nil"/>
              <w:tr2bl w:val="nil"/>
            </w:tcBorders>
            <w:shd w:val="clear" w:color="auto" w:fill="auto"/>
            <w:vAlign w:val="center"/>
          </w:tcPr>
          <w:p w14:paraId="1179FA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6000</w:t>
            </w:r>
          </w:p>
        </w:tc>
        <w:tc>
          <w:tcPr>
            <w:tcW w:w="260" w:type="pct"/>
            <w:vMerge w:val="restart"/>
            <w:tcBorders>
              <w:tl2br w:val="nil"/>
              <w:tr2bl w:val="nil"/>
            </w:tcBorders>
            <w:vAlign w:val="center"/>
          </w:tcPr>
          <w:p w14:paraId="63ED82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正常工况</w:t>
            </w:r>
          </w:p>
        </w:tc>
        <w:tc>
          <w:tcPr>
            <w:tcW w:w="670" w:type="pct"/>
            <w:tcBorders>
              <w:tl2br w:val="nil"/>
              <w:tr2bl w:val="nil"/>
            </w:tcBorders>
            <w:shd w:val="clear" w:color="auto" w:fill="auto"/>
            <w:vAlign w:val="center"/>
          </w:tcPr>
          <w:p w14:paraId="4B2E4A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0.02</w:t>
            </w:r>
          </w:p>
        </w:tc>
        <w:tc>
          <w:tcPr>
            <w:tcW w:w="670" w:type="pct"/>
            <w:tcBorders>
              <w:tl2br w:val="nil"/>
              <w:tr2bl w:val="nil"/>
            </w:tcBorders>
            <w:shd w:val="clear" w:color="auto" w:fill="auto"/>
            <w:vAlign w:val="center"/>
          </w:tcPr>
          <w:p w14:paraId="6688EA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w:t>
            </w:r>
          </w:p>
        </w:tc>
      </w:tr>
      <w:tr w14:paraId="42928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2CA78E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DA002</w:t>
            </w:r>
          </w:p>
        </w:tc>
        <w:tc>
          <w:tcPr>
            <w:tcW w:w="462" w:type="pct"/>
            <w:tcBorders>
              <w:tl2br w:val="nil"/>
              <w:tr2bl w:val="nil"/>
            </w:tcBorders>
            <w:shd w:val="clear" w:color="auto" w:fill="auto"/>
            <w:vAlign w:val="center"/>
          </w:tcPr>
          <w:p w14:paraId="5F3EBD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89°49′39″</w:t>
            </w:r>
          </w:p>
        </w:tc>
        <w:tc>
          <w:tcPr>
            <w:tcW w:w="473" w:type="pct"/>
            <w:tcBorders>
              <w:tl2br w:val="nil"/>
              <w:tr2bl w:val="nil"/>
            </w:tcBorders>
            <w:shd w:val="clear" w:color="auto" w:fill="auto"/>
            <w:vAlign w:val="center"/>
          </w:tcPr>
          <w:p w14:paraId="25C93A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42°37′11″</w:t>
            </w:r>
          </w:p>
        </w:tc>
        <w:tc>
          <w:tcPr>
            <w:tcW w:w="440" w:type="pct"/>
            <w:tcBorders>
              <w:tl2br w:val="nil"/>
              <w:tr2bl w:val="nil"/>
            </w:tcBorders>
            <w:shd w:val="clear" w:color="auto" w:fill="auto"/>
            <w:vAlign w:val="center"/>
          </w:tcPr>
          <w:p w14:paraId="1ACBCC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4B057E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0349E5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0.2</w:t>
            </w:r>
          </w:p>
        </w:tc>
        <w:tc>
          <w:tcPr>
            <w:tcW w:w="270" w:type="pct"/>
            <w:tcBorders>
              <w:tl2br w:val="nil"/>
              <w:tr2bl w:val="nil"/>
            </w:tcBorders>
            <w:shd w:val="clear" w:color="auto" w:fill="auto"/>
            <w:vAlign w:val="center"/>
          </w:tcPr>
          <w:p w14:paraId="2175B1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5.7</w:t>
            </w:r>
          </w:p>
        </w:tc>
        <w:tc>
          <w:tcPr>
            <w:tcW w:w="299" w:type="pct"/>
            <w:tcBorders>
              <w:tl2br w:val="nil"/>
              <w:tr2bl w:val="nil"/>
            </w:tcBorders>
            <w:shd w:val="clear" w:color="auto" w:fill="auto"/>
            <w:vAlign w:val="center"/>
          </w:tcPr>
          <w:p w14:paraId="270958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363" w:type="pct"/>
            <w:tcBorders>
              <w:tl2br w:val="nil"/>
              <w:tr2bl w:val="nil"/>
            </w:tcBorders>
            <w:shd w:val="clear" w:color="auto" w:fill="auto"/>
            <w:vAlign w:val="center"/>
          </w:tcPr>
          <w:p w14:paraId="1D6E2C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6000</w:t>
            </w:r>
          </w:p>
        </w:tc>
        <w:tc>
          <w:tcPr>
            <w:tcW w:w="260" w:type="pct"/>
            <w:vMerge w:val="continue"/>
            <w:tcBorders>
              <w:tl2br w:val="nil"/>
              <w:tr2bl w:val="nil"/>
            </w:tcBorders>
            <w:vAlign w:val="center"/>
          </w:tcPr>
          <w:p w14:paraId="0EF20C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670" w:type="pct"/>
            <w:tcBorders>
              <w:tl2br w:val="nil"/>
              <w:tr2bl w:val="nil"/>
            </w:tcBorders>
            <w:shd w:val="clear" w:color="auto" w:fill="auto"/>
            <w:vAlign w:val="center"/>
          </w:tcPr>
          <w:p w14:paraId="2270A9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0.06</w:t>
            </w:r>
          </w:p>
        </w:tc>
        <w:tc>
          <w:tcPr>
            <w:tcW w:w="670" w:type="pct"/>
            <w:tcBorders>
              <w:tl2br w:val="nil"/>
              <w:tr2bl w:val="nil"/>
            </w:tcBorders>
            <w:shd w:val="clear" w:color="auto" w:fill="auto"/>
            <w:vAlign w:val="center"/>
          </w:tcPr>
          <w:p w14:paraId="62CDEE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w:t>
            </w:r>
          </w:p>
        </w:tc>
      </w:tr>
      <w:tr w14:paraId="16C67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78220A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DA003</w:t>
            </w:r>
          </w:p>
        </w:tc>
        <w:tc>
          <w:tcPr>
            <w:tcW w:w="462" w:type="pct"/>
            <w:tcBorders>
              <w:tl2br w:val="nil"/>
              <w:tr2bl w:val="nil"/>
            </w:tcBorders>
            <w:shd w:val="clear" w:color="auto" w:fill="auto"/>
            <w:vAlign w:val="center"/>
          </w:tcPr>
          <w:p w14:paraId="1980FB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473" w:type="pct"/>
            <w:tcBorders>
              <w:tl2br w:val="nil"/>
              <w:tr2bl w:val="nil"/>
            </w:tcBorders>
            <w:shd w:val="clear" w:color="auto" w:fill="auto"/>
            <w:vAlign w:val="center"/>
          </w:tcPr>
          <w:p w14:paraId="6200CB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42°37′9″</w:t>
            </w:r>
          </w:p>
        </w:tc>
        <w:tc>
          <w:tcPr>
            <w:tcW w:w="440" w:type="pct"/>
            <w:tcBorders>
              <w:tl2br w:val="nil"/>
              <w:tr2bl w:val="nil"/>
            </w:tcBorders>
            <w:shd w:val="clear" w:color="auto" w:fill="auto"/>
            <w:vAlign w:val="center"/>
          </w:tcPr>
          <w:p w14:paraId="7CD200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688D2E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7380D0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0.1</w:t>
            </w:r>
          </w:p>
        </w:tc>
        <w:tc>
          <w:tcPr>
            <w:tcW w:w="270" w:type="pct"/>
            <w:tcBorders>
              <w:tl2br w:val="nil"/>
              <w:tr2bl w:val="nil"/>
            </w:tcBorders>
            <w:shd w:val="clear" w:color="auto" w:fill="auto"/>
            <w:vAlign w:val="center"/>
          </w:tcPr>
          <w:p w14:paraId="01F582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1.8</w:t>
            </w:r>
          </w:p>
        </w:tc>
        <w:tc>
          <w:tcPr>
            <w:tcW w:w="299" w:type="pct"/>
            <w:tcBorders>
              <w:tl2br w:val="nil"/>
              <w:tr2bl w:val="nil"/>
            </w:tcBorders>
            <w:shd w:val="clear" w:color="auto" w:fill="auto"/>
            <w:vAlign w:val="center"/>
          </w:tcPr>
          <w:p w14:paraId="429527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363" w:type="pct"/>
            <w:tcBorders>
              <w:tl2br w:val="nil"/>
              <w:tr2bl w:val="nil"/>
            </w:tcBorders>
            <w:shd w:val="clear" w:color="auto" w:fill="auto"/>
            <w:vAlign w:val="center"/>
          </w:tcPr>
          <w:p w14:paraId="680305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6000</w:t>
            </w:r>
          </w:p>
        </w:tc>
        <w:tc>
          <w:tcPr>
            <w:tcW w:w="260" w:type="pct"/>
            <w:vMerge w:val="continue"/>
            <w:tcBorders>
              <w:tl2br w:val="nil"/>
              <w:tr2bl w:val="nil"/>
            </w:tcBorders>
            <w:vAlign w:val="center"/>
          </w:tcPr>
          <w:p w14:paraId="576A1F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670" w:type="pct"/>
            <w:tcBorders>
              <w:tl2br w:val="nil"/>
              <w:tr2bl w:val="nil"/>
            </w:tcBorders>
            <w:shd w:val="clear" w:color="auto" w:fill="auto"/>
            <w:vAlign w:val="center"/>
          </w:tcPr>
          <w:p w14:paraId="703349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w:t>
            </w:r>
          </w:p>
        </w:tc>
        <w:tc>
          <w:tcPr>
            <w:tcW w:w="670" w:type="pct"/>
            <w:tcBorders>
              <w:tl2br w:val="nil"/>
              <w:tr2bl w:val="nil"/>
            </w:tcBorders>
            <w:shd w:val="clear" w:color="auto" w:fill="auto"/>
            <w:vAlign w:val="center"/>
          </w:tcPr>
          <w:p w14:paraId="140210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0.0026</w:t>
            </w:r>
          </w:p>
        </w:tc>
      </w:tr>
    </w:tbl>
    <w:p w14:paraId="630D79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lang w:val="zh-CN"/>
        </w:rPr>
      </w:pPr>
    </w:p>
    <w:p w14:paraId="1EAF48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lang w:val="zh-CN"/>
        </w:rPr>
      </w:pPr>
    </w:p>
    <w:p w14:paraId="69D3EF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zh-CN"/>
        </w:rPr>
        <w:t>表2.</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lang w:val="zh-CN"/>
        </w:rPr>
        <w:t>-2（</w:t>
      </w:r>
      <w:r>
        <w:rPr>
          <w:rFonts w:hint="default" w:ascii="Times New Roman" w:hAnsi="Times New Roman" w:cs="Times New Roman"/>
          <w:b/>
          <w:color w:val="auto"/>
          <w:sz w:val="21"/>
          <w:szCs w:val="21"/>
          <w:highlight w:val="none"/>
        </w:rPr>
        <w:t>2</w:t>
      </w:r>
      <w:r>
        <w:rPr>
          <w:rFonts w:hint="default" w:ascii="Times New Roman" w:hAnsi="Times New Roman" w:cs="Times New Roman"/>
          <w:b/>
          <w:color w:val="auto"/>
          <w:sz w:val="21"/>
          <w:szCs w:val="21"/>
          <w:highlight w:val="none"/>
          <w:lang w:val="zh-CN"/>
        </w:rPr>
        <w:t xml:space="preserve">）  </w:t>
      </w:r>
      <w:r>
        <w:rPr>
          <w:rFonts w:hint="default" w:ascii="Times New Roman" w:hAnsi="Times New Roman" w:cs="Times New Roman"/>
          <w:b/>
          <w:color w:val="auto"/>
          <w:sz w:val="21"/>
          <w:szCs w:val="21"/>
          <w:highlight w:val="none"/>
        </w:rPr>
        <w:t xml:space="preserve">  面源</w:t>
      </w:r>
      <w:r>
        <w:rPr>
          <w:rFonts w:hint="default" w:ascii="Times New Roman" w:hAnsi="Times New Roman" w:cs="Times New Roman"/>
          <w:b/>
          <w:color w:val="auto"/>
          <w:sz w:val="21"/>
          <w:szCs w:val="21"/>
          <w:highlight w:val="none"/>
          <w:lang w:val="zh-CN"/>
        </w:rPr>
        <w:t>参数选取</w:t>
      </w:r>
      <w:r>
        <w:rPr>
          <w:rFonts w:hint="default" w:ascii="Times New Roman" w:hAnsi="Times New Roman" w:cs="Times New Roman"/>
          <w:b/>
          <w:color w:val="auto"/>
          <w:sz w:val="21"/>
          <w:szCs w:val="21"/>
          <w:highlight w:val="none"/>
        </w:rPr>
        <w:t>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416"/>
        <w:gridCol w:w="727"/>
        <w:gridCol w:w="1193"/>
        <w:gridCol w:w="903"/>
        <w:gridCol w:w="903"/>
        <w:gridCol w:w="1180"/>
        <w:gridCol w:w="976"/>
        <w:gridCol w:w="1065"/>
        <w:gridCol w:w="887"/>
        <w:gridCol w:w="631"/>
      </w:tblGrid>
      <w:tr w14:paraId="3D0AF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tblHeader/>
          <w:jc w:val="center"/>
        </w:trPr>
        <w:tc>
          <w:tcPr>
            <w:tcW w:w="234" w:type="pct"/>
            <w:vMerge w:val="restart"/>
            <w:tcBorders>
              <w:tl2br w:val="nil"/>
              <w:tr2bl w:val="nil"/>
            </w:tcBorders>
            <w:shd w:val="clear" w:color="auto" w:fill="auto"/>
            <w:vAlign w:val="center"/>
          </w:tcPr>
          <w:p w14:paraId="40B320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编号</w:t>
            </w:r>
          </w:p>
        </w:tc>
        <w:tc>
          <w:tcPr>
            <w:tcW w:w="409" w:type="pct"/>
            <w:vMerge w:val="restart"/>
            <w:tcBorders>
              <w:tl2br w:val="nil"/>
              <w:tr2bl w:val="nil"/>
            </w:tcBorders>
            <w:vAlign w:val="center"/>
          </w:tcPr>
          <w:p w14:paraId="513981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名称</w:t>
            </w:r>
          </w:p>
        </w:tc>
        <w:tc>
          <w:tcPr>
            <w:tcW w:w="671" w:type="pct"/>
            <w:vMerge w:val="restart"/>
            <w:tcBorders>
              <w:tl2br w:val="nil"/>
              <w:tr2bl w:val="nil"/>
            </w:tcBorders>
            <w:shd w:val="clear" w:color="auto" w:fill="auto"/>
            <w:vAlign w:val="center"/>
          </w:tcPr>
          <w:p w14:paraId="5A8C42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w:t>
            </w:r>
            <w:r>
              <w:rPr>
                <w:rFonts w:hint="eastAsia" w:cs="Times New Roman"/>
                <w:b/>
                <w:bCs/>
                <w:snapToGrid w:val="0"/>
                <w:color w:val="auto"/>
                <w:kern w:val="0"/>
                <w:sz w:val="21"/>
                <w:szCs w:val="21"/>
                <w:highlight w:val="none"/>
                <w:lang w:eastAsia="zh-CN"/>
              </w:rPr>
              <w:t>海拔</w:t>
            </w:r>
            <w:r>
              <w:rPr>
                <w:rFonts w:hint="default" w:ascii="Times New Roman" w:hAnsi="Times New Roman" w:eastAsia="宋体" w:cs="Times New Roman"/>
                <w:b/>
                <w:bCs/>
                <w:snapToGrid w:val="0"/>
                <w:color w:val="auto"/>
                <w:kern w:val="0"/>
                <w:sz w:val="21"/>
                <w:szCs w:val="21"/>
                <w:highlight w:val="none"/>
                <w:lang w:eastAsia="zh-CN"/>
              </w:rPr>
              <w:t>/m</w:t>
            </w:r>
          </w:p>
        </w:tc>
        <w:tc>
          <w:tcPr>
            <w:tcW w:w="508" w:type="pct"/>
            <w:vMerge w:val="restart"/>
            <w:tcBorders>
              <w:tl2br w:val="nil"/>
              <w:tr2bl w:val="nil"/>
            </w:tcBorders>
            <w:shd w:val="clear" w:color="auto" w:fill="auto"/>
            <w:vAlign w:val="center"/>
          </w:tcPr>
          <w:p w14:paraId="64A491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面源长度/m</w:t>
            </w:r>
          </w:p>
        </w:tc>
        <w:tc>
          <w:tcPr>
            <w:tcW w:w="508" w:type="pct"/>
            <w:vMerge w:val="restart"/>
            <w:tcBorders>
              <w:tl2br w:val="nil"/>
              <w:tr2bl w:val="nil"/>
            </w:tcBorders>
            <w:shd w:val="clear" w:color="auto" w:fill="auto"/>
            <w:vAlign w:val="center"/>
          </w:tcPr>
          <w:p w14:paraId="5358FA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面源宽度/m</w:t>
            </w:r>
          </w:p>
        </w:tc>
        <w:tc>
          <w:tcPr>
            <w:tcW w:w="664" w:type="pct"/>
            <w:vMerge w:val="restart"/>
            <w:tcBorders>
              <w:tl2br w:val="nil"/>
              <w:tr2bl w:val="nil"/>
            </w:tcBorders>
            <w:shd w:val="clear" w:color="auto" w:fill="auto"/>
            <w:vAlign w:val="center"/>
          </w:tcPr>
          <w:p w14:paraId="3BCC1F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面源有效排放高度/m</w:t>
            </w:r>
          </w:p>
        </w:tc>
        <w:tc>
          <w:tcPr>
            <w:tcW w:w="549" w:type="pct"/>
            <w:vMerge w:val="restart"/>
            <w:tcBorders>
              <w:tl2br w:val="nil"/>
              <w:tr2bl w:val="nil"/>
            </w:tcBorders>
            <w:shd w:val="clear" w:color="auto" w:fill="auto"/>
            <w:vAlign w:val="center"/>
          </w:tcPr>
          <w:p w14:paraId="44B83B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排放小时数/h</w:t>
            </w:r>
          </w:p>
        </w:tc>
        <w:tc>
          <w:tcPr>
            <w:tcW w:w="599" w:type="pct"/>
            <w:vMerge w:val="restart"/>
            <w:tcBorders>
              <w:tl2br w:val="nil"/>
              <w:tr2bl w:val="nil"/>
            </w:tcBorders>
            <w:vAlign w:val="center"/>
          </w:tcPr>
          <w:p w14:paraId="0019C4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排放工况</w:t>
            </w:r>
          </w:p>
        </w:tc>
        <w:tc>
          <w:tcPr>
            <w:tcW w:w="854" w:type="pct"/>
            <w:gridSpan w:val="2"/>
            <w:tcBorders>
              <w:tl2br w:val="nil"/>
              <w:tr2bl w:val="nil"/>
            </w:tcBorders>
            <w:vAlign w:val="center"/>
          </w:tcPr>
          <w:p w14:paraId="52823C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污染物排放速率/（kg/h）</w:t>
            </w:r>
          </w:p>
        </w:tc>
      </w:tr>
      <w:tr w14:paraId="5FFA7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tblHeader/>
          <w:jc w:val="center"/>
        </w:trPr>
        <w:tc>
          <w:tcPr>
            <w:tcW w:w="234" w:type="pct"/>
            <w:vMerge w:val="continue"/>
            <w:tcBorders>
              <w:tl2br w:val="nil"/>
              <w:tr2bl w:val="nil"/>
            </w:tcBorders>
            <w:shd w:val="clear" w:color="auto" w:fill="auto"/>
            <w:vAlign w:val="center"/>
          </w:tcPr>
          <w:p w14:paraId="3C68B6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409" w:type="pct"/>
            <w:vMerge w:val="continue"/>
            <w:tcBorders>
              <w:tl2br w:val="nil"/>
              <w:tr2bl w:val="nil"/>
            </w:tcBorders>
            <w:vAlign w:val="center"/>
          </w:tcPr>
          <w:p w14:paraId="1A89F1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671" w:type="pct"/>
            <w:vMerge w:val="continue"/>
            <w:tcBorders>
              <w:tl2br w:val="nil"/>
              <w:tr2bl w:val="nil"/>
            </w:tcBorders>
            <w:shd w:val="clear" w:color="auto" w:fill="auto"/>
            <w:vAlign w:val="center"/>
          </w:tcPr>
          <w:p w14:paraId="23554C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08" w:type="pct"/>
            <w:vMerge w:val="continue"/>
            <w:tcBorders>
              <w:tl2br w:val="nil"/>
              <w:tr2bl w:val="nil"/>
            </w:tcBorders>
            <w:shd w:val="clear" w:color="auto" w:fill="auto"/>
            <w:vAlign w:val="center"/>
          </w:tcPr>
          <w:p w14:paraId="5C1887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08" w:type="pct"/>
            <w:vMerge w:val="continue"/>
            <w:tcBorders>
              <w:tl2br w:val="nil"/>
              <w:tr2bl w:val="nil"/>
            </w:tcBorders>
            <w:shd w:val="clear" w:color="auto" w:fill="auto"/>
            <w:vAlign w:val="center"/>
          </w:tcPr>
          <w:p w14:paraId="66661D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664" w:type="pct"/>
            <w:vMerge w:val="continue"/>
            <w:tcBorders>
              <w:tl2br w:val="nil"/>
              <w:tr2bl w:val="nil"/>
            </w:tcBorders>
            <w:shd w:val="clear" w:color="auto" w:fill="auto"/>
            <w:vAlign w:val="center"/>
          </w:tcPr>
          <w:p w14:paraId="51CDBD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49" w:type="pct"/>
            <w:vMerge w:val="continue"/>
            <w:tcBorders>
              <w:tl2br w:val="nil"/>
              <w:tr2bl w:val="nil"/>
            </w:tcBorders>
            <w:shd w:val="clear" w:color="auto" w:fill="auto"/>
            <w:vAlign w:val="center"/>
          </w:tcPr>
          <w:p w14:paraId="3D7424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99" w:type="pct"/>
            <w:vMerge w:val="continue"/>
            <w:tcBorders>
              <w:tl2br w:val="nil"/>
              <w:tr2bl w:val="nil"/>
            </w:tcBorders>
            <w:vAlign w:val="center"/>
          </w:tcPr>
          <w:p w14:paraId="7AF097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499" w:type="pct"/>
            <w:tcBorders>
              <w:tl2br w:val="nil"/>
              <w:tr2bl w:val="nil"/>
            </w:tcBorders>
            <w:shd w:val="clear" w:color="auto" w:fill="auto"/>
            <w:vAlign w:val="center"/>
          </w:tcPr>
          <w:p w14:paraId="6CEBBE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sz w:val="21"/>
                <w:szCs w:val="21"/>
                <w:highlight w:val="none"/>
                <w:lang w:eastAsia="zh-CN"/>
              </w:rPr>
              <w:t>TSP</w:t>
            </w:r>
          </w:p>
        </w:tc>
        <w:tc>
          <w:tcPr>
            <w:tcW w:w="355" w:type="pct"/>
            <w:tcBorders>
              <w:tl2br w:val="nil"/>
              <w:tr2bl w:val="nil"/>
            </w:tcBorders>
            <w:shd w:val="clear" w:color="auto" w:fill="auto"/>
            <w:vAlign w:val="center"/>
          </w:tcPr>
          <w:p w14:paraId="1D7086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val="en-US" w:eastAsia="zh-CN"/>
              </w:rPr>
              <w:t>硫酸雾</w:t>
            </w:r>
          </w:p>
        </w:tc>
      </w:tr>
      <w:tr w14:paraId="30581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234" w:type="pct"/>
            <w:tcBorders>
              <w:tl2br w:val="nil"/>
              <w:tr2bl w:val="nil"/>
            </w:tcBorders>
            <w:shd w:val="clear" w:color="auto" w:fill="auto"/>
            <w:vAlign w:val="center"/>
          </w:tcPr>
          <w:p w14:paraId="60568A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w:t>
            </w:r>
          </w:p>
        </w:tc>
        <w:tc>
          <w:tcPr>
            <w:tcW w:w="409" w:type="pct"/>
            <w:tcBorders>
              <w:tl2br w:val="nil"/>
              <w:tr2bl w:val="nil"/>
            </w:tcBorders>
            <w:vAlign w:val="center"/>
          </w:tcPr>
          <w:p w14:paraId="70AC10AD">
            <w:pPr>
              <w:pStyle w:val="230"/>
              <w:keepNext w:val="0"/>
              <w:keepLines w:val="0"/>
              <w:pageBreakBefore w:val="0"/>
              <w:wordWrap/>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厂界</w:t>
            </w:r>
          </w:p>
        </w:tc>
        <w:tc>
          <w:tcPr>
            <w:tcW w:w="671" w:type="pct"/>
            <w:tcBorders>
              <w:tl2br w:val="nil"/>
              <w:tr2bl w:val="nil"/>
            </w:tcBorders>
            <w:shd w:val="clear" w:color="auto" w:fill="auto"/>
            <w:vAlign w:val="center"/>
          </w:tcPr>
          <w:p w14:paraId="40506A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w:t>
            </w:r>
            <w:r>
              <w:rPr>
                <w:rFonts w:hint="default" w:ascii="Times New Roman" w:hAnsi="Times New Roman" w:cs="Times New Roman"/>
                <w:b w:val="0"/>
                <w:bCs w:val="0"/>
                <w:snapToGrid w:val="0"/>
                <w:color w:val="auto"/>
                <w:kern w:val="0"/>
                <w:sz w:val="21"/>
                <w:szCs w:val="21"/>
                <w:highlight w:val="none"/>
                <w:lang w:val="en-US" w:eastAsia="zh-CN"/>
              </w:rPr>
              <w:t>38</w:t>
            </w:r>
          </w:p>
        </w:tc>
        <w:tc>
          <w:tcPr>
            <w:tcW w:w="508" w:type="pct"/>
            <w:tcBorders>
              <w:tl2br w:val="nil"/>
              <w:tr2bl w:val="nil"/>
            </w:tcBorders>
            <w:shd w:val="clear" w:color="auto" w:fill="auto"/>
            <w:vAlign w:val="center"/>
          </w:tcPr>
          <w:p w14:paraId="6EC19A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lang w:val="en-US" w:eastAsia="zh-CN"/>
              </w:rPr>
              <w:t>250</w:t>
            </w:r>
          </w:p>
        </w:tc>
        <w:tc>
          <w:tcPr>
            <w:tcW w:w="508" w:type="pct"/>
            <w:tcBorders>
              <w:tl2br w:val="nil"/>
              <w:tr2bl w:val="nil"/>
            </w:tcBorders>
            <w:shd w:val="clear" w:color="auto" w:fill="auto"/>
            <w:vAlign w:val="center"/>
          </w:tcPr>
          <w:p w14:paraId="08831E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240</w:t>
            </w:r>
          </w:p>
        </w:tc>
        <w:tc>
          <w:tcPr>
            <w:tcW w:w="664" w:type="pct"/>
            <w:tcBorders>
              <w:tl2br w:val="nil"/>
              <w:tr2bl w:val="nil"/>
            </w:tcBorders>
            <w:shd w:val="clear" w:color="auto" w:fill="auto"/>
            <w:vAlign w:val="center"/>
          </w:tcPr>
          <w:p w14:paraId="40D7B8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10</w:t>
            </w:r>
          </w:p>
        </w:tc>
        <w:tc>
          <w:tcPr>
            <w:tcW w:w="549" w:type="pct"/>
            <w:tcBorders>
              <w:tl2br w:val="nil"/>
              <w:tr2bl w:val="nil"/>
            </w:tcBorders>
            <w:shd w:val="clear" w:color="auto" w:fill="auto"/>
            <w:vAlign w:val="center"/>
          </w:tcPr>
          <w:p w14:paraId="18C122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6000</w:t>
            </w:r>
          </w:p>
        </w:tc>
        <w:tc>
          <w:tcPr>
            <w:tcW w:w="599" w:type="pct"/>
            <w:tcBorders>
              <w:tl2br w:val="nil"/>
              <w:tr2bl w:val="nil"/>
            </w:tcBorders>
            <w:vAlign w:val="center"/>
          </w:tcPr>
          <w:p w14:paraId="69DCCE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正常工况</w:t>
            </w:r>
          </w:p>
        </w:tc>
        <w:tc>
          <w:tcPr>
            <w:tcW w:w="499" w:type="pct"/>
            <w:tcBorders>
              <w:tl2br w:val="nil"/>
              <w:tr2bl w:val="nil"/>
            </w:tcBorders>
            <w:shd w:val="clear" w:color="auto" w:fill="auto"/>
            <w:vAlign w:val="center"/>
          </w:tcPr>
          <w:p w14:paraId="3ACA1E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5.48</w:t>
            </w:r>
          </w:p>
        </w:tc>
        <w:tc>
          <w:tcPr>
            <w:tcW w:w="355" w:type="pct"/>
            <w:tcBorders>
              <w:tl2br w:val="nil"/>
              <w:tr2bl w:val="nil"/>
            </w:tcBorders>
            <w:shd w:val="clear" w:color="auto" w:fill="auto"/>
            <w:vAlign w:val="center"/>
          </w:tcPr>
          <w:p w14:paraId="49AF78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0.021</w:t>
            </w:r>
          </w:p>
        </w:tc>
      </w:tr>
    </w:tbl>
    <w:p w14:paraId="7EFC91B0">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估算模型参数选取见表2.</w:t>
      </w:r>
      <w:r>
        <w:rPr>
          <w:rFonts w:hint="default" w:ascii="Times New Roman" w:hAnsi="Times New Roman" w:cs="Times New Roman"/>
          <w:color w:val="auto"/>
          <w:szCs w:val="24"/>
          <w:highlight w:val="none"/>
          <w:lang w:val="en-US" w:eastAsia="zh-CN" w:bidi="ar"/>
        </w:rPr>
        <w:t>5</w:t>
      </w:r>
      <w:r>
        <w:rPr>
          <w:rFonts w:hint="default" w:ascii="Times New Roman" w:hAnsi="Times New Roman" w:cs="Times New Roman"/>
          <w:color w:val="auto"/>
          <w:szCs w:val="24"/>
          <w:highlight w:val="none"/>
          <w:lang w:bidi="ar"/>
        </w:rPr>
        <w:t xml:space="preserve">-3。 </w:t>
      </w:r>
    </w:p>
    <w:p w14:paraId="1C698C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lang w:val="zh-CN"/>
        </w:rPr>
      </w:pPr>
      <w:r>
        <w:rPr>
          <w:rFonts w:hint="default" w:ascii="Times New Roman" w:hAnsi="Times New Roman" w:eastAsia="宋体" w:cs="Times New Roman"/>
          <w:b/>
          <w:color w:val="auto"/>
          <w:sz w:val="21"/>
          <w:szCs w:val="21"/>
          <w:highlight w:val="none"/>
          <w:lang w:val="zh-CN"/>
        </w:rPr>
        <w:t>表2.</w:t>
      </w:r>
      <w:r>
        <w:rPr>
          <w:rFonts w:hint="default" w:ascii="Times New Roman" w:hAnsi="Times New Roman" w:eastAsia="宋体"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lang w:val="zh-CN"/>
        </w:rPr>
        <w:t>-3    估算模型参数表</w:t>
      </w:r>
    </w:p>
    <w:tbl>
      <w:tblPr>
        <w:tblStyle w:val="33"/>
        <w:tblW w:w="0" w:type="auto"/>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932"/>
        <w:gridCol w:w="4437"/>
        <w:gridCol w:w="2361"/>
      </w:tblGrid>
      <w:tr w14:paraId="4B7A9E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0FDD3D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参数</w:t>
            </w:r>
          </w:p>
        </w:tc>
        <w:tc>
          <w:tcPr>
            <w:tcW w:w="2361" w:type="dxa"/>
            <w:vAlign w:val="center"/>
          </w:tcPr>
          <w:p w14:paraId="20AF54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取值</w:t>
            </w:r>
          </w:p>
        </w:tc>
      </w:tr>
      <w:tr w14:paraId="0B4714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1C4E9A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城市/农村选项</w:t>
            </w:r>
          </w:p>
        </w:tc>
        <w:tc>
          <w:tcPr>
            <w:tcW w:w="4437" w:type="dxa"/>
            <w:vAlign w:val="center"/>
          </w:tcPr>
          <w:p w14:paraId="4163C1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w:t>
            </w:r>
          </w:p>
        </w:tc>
        <w:tc>
          <w:tcPr>
            <w:tcW w:w="2361" w:type="dxa"/>
            <w:vAlign w:val="center"/>
          </w:tcPr>
          <w:p w14:paraId="6FF41E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农村</w:t>
            </w:r>
          </w:p>
        </w:tc>
      </w:tr>
      <w:tr w14:paraId="10F530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79C02E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p>
        </w:tc>
        <w:tc>
          <w:tcPr>
            <w:tcW w:w="4437" w:type="dxa"/>
            <w:vAlign w:val="center"/>
          </w:tcPr>
          <w:p w14:paraId="2384E3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人口数（城市选项时）</w:t>
            </w:r>
          </w:p>
        </w:tc>
        <w:tc>
          <w:tcPr>
            <w:tcW w:w="2361" w:type="dxa"/>
            <w:vAlign w:val="center"/>
          </w:tcPr>
          <w:p w14:paraId="49236F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14:paraId="41A864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14ED8A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最高环境温度/℃</w:t>
            </w:r>
          </w:p>
        </w:tc>
        <w:tc>
          <w:tcPr>
            <w:tcW w:w="2361" w:type="dxa"/>
            <w:vAlign w:val="center"/>
          </w:tcPr>
          <w:p w14:paraId="1F3BD3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44.8</w:t>
            </w:r>
          </w:p>
        </w:tc>
      </w:tr>
      <w:tr w14:paraId="7E4108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2B0980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最低环境温度/℃</w:t>
            </w:r>
          </w:p>
        </w:tc>
        <w:tc>
          <w:tcPr>
            <w:tcW w:w="2361" w:type="dxa"/>
            <w:vAlign w:val="center"/>
          </w:tcPr>
          <w:p w14:paraId="75B9D1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-26.7</w:t>
            </w:r>
          </w:p>
        </w:tc>
      </w:tr>
      <w:tr w14:paraId="169C9D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31FE64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土地利用类型</w:t>
            </w:r>
          </w:p>
        </w:tc>
        <w:tc>
          <w:tcPr>
            <w:tcW w:w="2361" w:type="dxa"/>
            <w:vAlign w:val="center"/>
          </w:tcPr>
          <w:p w14:paraId="1343B7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沙漠化荒地</w:t>
            </w:r>
          </w:p>
        </w:tc>
      </w:tr>
      <w:tr w14:paraId="3A9916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41E928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区域湿度条件</w:t>
            </w:r>
          </w:p>
        </w:tc>
        <w:tc>
          <w:tcPr>
            <w:tcW w:w="2361" w:type="dxa"/>
            <w:vAlign w:val="center"/>
          </w:tcPr>
          <w:p w14:paraId="34FA5C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干燥气候</w:t>
            </w:r>
          </w:p>
        </w:tc>
      </w:tr>
      <w:tr w14:paraId="4AC8EF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31E0F0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是否考虑地形</w:t>
            </w:r>
          </w:p>
        </w:tc>
        <w:tc>
          <w:tcPr>
            <w:tcW w:w="4437" w:type="dxa"/>
            <w:vAlign w:val="center"/>
          </w:tcPr>
          <w:p w14:paraId="5933FA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考虑地形</w:t>
            </w:r>
          </w:p>
        </w:tc>
        <w:tc>
          <w:tcPr>
            <w:tcW w:w="2361" w:type="dxa"/>
            <w:vAlign w:val="center"/>
          </w:tcPr>
          <w:p w14:paraId="5287A6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sym w:font="Wingdings 2" w:char="0052"/>
            </w:r>
            <w:r>
              <w:rPr>
                <w:rFonts w:hint="default" w:ascii="Times New Roman" w:hAnsi="Times New Roman" w:cs="Times New Roman"/>
                <w:color w:val="auto"/>
                <w:kern w:val="0"/>
                <w:sz w:val="21"/>
                <w:szCs w:val="21"/>
                <w:highlight w:val="none"/>
              </w:rPr>
              <w:t xml:space="preserve">是  </w:t>
            </w:r>
            <w:r>
              <w:rPr>
                <w:rFonts w:hint="default" w:ascii="Times New Roman" w:hAnsi="Times New Roman" w:cs="Times New Roman"/>
                <w:color w:val="auto"/>
                <w:kern w:val="0"/>
                <w:sz w:val="21"/>
                <w:szCs w:val="21"/>
                <w:highlight w:val="none"/>
              </w:rPr>
              <w:fldChar w:fldCharType="begin"/>
            </w:r>
            <w:r>
              <w:rPr>
                <w:rFonts w:hint="default" w:ascii="Times New Roman" w:hAnsi="Times New Roman" w:cs="Times New Roman"/>
                <w:color w:val="auto"/>
                <w:kern w:val="0"/>
                <w:sz w:val="21"/>
                <w:szCs w:val="21"/>
                <w:highlight w:val="none"/>
              </w:rPr>
              <w:instrText xml:space="preserve"> eq \o\ac(</w:instrText>
            </w:r>
            <w:r>
              <w:rPr>
                <w:rFonts w:hint="default" w:ascii="Times New Roman" w:hAnsi="Times New Roman" w:cs="Times New Roman"/>
                <w:color w:val="auto"/>
                <w:kern w:val="0"/>
                <w:position w:val="-4"/>
                <w:sz w:val="31"/>
                <w:szCs w:val="21"/>
                <w:highlight w:val="none"/>
              </w:rPr>
              <w:instrText xml:space="preserve">□</w:instrText>
            </w:r>
            <w:r>
              <w:rPr>
                <w:rFonts w:hint="default" w:ascii="Times New Roman" w:hAnsi="Times New Roman" w:cs="Times New Roman"/>
                <w:color w:val="auto"/>
                <w:kern w:val="0"/>
                <w:position w:val="0"/>
                <w:sz w:val="21"/>
                <w:szCs w:val="21"/>
                <w:highlight w:val="none"/>
              </w:rPr>
              <w:instrText xml:space="preserve">)</w:instrText>
            </w:r>
            <w:r>
              <w:rPr>
                <w:rFonts w:hint="default" w:ascii="Times New Roman" w:hAnsi="Times New Roman" w:cs="Times New Roman"/>
                <w:color w:val="auto"/>
                <w:kern w:val="0"/>
                <w:sz w:val="21"/>
                <w:szCs w:val="21"/>
                <w:highlight w:val="none"/>
              </w:rPr>
              <w:fldChar w:fldCharType="end"/>
            </w:r>
            <w:r>
              <w:rPr>
                <w:rFonts w:hint="default" w:ascii="Times New Roman" w:hAnsi="Times New Roman" w:cs="Times New Roman"/>
                <w:color w:val="auto"/>
                <w:kern w:val="0"/>
                <w:sz w:val="21"/>
                <w:szCs w:val="21"/>
                <w:highlight w:val="none"/>
              </w:rPr>
              <w:t>否</w:t>
            </w:r>
          </w:p>
        </w:tc>
      </w:tr>
      <w:tr w14:paraId="56F632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0E06BB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p>
        </w:tc>
        <w:tc>
          <w:tcPr>
            <w:tcW w:w="4437" w:type="dxa"/>
            <w:vAlign w:val="center"/>
          </w:tcPr>
          <w:p w14:paraId="31CFBF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地形数据分辨率/m</w:t>
            </w:r>
          </w:p>
        </w:tc>
        <w:tc>
          <w:tcPr>
            <w:tcW w:w="2361" w:type="dxa"/>
            <w:vAlign w:val="center"/>
          </w:tcPr>
          <w:p w14:paraId="3B55C0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r>
      <w:tr w14:paraId="05DFD9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53719A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是否考虑岸线熏 烟</w:t>
            </w:r>
          </w:p>
        </w:tc>
        <w:tc>
          <w:tcPr>
            <w:tcW w:w="4437" w:type="dxa"/>
            <w:vAlign w:val="center"/>
          </w:tcPr>
          <w:p w14:paraId="20BBBB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考虑岸线熏烟</w:t>
            </w:r>
          </w:p>
        </w:tc>
        <w:tc>
          <w:tcPr>
            <w:tcW w:w="2361" w:type="dxa"/>
            <w:vAlign w:val="center"/>
          </w:tcPr>
          <w:p w14:paraId="210408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□是 </w:t>
            </w:r>
            <w:r>
              <w:rPr>
                <w:rFonts w:hint="default" w:ascii="Times New Roman" w:hAnsi="Times New Roman" w:cs="Times New Roman"/>
                <w:color w:val="auto"/>
                <w:kern w:val="0"/>
                <w:sz w:val="21"/>
                <w:szCs w:val="21"/>
                <w:highlight w:val="none"/>
              </w:rPr>
              <w:fldChar w:fldCharType="begin"/>
            </w:r>
            <w:r>
              <w:rPr>
                <w:rFonts w:hint="default" w:ascii="Times New Roman" w:hAnsi="Times New Roman" w:cs="Times New Roman"/>
                <w:color w:val="auto"/>
                <w:kern w:val="0"/>
                <w:sz w:val="21"/>
                <w:szCs w:val="21"/>
                <w:highlight w:val="none"/>
              </w:rPr>
              <w:instrText xml:space="preserve"> eq \o\ac(</w:instrText>
            </w:r>
            <w:r>
              <w:rPr>
                <w:rFonts w:hint="default" w:ascii="Times New Roman" w:hAnsi="Times New Roman" w:cs="Times New Roman"/>
                <w:color w:val="auto"/>
                <w:kern w:val="0"/>
                <w:position w:val="-4"/>
                <w:sz w:val="31"/>
                <w:szCs w:val="21"/>
                <w:highlight w:val="none"/>
              </w:rPr>
              <w:instrText xml:space="preserve">□</w:instrText>
            </w:r>
            <w:r>
              <w:rPr>
                <w:rFonts w:hint="default" w:ascii="Times New Roman" w:hAnsi="Times New Roman" w:cs="Times New Roman"/>
                <w:color w:val="auto"/>
                <w:kern w:val="0"/>
                <w:position w:val="0"/>
                <w:sz w:val="21"/>
                <w:szCs w:val="21"/>
                <w:highlight w:val="none"/>
              </w:rPr>
              <w:instrText xml:space="preserve">,√)</w:instrText>
            </w:r>
            <w:r>
              <w:rPr>
                <w:rFonts w:hint="default" w:ascii="Times New Roman" w:hAnsi="Times New Roman" w:cs="Times New Roman"/>
                <w:color w:val="auto"/>
                <w:kern w:val="0"/>
                <w:sz w:val="21"/>
                <w:szCs w:val="21"/>
                <w:highlight w:val="none"/>
              </w:rPr>
              <w:fldChar w:fldCharType="end"/>
            </w:r>
            <w:r>
              <w:rPr>
                <w:rFonts w:hint="default" w:ascii="Times New Roman" w:hAnsi="Times New Roman" w:cs="Times New Roman"/>
                <w:color w:val="auto"/>
                <w:kern w:val="0"/>
                <w:sz w:val="21"/>
                <w:szCs w:val="21"/>
                <w:highlight w:val="none"/>
              </w:rPr>
              <w:t>否</w:t>
            </w:r>
          </w:p>
        </w:tc>
      </w:tr>
      <w:tr w14:paraId="30181C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177293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p>
        </w:tc>
        <w:tc>
          <w:tcPr>
            <w:tcW w:w="4437" w:type="dxa"/>
            <w:vAlign w:val="center"/>
          </w:tcPr>
          <w:p w14:paraId="1928D6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岸线距离/km</w:t>
            </w:r>
          </w:p>
        </w:tc>
        <w:tc>
          <w:tcPr>
            <w:tcW w:w="2361" w:type="dxa"/>
            <w:vAlign w:val="center"/>
          </w:tcPr>
          <w:p w14:paraId="628A10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14:paraId="28E78FF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42CDD9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p>
        </w:tc>
        <w:tc>
          <w:tcPr>
            <w:tcW w:w="4437" w:type="dxa"/>
            <w:vAlign w:val="center"/>
          </w:tcPr>
          <w:p w14:paraId="111ABE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岸线方向/°</w:t>
            </w:r>
          </w:p>
        </w:tc>
        <w:tc>
          <w:tcPr>
            <w:tcW w:w="2361" w:type="dxa"/>
            <w:vAlign w:val="center"/>
          </w:tcPr>
          <w:p w14:paraId="2980BE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bl>
    <w:p w14:paraId="0AB5CA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由AERSCREEN估算模式计算所得污染物最大地面浓度占标率及对应距离见表2.</w:t>
      </w:r>
      <w:r>
        <w:rPr>
          <w:rFonts w:hint="default" w:ascii="Times New Roman" w:hAnsi="Times New Roman" w:cs="Times New Roman"/>
          <w:color w:val="auto"/>
          <w:szCs w:val="24"/>
          <w:highlight w:val="none"/>
          <w:lang w:val="en-US" w:eastAsia="zh-CN" w:bidi="ar"/>
        </w:rPr>
        <w:t>5</w:t>
      </w:r>
      <w:r>
        <w:rPr>
          <w:rFonts w:hint="default" w:ascii="Times New Roman" w:hAnsi="Times New Roman" w:cs="Times New Roman"/>
          <w:color w:val="auto"/>
          <w:szCs w:val="24"/>
          <w:highlight w:val="none"/>
          <w:lang w:bidi="ar"/>
        </w:rPr>
        <w:t>-4。</w:t>
      </w:r>
    </w:p>
    <w:p w14:paraId="7C747A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lang w:val="zh-CN"/>
        </w:rPr>
      </w:pPr>
      <w:r>
        <w:rPr>
          <w:rFonts w:hint="default" w:ascii="Times New Roman" w:hAnsi="Times New Roman" w:cs="Times New Roman"/>
          <w:b/>
          <w:color w:val="auto"/>
          <w:sz w:val="21"/>
          <w:szCs w:val="21"/>
          <w:highlight w:val="none"/>
          <w:lang w:val="zh-CN"/>
        </w:rPr>
        <w:t>表2.</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lang w:val="zh-CN"/>
        </w:rPr>
        <w:t xml:space="preserve">-4    各污染物估算最大落地浓度及占标率结果 </w:t>
      </w:r>
      <w:r>
        <w:rPr>
          <w:rFonts w:hint="eastAsia"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lang w:val="zh-CN"/>
        </w:rPr>
        <w:t>单位：μg/m</w:t>
      </w:r>
      <w:r>
        <w:rPr>
          <w:rFonts w:hint="default" w:ascii="Times New Roman" w:hAnsi="Times New Roman" w:cs="Times New Roman"/>
          <w:b/>
          <w:color w:val="auto"/>
          <w:sz w:val="21"/>
          <w:szCs w:val="21"/>
          <w:highlight w:val="none"/>
          <w:vertAlign w:val="superscript"/>
          <w:lang w:val="zh-CN"/>
        </w:rPr>
        <w:t>3</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21"/>
        <w:gridCol w:w="1445"/>
        <w:gridCol w:w="939"/>
        <w:gridCol w:w="777"/>
        <w:gridCol w:w="1237"/>
        <w:gridCol w:w="874"/>
        <w:gridCol w:w="1140"/>
        <w:gridCol w:w="860"/>
        <w:gridCol w:w="1156"/>
      </w:tblGrid>
      <w:tr w14:paraId="4D2605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vMerge w:val="restart"/>
            <w:tcBorders>
              <w:tl2br w:val="nil"/>
              <w:tr2bl w:val="nil"/>
            </w:tcBorders>
            <w:noWrap/>
            <w:vAlign w:val="center"/>
          </w:tcPr>
          <w:p w14:paraId="6C18CD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807" w:type="pct"/>
            <w:vMerge w:val="restart"/>
            <w:tcBorders>
              <w:tl2br w:val="nil"/>
              <w:tr2bl w:val="nil"/>
            </w:tcBorders>
            <w:noWrap/>
            <w:vAlign w:val="center"/>
          </w:tcPr>
          <w:p w14:paraId="5718E5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污染源名称</w:t>
            </w:r>
          </w:p>
        </w:tc>
        <w:tc>
          <w:tcPr>
            <w:tcW w:w="524" w:type="pct"/>
            <w:vMerge w:val="restart"/>
            <w:tcBorders>
              <w:tl2br w:val="nil"/>
              <w:tr2bl w:val="nil"/>
            </w:tcBorders>
            <w:noWrap/>
            <w:vAlign w:val="center"/>
          </w:tcPr>
          <w:p w14:paraId="30963F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距离（m）</w:t>
            </w:r>
          </w:p>
        </w:tc>
        <w:tc>
          <w:tcPr>
            <w:tcW w:w="1125" w:type="pct"/>
            <w:gridSpan w:val="2"/>
            <w:tcBorders>
              <w:tl2br w:val="nil"/>
              <w:tr2bl w:val="nil"/>
            </w:tcBorders>
            <w:noWrap/>
            <w:vAlign w:val="center"/>
          </w:tcPr>
          <w:p w14:paraId="66A8BD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PM</w:t>
            </w:r>
            <w:r>
              <w:rPr>
                <w:rFonts w:hint="default" w:ascii="Times New Roman" w:hAnsi="Times New Roman" w:cs="Times New Roman"/>
                <w:b/>
                <w:bCs/>
                <w:color w:val="auto"/>
                <w:sz w:val="21"/>
                <w:szCs w:val="21"/>
                <w:highlight w:val="none"/>
                <w:vertAlign w:val="subscript"/>
                <w:lang w:val="en-US" w:eastAsia="zh-CN"/>
              </w:rPr>
              <w:t>10</w:t>
            </w:r>
          </w:p>
        </w:tc>
        <w:tc>
          <w:tcPr>
            <w:tcW w:w="1125" w:type="pct"/>
            <w:gridSpan w:val="2"/>
            <w:tcBorders>
              <w:tl2br w:val="nil"/>
              <w:tr2bl w:val="nil"/>
            </w:tcBorders>
            <w:noWrap/>
            <w:vAlign w:val="center"/>
          </w:tcPr>
          <w:p w14:paraId="63C27C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硫酸雾</w:t>
            </w:r>
          </w:p>
        </w:tc>
        <w:tc>
          <w:tcPr>
            <w:tcW w:w="1126" w:type="pct"/>
            <w:gridSpan w:val="2"/>
            <w:tcBorders>
              <w:tl2br w:val="nil"/>
              <w:tr2bl w:val="nil"/>
            </w:tcBorders>
            <w:noWrap/>
            <w:vAlign w:val="center"/>
          </w:tcPr>
          <w:p w14:paraId="67E7E0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TSP</w:t>
            </w:r>
          </w:p>
        </w:tc>
      </w:tr>
      <w:tr w14:paraId="5D370A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697" w:hRule="atLeast"/>
          <w:jc w:val="center"/>
        </w:trPr>
        <w:tc>
          <w:tcPr>
            <w:tcW w:w="291" w:type="pct"/>
            <w:vMerge w:val="continue"/>
            <w:tcBorders>
              <w:tl2br w:val="nil"/>
              <w:tr2bl w:val="nil"/>
            </w:tcBorders>
            <w:noWrap/>
            <w:vAlign w:val="center"/>
          </w:tcPr>
          <w:p w14:paraId="1EF1DE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807" w:type="pct"/>
            <w:vMerge w:val="continue"/>
            <w:tcBorders>
              <w:tl2br w:val="nil"/>
              <w:tr2bl w:val="nil"/>
            </w:tcBorders>
            <w:noWrap/>
            <w:vAlign w:val="center"/>
          </w:tcPr>
          <w:p w14:paraId="55D407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524" w:type="pct"/>
            <w:vMerge w:val="continue"/>
            <w:tcBorders>
              <w:tl2br w:val="nil"/>
              <w:tr2bl w:val="nil"/>
            </w:tcBorders>
            <w:noWrap/>
            <w:vAlign w:val="center"/>
          </w:tcPr>
          <w:p w14:paraId="23414D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434" w:type="pct"/>
            <w:tcBorders>
              <w:tl2br w:val="nil"/>
              <w:tr2bl w:val="nil"/>
            </w:tcBorders>
            <w:noWrap/>
            <w:vAlign w:val="center"/>
          </w:tcPr>
          <w:p w14:paraId="303805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tc>
        <w:tc>
          <w:tcPr>
            <w:tcW w:w="691" w:type="pct"/>
            <w:tcBorders>
              <w:tl2br w:val="nil"/>
              <w:tr2bl w:val="nil"/>
            </w:tcBorders>
            <w:noWrap/>
            <w:vAlign w:val="center"/>
          </w:tcPr>
          <w:p w14:paraId="66A3F7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最大</w:t>
            </w:r>
            <w:r>
              <w:rPr>
                <w:rFonts w:hint="default" w:ascii="Times New Roman" w:hAnsi="Times New Roman" w:cs="Times New Roman"/>
                <w:b/>
                <w:bCs/>
                <w:color w:val="auto"/>
                <w:sz w:val="21"/>
                <w:szCs w:val="21"/>
                <w:highlight w:val="none"/>
              </w:rPr>
              <w:t>占标率｜D</w:t>
            </w:r>
            <w:r>
              <w:rPr>
                <w:rFonts w:hint="default" w:ascii="Times New Roman" w:hAnsi="Times New Roman" w:cs="Times New Roman"/>
                <w:b/>
                <w:bCs/>
                <w:color w:val="auto"/>
                <w:sz w:val="21"/>
                <w:szCs w:val="21"/>
                <w:highlight w:val="none"/>
                <w:vertAlign w:val="subscript"/>
              </w:rPr>
              <w:t>10</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488" w:type="pct"/>
            <w:tcBorders>
              <w:tl2br w:val="nil"/>
              <w:tr2bl w:val="nil"/>
            </w:tcBorders>
            <w:noWrap/>
            <w:vAlign w:val="center"/>
          </w:tcPr>
          <w:p w14:paraId="1BCE02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tc>
        <w:tc>
          <w:tcPr>
            <w:tcW w:w="636" w:type="pct"/>
            <w:tcBorders>
              <w:tl2br w:val="nil"/>
              <w:tr2bl w:val="nil"/>
            </w:tcBorders>
            <w:noWrap/>
            <w:vAlign w:val="center"/>
          </w:tcPr>
          <w:p w14:paraId="4A4940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最大</w:t>
            </w:r>
            <w:r>
              <w:rPr>
                <w:rFonts w:hint="default" w:ascii="Times New Roman" w:hAnsi="Times New Roman" w:cs="Times New Roman"/>
                <w:b/>
                <w:bCs/>
                <w:color w:val="auto"/>
                <w:sz w:val="21"/>
                <w:szCs w:val="21"/>
                <w:highlight w:val="none"/>
              </w:rPr>
              <w:t>占标率｜D</w:t>
            </w:r>
            <w:r>
              <w:rPr>
                <w:rFonts w:hint="default" w:ascii="Times New Roman" w:hAnsi="Times New Roman" w:cs="Times New Roman"/>
                <w:b/>
                <w:bCs/>
                <w:color w:val="auto"/>
                <w:sz w:val="21"/>
                <w:szCs w:val="21"/>
                <w:highlight w:val="none"/>
                <w:vertAlign w:val="subscript"/>
              </w:rPr>
              <w:t>10</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480" w:type="pct"/>
            <w:tcBorders>
              <w:tl2br w:val="nil"/>
              <w:tr2bl w:val="nil"/>
            </w:tcBorders>
            <w:noWrap/>
            <w:vAlign w:val="center"/>
          </w:tcPr>
          <w:p w14:paraId="3339B2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tc>
        <w:tc>
          <w:tcPr>
            <w:tcW w:w="645" w:type="pct"/>
            <w:tcBorders>
              <w:tl2br w:val="nil"/>
              <w:tr2bl w:val="nil"/>
            </w:tcBorders>
            <w:noWrap/>
            <w:vAlign w:val="center"/>
          </w:tcPr>
          <w:p w14:paraId="75E418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最大</w:t>
            </w:r>
            <w:r>
              <w:rPr>
                <w:rFonts w:hint="default" w:ascii="Times New Roman" w:hAnsi="Times New Roman" w:cs="Times New Roman"/>
                <w:b/>
                <w:bCs/>
                <w:color w:val="auto"/>
                <w:sz w:val="21"/>
                <w:szCs w:val="21"/>
                <w:highlight w:val="none"/>
              </w:rPr>
              <w:t>占标率｜D</w:t>
            </w:r>
            <w:r>
              <w:rPr>
                <w:rFonts w:hint="default" w:ascii="Times New Roman" w:hAnsi="Times New Roman" w:cs="Times New Roman"/>
                <w:b/>
                <w:bCs/>
                <w:color w:val="auto"/>
                <w:sz w:val="21"/>
                <w:szCs w:val="21"/>
                <w:highlight w:val="none"/>
                <w:vertAlign w:val="subscript"/>
              </w:rPr>
              <w:t>10</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r>
      <w:tr w14:paraId="0D79D1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tcBorders>
              <w:tl2br w:val="nil"/>
              <w:tr2bl w:val="nil"/>
            </w:tcBorders>
            <w:noWrap/>
            <w:vAlign w:val="center"/>
          </w:tcPr>
          <w:p w14:paraId="402D1F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07" w:type="pct"/>
            <w:tcBorders>
              <w:tl2br w:val="nil"/>
              <w:tr2bl w:val="nil"/>
            </w:tcBorders>
            <w:noWrap/>
            <w:vAlign w:val="center"/>
          </w:tcPr>
          <w:p w14:paraId="40FB0460">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snapToGrid/>
                <w:color w:val="auto"/>
                <w:kern w:val="2"/>
                <w:sz w:val="21"/>
                <w:szCs w:val="21"/>
                <w:highlight w:val="none"/>
                <w:lang w:val="en-US" w:eastAsia="zh-CN"/>
              </w:rPr>
              <w:t>一级破碎</w:t>
            </w:r>
          </w:p>
        </w:tc>
        <w:tc>
          <w:tcPr>
            <w:tcW w:w="524" w:type="pct"/>
            <w:tcBorders>
              <w:tl2br w:val="nil"/>
              <w:tr2bl w:val="nil"/>
            </w:tcBorders>
            <w:noWrap/>
            <w:vAlign w:val="center"/>
          </w:tcPr>
          <w:p w14:paraId="10DB66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167</w:t>
            </w:r>
          </w:p>
        </w:tc>
        <w:tc>
          <w:tcPr>
            <w:tcW w:w="434" w:type="pct"/>
            <w:tcBorders>
              <w:tl2br w:val="nil"/>
              <w:tr2bl w:val="nil"/>
            </w:tcBorders>
            <w:noWrap/>
            <w:vAlign w:val="center"/>
          </w:tcPr>
          <w:p w14:paraId="568DFF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2.09</w:t>
            </w:r>
          </w:p>
        </w:tc>
        <w:tc>
          <w:tcPr>
            <w:tcW w:w="691" w:type="pct"/>
            <w:tcBorders>
              <w:tl2br w:val="nil"/>
              <w:tr2bl w:val="nil"/>
            </w:tcBorders>
            <w:noWrap/>
            <w:vAlign w:val="center"/>
          </w:tcPr>
          <w:p w14:paraId="494AEB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47</w:t>
            </w:r>
            <w:r>
              <w:rPr>
                <w:rFonts w:hint="default" w:ascii="Times New Roman" w:hAnsi="Times New Roman" w:cs="Times New Roman"/>
                <w:color w:val="auto"/>
                <w:sz w:val="21"/>
                <w:szCs w:val="21"/>
                <w:highlight w:val="none"/>
              </w:rPr>
              <w:t>|0</w:t>
            </w:r>
          </w:p>
        </w:tc>
        <w:tc>
          <w:tcPr>
            <w:tcW w:w="488" w:type="pct"/>
            <w:tcBorders>
              <w:tl2br w:val="nil"/>
              <w:tr2bl w:val="nil"/>
            </w:tcBorders>
            <w:noWrap/>
            <w:vAlign w:val="center"/>
          </w:tcPr>
          <w:p w14:paraId="445984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36" w:type="pct"/>
            <w:tcBorders>
              <w:tl2br w:val="nil"/>
              <w:tr2bl w:val="nil"/>
            </w:tcBorders>
            <w:noWrap/>
            <w:vAlign w:val="center"/>
          </w:tcPr>
          <w:p w14:paraId="42E86D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ign w:val="center"/>
          </w:tcPr>
          <w:p w14:paraId="2E5666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45" w:type="pct"/>
            <w:tcBorders>
              <w:tl2br w:val="nil"/>
              <w:tr2bl w:val="nil"/>
            </w:tcBorders>
            <w:noWrap/>
            <w:vAlign w:val="center"/>
          </w:tcPr>
          <w:p w14:paraId="658E08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14:paraId="5ACB2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tcBorders>
              <w:tl2br w:val="nil"/>
              <w:tr2bl w:val="nil"/>
            </w:tcBorders>
            <w:noWrap/>
            <w:vAlign w:val="center"/>
          </w:tcPr>
          <w:p w14:paraId="571F79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07" w:type="pct"/>
            <w:tcBorders>
              <w:tl2br w:val="nil"/>
              <w:tr2bl w:val="nil"/>
            </w:tcBorders>
            <w:noWrap/>
            <w:vAlign w:val="center"/>
          </w:tcPr>
          <w:p w14:paraId="7340ABD5">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val="0"/>
                <w:bCs/>
                <w:snapToGrid/>
                <w:color w:val="auto"/>
                <w:kern w:val="2"/>
                <w:sz w:val="21"/>
                <w:szCs w:val="21"/>
                <w:highlight w:val="none"/>
                <w:lang w:val="en-US" w:eastAsia="zh-CN"/>
              </w:rPr>
              <w:t>二</w:t>
            </w:r>
            <w:r>
              <w:rPr>
                <w:rFonts w:hint="default" w:ascii="Times New Roman" w:hAnsi="Times New Roman" w:eastAsia="宋体" w:cs="Times New Roman"/>
                <w:b w:val="0"/>
                <w:bCs/>
                <w:snapToGrid/>
                <w:color w:val="auto"/>
                <w:kern w:val="2"/>
                <w:sz w:val="21"/>
                <w:szCs w:val="21"/>
                <w:highlight w:val="none"/>
                <w:lang w:val="en-US" w:eastAsia="zh-CN"/>
              </w:rPr>
              <w:t>级破碎</w:t>
            </w:r>
          </w:p>
        </w:tc>
        <w:tc>
          <w:tcPr>
            <w:tcW w:w="524" w:type="pct"/>
            <w:tcBorders>
              <w:tl2br w:val="nil"/>
              <w:tr2bl w:val="nil"/>
            </w:tcBorders>
            <w:noWrap/>
            <w:vAlign w:val="center"/>
          </w:tcPr>
          <w:p w14:paraId="4D2484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159</w:t>
            </w:r>
          </w:p>
        </w:tc>
        <w:tc>
          <w:tcPr>
            <w:tcW w:w="434" w:type="pct"/>
            <w:tcBorders>
              <w:tl2br w:val="nil"/>
              <w:tr2bl w:val="nil"/>
            </w:tcBorders>
            <w:noWrap/>
            <w:vAlign w:val="center"/>
          </w:tcPr>
          <w:p w14:paraId="1D0026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2.08</w:t>
            </w:r>
          </w:p>
        </w:tc>
        <w:tc>
          <w:tcPr>
            <w:tcW w:w="691" w:type="pct"/>
            <w:tcBorders>
              <w:tl2br w:val="nil"/>
              <w:tr2bl w:val="nil"/>
            </w:tcBorders>
            <w:noWrap/>
            <w:vAlign w:val="center"/>
          </w:tcPr>
          <w:p w14:paraId="6C239F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46</w:t>
            </w:r>
            <w:r>
              <w:rPr>
                <w:rFonts w:hint="default" w:ascii="Times New Roman" w:hAnsi="Times New Roman" w:cs="Times New Roman"/>
                <w:color w:val="auto"/>
                <w:sz w:val="21"/>
                <w:szCs w:val="21"/>
                <w:highlight w:val="none"/>
              </w:rPr>
              <w:t>|0</w:t>
            </w:r>
          </w:p>
        </w:tc>
        <w:tc>
          <w:tcPr>
            <w:tcW w:w="488" w:type="pct"/>
            <w:tcBorders>
              <w:tl2br w:val="nil"/>
              <w:tr2bl w:val="nil"/>
            </w:tcBorders>
            <w:noWrap/>
            <w:vAlign w:val="center"/>
          </w:tcPr>
          <w:p w14:paraId="379F9D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36" w:type="pct"/>
            <w:tcBorders>
              <w:tl2br w:val="nil"/>
              <w:tr2bl w:val="nil"/>
            </w:tcBorders>
            <w:noWrap/>
            <w:vAlign w:val="center"/>
          </w:tcPr>
          <w:p w14:paraId="2A2222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ign w:val="center"/>
          </w:tcPr>
          <w:p w14:paraId="374DF9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45" w:type="pct"/>
            <w:tcBorders>
              <w:tl2br w:val="nil"/>
              <w:tr2bl w:val="nil"/>
            </w:tcBorders>
            <w:noWrap/>
            <w:vAlign w:val="center"/>
          </w:tcPr>
          <w:p w14:paraId="15F431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14:paraId="79A6BF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tcBorders>
              <w:tl2br w:val="nil"/>
              <w:tr2bl w:val="nil"/>
            </w:tcBorders>
            <w:noWrap/>
            <w:vAlign w:val="center"/>
          </w:tcPr>
          <w:p w14:paraId="2EDD2D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807" w:type="pct"/>
            <w:tcBorders>
              <w:tl2br w:val="nil"/>
              <w:tr2bl w:val="nil"/>
            </w:tcBorders>
            <w:noWrap/>
            <w:vAlign w:val="center"/>
          </w:tcPr>
          <w:p w14:paraId="5DAFF45B">
            <w:pPr>
              <w:pStyle w:val="230"/>
              <w:keepNext w:val="0"/>
              <w:keepLines w:val="0"/>
              <w:pageBreakBefore w:val="0"/>
              <w:wordWrap/>
              <w:topLinePunct w:val="0"/>
              <w:bidi w:val="0"/>
              <w:adjustRightInd w:val="0"/>
              <w:snapToGrid w:val="0"/>
              <w:spacing w:line="240" w:lineRule="auto"/>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厂界</w:t>
            </w:r>
          </w:p>
        </w:tc>
        <w:tc>
          <w:tcPr>
            <w:tcW w:w="524" w:type="pct"/>
            <w:tcBorders>
              <w:tl2br w:val="nil"/>
              <w:tr2bl w:val="nil"/>
            </w:tcBorders>
            <w:noWrap/>
            <w:vAlign w:val="center"/>
          </w:tcPr>
          <w:p w14:paraId="092856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178</w:t>
            </w:r>
          </w:p>
        </w:tc>
        <w:tc>
          <w:tcPr>
            <w:tcW w:w="434" w:type="pct"/>
            <w:tcBorders>
              <w:tl2br w:val="nil"/>
              <w:tr2bl w:val="nil"/>
            </w:tcBorders>
            <w:noWrap/>
            <w:vAlign w:val="center"/>
          </w:tcPr>
          <w:p w14:paraId="097E28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1" w:type="pct"/>
            <w:tcBorders>
              <w:tl2br w:val="nil"/>
              <w:tr2bl w:val="nil"/>
            </w:tcBorders>
            <w:noWrap/>
            <w:vAlign w:val="center"/>
          </w:tcPr>
          <w:p w14:paraId="65EB52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8" w:type="pct"/>
            <w:tcBorders>
              <w:tl2br w:val="nil"/>
              <w:tr2bl w:val="nil"/>
            </w:tcBorders>
            <w:noWrap/>
            <w:vAlign w:val="center"/>
          </w:tcPr>
          <w:p w14:paraId="101E03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1.66</w:t>
            </w:r>
          </w:p>
        </w:tc>
        <w:tc>
          <w:tcPr>
            <w:tcW w:w="636" w:type="pct"/>
            <w:tcBorders>
              <w:tl2br w:val="nil"/>
              <w:tr2bl w:val="nil"/>
            </w:tcBorders>
            <w:noWrap/>
            <w:vAlign w:val="center"/>
          </w:tcPr>
          <w:p w14:paraId="50E7B5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0.55</w:t>
            </w:r>
            <w:r>
              <w:rPr>
                <w:rFonts w:hint="default" w:ascii="Times New Roman" w:hAnsi="Times New Roman" w:cs="Times New Roman"/>
                <w:color w:val="auto"/>
                <w:sz w:val="21"/>
                <w:szCs w:val="21"/>
                <w:highlight w:val="none"/>
              </w:rPr>
              <w:t>|0</w:t>
            </w:r>
          </w:p>
        </w:tc>
        <w:tc>
          <w:tcPr>
            <w:tcW w:w="480" w:type="pct"/>
            <w:tcBorders>
              <w:tl2br w:val="nil"/>
              <w:tr2bl w:val="nil"/>
            </w:tcBorders>
            <w:noWrap/>
            <w:vAlign w:val="center"/>
          </w:tcPr>
          <w:p w14:paraId="2F8E1C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304.42</w:t>
            </w:r>
          </w:p>
        </w:tc>
        <w:tc>
          <w:tcPr>
            <w:tcW w:w="645" w:type="pct"/>
            <w:tcBorders>
              <w:tl2br w:val="nil"/>
              <w:tr2bl w:val="nil"/>
            </w:tcBorders>
            <w:noWrap/>
            <w:vAlign w:val="center"/>
          </w:tcPr>
          <w:p w14:paraId="576EB8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33.82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5000</w:t>
            </w:r>
          </w:p>
        </w:tc>
      </w:tr>
      <w:tr w14:paraId="71DB8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tcBorders>
              <w:tl2br w:val="nil"/>
              <w:tr2bl w:val="nil"/>
            </w:tcBorders>
            <w:noWrap/>
            <w:vAlign w:val="center"/>
          </w:tcPr>
          <w:p w14:paraId="171773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807" w:type="pct"/>
            <w:tcBorders>
              <w:tl2br w:val="nil"/>
              <w:tr2bl w:val="nil"/>
            </w:tcBorders>
            <w:noWrap/>
            <w:vAlign w:val="center"/>
          </w:tcPr>
          <w:p w14:paraId="6329848F">
            <w:pPr>
              <w:pStyle w:val="230"/>
              <w:keepNext w:val="0"/>
              <w:keepLines w:val="0"/>
              <w:pageBreakBefore w:val="0"/>
              <w:wordWrap/>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硫酸雾</w:t>
            </w:r>
          </w:p>
        </w:tc>
        <w:tc>
          <w:tcPr>
            <w:tcW w:w="524" w:type="pct"/>
            <w:tcBorders>
              <w:tl2br w:val="nil"/>
              <w:tr2bl w:val="nil"/>
            </w:tcBorders>
            <w:noWrap/>
            <w:vAlign w:val="center"/>
          </w:tcPr>
          <w:p w14:paraId="7B0CB3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172</w:t>
            </w:r>
          </w:p>
        </w:tc>
        <w:tc>
          <w:tcPr>
            <w:tcW w:w="434" w:type="pct"/>
            <w:tcBorders>
              <w:tl2br w:val="nil"/>
              <w:tr2bl w:val="nil"/>
            </w:tcBorders>
            <w:noWrap/>
            <w:vAlign w:val="center"/>
          </w:tcPr>
          <w:p w14:paraId="75A9AC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91" w:type="pct"/>
            <w:tcBorders>
              <w:tl2br w:val="nil"/>
              <w:tr2bl w:val="nil"/>
            </w:tcBorders>
            <w:noWrap/>
            <w:vAlign w:val="center"/>
          </w:tcPr>
          <w:p w14:paraId="3960E3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8" w:type="pct"/>
            <w:tcBorders>
              <w:tl2br w:val="nil"/>
              <w:tr2bl w:val="nil"/>
            </w:tcBorders>
            <w:noWrap/>
            <w:vAlign w:val="center"/>
          </w:tcPr>
          <w:p w14:paraId="327A4C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0.26</w:t>
            </w:r>
          </w:p>
        </w:tc>
        <w:tc>
          <w:tcPr>
            <w:tcW w:w="636" w:type="pct"/>
            <w:tcBorders>
              <w:tl2br w:val="nil"/>
              <w:tr2bl w:val="nil"/>
            </w:tcBorders>
            <w:noWrap/>
            <w:vAlign w:val="center"/>
          </w:tcPr>
          <w:p w14:paraId="08464F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0.09</w:t>
            </w:r>
            <w:r>
              <w:rPr>
                <w:rFonts w:hint="default" w:ascii="Times New Roman" w:hAnsi="Times New Roman" w:cs="Times New Roman"/>
                <w:color w:val="auto"/>
                <w:sz w:val="21"/>
                <w:szCs w:val="21"/>
                <w:highlight w:val="none"/>
              </w:rPr>
              <w:t>|0</w:t>
            </w:r>
          </w:p>
        </w:tc>
        <w:tc>
          <w:tcPr>
            <w:tcW w:w="480" w:type="pct"/>
            <w:tcBorders>
              <w:tl2br w:val="nil"/>
              <w:tr2bl w:val="nil"/>
            </w:tcBorders>
            <w:noWrap/>
            <w:vAlign w:val="center"/>
          </w:tcPr>
          <w:p w14:paraId="0EE790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5" w:type="pct"/>
            <w:tcBorders>
              <w:tl2br w:val="nil"/>
              <w:tr2bl w:val="nil"/>
            </w:tcBorders>
            <w:noWrap/>
            <w:vAlign w:val="center"/>
          </w:tcPr>
          <w:p w14:paraId="38792D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4611D5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p>
    <w:p w14:paraId="1FAB73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图2.5-1  评价等级预测结果一览表</w:t>
      </w:r>
    </w:p>
    <w:p w14:paraId="3AE5A3BC">
      <w:pPr>
        <w:pageBreakBefore w:val="0"/>
        <w:numPr>
          <w:ilvl w:val="0"/>
          <w:numId w:val="0"/>
        </w:numPr>
        <w:wordWrap/>
        <w:topLinePunct w:val="0"/>
        <w:bidi w:val="0"/>
        <w:adjustRightInd w:val="0"/>
        <w:snapToGrid w:val="0"/>
        <w:ind w:left="0" w:leftChars="0" w:right="0"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（2）确定评价等级</w:t>
      </w:r>
    </w:p>
    <w:p w14:paraId="3E167BF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根据估算结果，本项目无组织废气</w:t>
      </w:r>
      <w:r>
        <w:rPr>
          <w:rFonts w:hint="default" w:ascii="Times New Roman" w:hAnsi="Times New Roman" w:cs="Times New Roman"/>
          <w:color w:val="auto"/>
          <w:szCs w:val="24"/>
          <w:highlight w:val="none"/>
          <w:lang w:val="en-US" w:eastAsia="zh-CN" w:bidi="ar"/>
        </w:rPr>
        <w:t>TSP</w:t>
      </w:r>
      <w:r>
        <w:rPr>
          <w:rFonts w:hint="default" w:ascii="Times New Roman" w:hAnsi="Times New Roman" w:cs="Times New Roman"/>
          <w:color w:val="auto"/>
          <w:szCs w:val="24"/>
          <w:highlight w:val="none"/>
          <w:lang w:bidi="ar"/>
        </w:rPr>
        <w:t>最大占标率为：</w:t>
      </w:r>
      <w:r>
        <w:rPr>
          <w:rFonts w:hint="default" w:ascii="Times New Roman" w:hAnsi="Times New Roman" w:cs="Times New Roman"/>
          <w:color w:val="auto"/>
          <w:szCs w:val="24"/>
          <w:highlight w:val="none"/>
          <w:lang w:val="en-US" w:eastAsia="zh-CN" w:bidi="ar"/>
        </w:rPr>
        <w:t>33.82</w:t>
      </w:r>
      <w:r>
        <w:rPr>
          <w:rFonts w:hint="default" w:ascii="Times New Roman" w:hAnsi="Times New Roman" w:cs="Times New Roman"/>
          <w:color w:val="auto"/>
          <w:szCs w:val="24"/>
          <w:highlight w:val="none"/>
          <w:lang w:bidi="ar"/>
        </w:rPr>
        <w:t>%，根据导则规定的大气环境评价等级确定原则，本项目大气环境影响评价等级为一级。</w:t>
      </w:r>
    </w:p>
    <w:p w14:paraId="691E5C11">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2.5.2地表水环境影响评价等级</w:t>
      </w:r>
    </w:p>
    <w:p w14:paraId="5F364D7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本项目地表水环境影响为水污染影响型。根据《环境影响评价技术导则 地表水环境》（HJ2.3-2018），项目地表水环境评价工作等级具体判定情况见表2.5-</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p w14:paraId="2B7FD2D5">
      <w:pPr>
        <w:pageBreakBefore w:val="0"/>
        <w:wordWrap/>
        <w:topLinePunct w:val="0"/>
        <w:bidi w:val="0"/>
        <w:adjustRightInd w:val="0"/>
        <w:snapToGrid w:val="0"/>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地表水环境评价工作等级判别表</w:t>
      </w:r>
    </w:p>
    <w:tbl>
      <w:tblPr>
        <w:tblStyle w:val="34"/>
        <w:tblW w:w="89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750"/>
        <w:gridCol w:w="1367"/>
        <w:gridCol w:w="1183"/>
        <w:gridCol w:w="1284"/>
        <w:gridCol w:w="1223"/>
      </w:tblGrid>
      <w:tr w14:paraId="7B868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1" w:type="dxa"/>
            <w:gridSpan w:val="2"/>
            <w:tcBorders>
              <w:tl2br w:val="nil"/>
              <w:tr2bl w:val="nil"/>
            </w:tcBorders>
            <w:vAlign w:val="center"/>
          </w:tcPr>
          <w:p w14:paraId="5AED22C2">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评价等级</w:t>
            </w:r>
          </w:p>
        </w:tc>
        <w:tc>
          <w:tcPr>
            <w:tcW w:w="1367" w:type="dxa"/>
            <w:tcBorders>
              <w:tl2br w:val="nil"/>
              <w:tr2bl w:val="nil"/>
            </w:tcBorders>
            <w:vAlign w:val="center"/>
          </w:tcPr>
          <w:p w14:paraId="4FEB089E">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1183" w:type="dxa"/>
            <w:tcBorders>
              <w:tl2br w:val="nil"/>
              <w:tr2bl w:val="nil"/>
            </w:tcBorders>
            <w:vAlign w:val="center"/>
          </w:tcPr>
          <w:p w14:paraId="1578499C">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1284" w:type="dxa"/>
            <w:tcBorders>
              <w:tl2br w:val="nil"/>
              <w:tr2bl w:val="nil"/>
            </w:tcBorders>
            <w:vAlign w:val="center"/>
          </w:tcPr>
          <w:p w14:paraId="587B8B1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三级A</w:t>
            </w:r>
          </w:p>
        </w:tc>
        <w:tc>
          <w:tcPr>
            <w:tcW w:w="1223" w:type="dxa"/>
            <w:tcBorders>
              <w:tl2br w:val="nil"/>
              <w:tr2bl w:val="nil"/>
            </w:tcBorders>
            <w:vAlign w:val="center"/>
          </w:tcPr>
          <w:p w14:paraId="04F1E5C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三级B</w:t>
            </w:r>
          </w:p>
        </w:tc>
      </w:tr>
      <w:tr w14:paraId="5F3CD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1" w:type="dxa"/>
            <w:vMerge w:val="restart"/>
            <w:tcBorders>
              <w:tl2br w:val="nil"/>
              <w:tr2bl w:val="nil"/>
            </w:tcBorders>
            <w:vAlign w:val="center"/>
          </w:tcPr>
          <w:p w14:paraId="78816C63">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判断依据</w:t>
            </w:r>
          </w:p>
        </w:tc>
        <w:tc>
          <w:tcPr>
            <w:tcW w:w="2750" w:type="dxa"/>
            <w:tcBorders>
              <w:tl2br w:val="nil"/>
              <w:tr2bl w:val="nil"/>
            </w:tcBorders>
            <w:vAlign w:val="center"/>
          </w:tcPr>
          <w:p w14:paraId="64D6986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排放方式</w:t>
            </w:r>
          </w:p>
        </w:tc>
        <w:tc>
          <w:tcPr>
            <w:tcW w:w="1367" w:type="dxa"/>
            <w:tcBorders>
              <w:tl2br w:val="nil"/>
              <w:tr2bl w:val="nil"/>
            </w:tcBorders>
            <w:vAlign w:val="center"/>
          </w:tcPr>
          <w:p w14:paraId="1E950A8C">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直接排放</w:t>
            </w:r>
          </w:p>
        </w:tc>
        <w:tc>
          <w:tcPr>
            <w:tcW w:w="1183" w:type="dxa"/>
            <w:tcBorders>
              <w:tl2br w:val="nil"/>
              <w:tr2bl w:val="nil"/>
            </w:tcBorders>
            <w:vAlign w:val="center"/>
          </w:tcPr>
          <w:p w14:paraId="6DABF0D5">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直接排放</w:t>
            </w:r>
          </w:p>
        </w:tc>
        <w:tc>
          <w:tcPr>
            <w:tcW w:w="1284" w:type="dxa"/>
            <w:tcBorders>
              <w:tl2br w:val="nil"/>
              <w:tr2bl w:val="nil"/>
            </w:tcBorders>
            <w:vAlign w:val="center"/>
          </w:tcPr>
          <w:p w14:paraId="6F990681">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直接排放</w:t>
            </w:r>
          </w:p>
        </w:tc>
        <w:tc>
          <w:tcPr>
            <w:tcW w:w="1223" w:type="dxa"/>
            <w:tcBorders>
              <w:tl2br w:val="nil"/>
              <w:tr2bl w:val="nil"/>
            </w:tcBorders>
            <w:vAlign w:val="center"/>
          </w:tcPr>
          <w:p w14:paraId="33BD0089">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间接排放</w:t>
            </w:r>
          </w:p>
        </w:tc>
      </w:tr>
      <w:tr w14:paraId="789F8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1" w:type="dxa"/>
            <w:vMerge w:val="continue"/>
            <w:tcBorders>
              <w:tl2br w:val="nil"/>
              <w:tr2bl w:val="nil"/>
            </w:tcBorders>
            <w:vAlign w:val="center"/>
          </w:tcPr>
          <w:p w14:paraId="5D9503D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p>
        </w:tc>
        <w:tc>
          <w:tcPr>
            <w:tcW w:w="2750" w:type="dxa"/>
            <w:tcBorders>
              <w:tl2br w:val="nil"/>
              <w:tr2bl w:val="nil"/>
            </w:tcBorders>
            <w:vAlign w:val="center"/>
          </w:tcPr>
          <w:p w14:paraId="0F72876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废水排放量Q/（m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p w14:paraId="44AA3E5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水污染物当量W/（无量纲）</w:t>
            </w:r>
          </w:p>
        </w:tc>
        <w:tc>
          <w:tcPr>
            <w:tcW w:w="1367" w:type="dxa"/>
            <w:tcBorders>
              <w:tl2br w:val="nil"/>
              <w:tr2bl w:val="nil"/>
            </w:tcBorders>
            <w:vAlign w:val="center"/>
          </w:tcPr>
          <w:p w14:paraId="76719D8B">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Q≥20000或W≥600000</w:t>
            </w:r>
          </w:p>
        </w:tc>
        <w:tc>
          <w:tcPr>
            <w:tcW w:w="1183" w:type="dxa"/>
            <w:tcBorders>
              <w:tl2br w:val="nil"/>
              <w:tr2bl w:val="nil"/>
            </w:tcBorders>
            <w:vAlign w:val="center"/>
          </w:tcPr>
          <w:p w14:paraId="10C341D9">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w:t>
            </w:r>
          </w:p>
        </w:tc>
        <w:tc>
          <w:tcPr>
            <w:tcW w:w="1284" w:type="dxa"/>
            <w:tcBorders>
              <w:tl2br w:val="nil"/>
              <w:tr2bl w:val="nil"/>
            </w:tcBorders>
            <w:vAlign w:val="center"/>
          </w:tcPr>
          <w:p w14:paraId="7BB0AA22">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Q＜200且W＜6000</w:t>
            </w:r>
          </w:p>
        </w:tc>
        <w:tc>
          <w:tcPr>
            <w:tcW w:w="1223" w:type="dxa"/>
            <w:tcBorders>
              <w:tl2br w:val="nil"/>
              <w:tr2bl w:val="nil"/>
            </w:tcBorders>
            <w:vAlign w:val="center"/>
          </w:tcPr>
          <w:p w14:paraId="4253B501">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w:t>
            </w:r>
          </w:p>
        </w:tc>
      </w:tr>
    </w:tbl>
    <w:p w14:paraId="3E4F0F97">
      <w:pPr>
        <w:pStyle w:val="227"/>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本项目生产水</w:t>
      </w:r>
      <w:r>
        <w:rPr>
          <w:rFonts w:hint="eastAsia" w:ascii="Times New Roman" w:hAnsi="Times New Roman" w:eastAsia="宋体" w:cs="Times New Roman"/>
          <w:b w:val="0"/>
          <w:bCs/>
          <w:color w:val="auto"/>
          <w:kern w:val="2"/>
          <w:sz w:val="24"/>
          <w:szCs w:val="24"/>
          <w:highlight w:val="none"/>
          <w:lang w:val="en-US" w:eastAsia="zh-CN" w:bidi="ar-SA"/>
        </w:rPr>
        <w:t>循环利用</w:t>
      </w:r>
      <w:r>
        <w:rPr>
          <w:rFonts w:hint="default" w:ascii="Times New Roman" w:hAnsi="Times New Roman" w:eastAsia="宋体" w:cs="Times New Roman"/>
          <w:b w:val="0"/>
          <w:bCs/>
          <w:color w:val="auto"/>
          <w:kern w:val="2"/>
          <w:sz w:val="24"/>
          <w:szCs w:val="24"/>
          <w:highlight w:val="none"/>
          <w:lang w:val="en-US" w:eastAsia="zh-CN" w:bidi="ar-SA"/>
        </w:rPr>
        <w:t>不外排，生活污水排至厂区现有化粪池收集后定期清掏</w:t>
      </w:r>
      <w:r>
        <w:rPr>
          <w:rFonts w:hint="eastAsia" w:ascii="Times New Roman" w:hAnsi="Times New Roman" w:eastAsia="宋体" w:cs="Times New Roman"/>
          <w:b w:val="0"/>
          <w:bCs/>
          <w:color w:val="auto"/>
          <w:kern w:val="2"/>
          <w:sz w:val="24"/>
          <w:szCs w:val="24"/>
          <w:highlight w:val="none"/>
          <w:lang w:val="en-US" w:eastAsia="zh-CN" w:bidi="ar-SA"/>
        </w:rPr>
        <w:t>至污水处理厂</w:t>
      </w:r>
      <w:r>
        <w:rPr>
          <w:rFonts w:hint="default" w:ascii="Times New Roman" w:hAnsi="Times New Roman" w:eastAsia="宋体" w:cs="Times New Roman"/>
          <w:b w:val="0"/>
          <w:bCs/>
          <w:color w:val="auto"/>
          <w:kern w:val="2"/>
          <w:sz w:val="24"/>
          <w:szCs w:val="24"/>
          <w:highlight w:val="none"/>
          <w:lang w:val="en-US" w:eastAsia="zh-CN" w:bidi="ar-SA"/>
        </w:rPr>
        <w:t>，废水均不外排。根据《环境影响评价技术导则 地表水环境》（HJ2.3-2018）中评价工作分级原则，本项目地表水评价等级为三级B，可不进行地表水影响预测。地表水评价范围应满足其依托污水处理设施环境可行性分析的要求。</w:t>
      </w:r>
    </w:p>
    <w:p w14:paraId="1DFE711E">
      <w:pPr>
        <w:pStyle w:val="227"/>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因此，本次评价仅对污水处理设施依托可行性分析。</w:t>
      </w:r>
    </w:p>
    <w:p w14:paraId="2CA5126D">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2.5.3声环境影响评价等级</w:t>
      </w:r>
    </w:p>
    <w:p w14:paraId="06DCC65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内，声环境功能区为《声环境质量标准》（GB3096-2008）3类区，评价范围内无声环境敏感目标，受影响人口数量变化不大，根据《环境影响评价技术导则</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声环境》</w:t>
      </w:r>
      <w:r>
        <w:rPr>
          <w:rFonts w:hint="eastAsia" w:cs="Times New Roman"/>
          <w:color w:val="auto"/>
          <w:highlight w:val="none"/>
          <w:lang w:eastAsia="zh-CN"/>
        </w:rPr>
        <w:t>（</w:t>
      </w:r>
      <w:r>
        <w:rPr>
          <w:rFonts w:hint="default" w:ascii="Times New Roman" w:hAnsi="Times New Roman" w:cs="Times New Roman"/>
          <w:color w:val="auto"/>
          <w:highlight w:val="none"/>
        </w:rPr>
        <w:t>HJ2.4-2021</w:t>
      </w:r>
      <w:r>
        <w:rPr>
          <w:rFonts w:hint="eastAsia" w:cs="Times New Roman"/>
          <w:color w:val="auto"/>
          <w:highlight w:val="none"/>
          <w:lang w:eastAsia="zh-CN"/>
        </w:rPr>
        <w:t>）</w:t>
      </w:r>
      <w:r>
        <w:rPr>
          <w:rFonts w:hint="default" w:ascii="Times New Roman" w:hAnsi="Times New Roman" w:cs="Times New Roman"/>
          <w:color w:val="auto"/>
          <w:highlight w:val="none"/>
        </w:rPr>
        <w:t>，项目声环境影响评价工作等级为三级。声环境影响评价范围为厂界外200m。</w:t>
      </w:r>
    </w:p>
    <w:p w14:paraId="1C862726">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2.5.4地下水环境影响评价等级</w:t>
      </w:r>
    </w:p>
    <w:p w14:paraId="2D40890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建设项目地下水环境影响评价工作等级的划分应根据“建设项目地下水环境影响评价行业分类”和“建设项目所在区域的地下水环境敏感程度”划分。</w:t>
      </w:r>
    </w:p>
    <w:p w14:paraId="20EF3BD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依据《环境影响评价技术导则 地下水环境》（HJ 610-2016）附录A，本项目行业类别为有色金属冶炼，地下水环境影响评价项目类别I类；地下水环境敏感程度可分为敏感、较敏感、不敏感三级，具体划分情况见表2.5-</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14:paraId="232864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地下水环境敏感程度判别表</w:t>
      </w:r>
    </w:p>
    <w:tbl>
      <w:tblPr>
        <w:tblStyle w:val="33"/>
        <w:tblW w:w="894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6"/>
        <w:gridCol w:w="7760"/>
      </w:tblGrid>
      <w:tr w14:paraId="3B509B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86" w:type="dxa"/>
          </w:tcPr>
          <w:p w14:paraId="472965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敏感程度</w:t>
            </w:r>
          </w:p>
        </w:tc>
        <w:tc>
          <w:tcPr>
            <w:tcW w:w="7760" w:type="dxa"/>
          </w:tcPr>
          <w:p w14:paraId="0B07CB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地下水环境敏感特征</w:t>
            </w:r>
          </w:p>
        </w:tc>
      </w:tr>
      <w:tr w14:paraId="5E86F6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6" w:type="dxa"/>
            <w:vAlign w:val="center"/>
          </w:tcPr>
          <w:p w14:paraId="285C62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敏感</w:t>
            </w:r>
          </w:p>
        </w:tc>
        <w:tc>
          <w:tcPr>
            <w:tcW w:w="7760" w:type="dxa"/>
          </w:tcPr>
          <w:p w14:paraId="4887FC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集中式饮用水水源（包括已建成的在用、备用、应急水源，在建和规划的饮用水水源）准保护区；除集中式饮用水水源以外的国家或地方政府设定的与地下水环境相</w:t>
            </w:r>
            <w:r>
              <w:rPr>
                <w:rFonts w:hint="eastAsia" w:cs="Times New Roman"/>
                <w:bCs/>
                <w:color w:val="auto"/>
                <w:sz w:val="21"/>
                <w:szCs w:val="21"/>
                <w:highlight w:val="none"/>
                <w:lang w:eastAsia="zh-CN"/>
              </w:rPr>
              <w:t>关的</w:t>
            </w:r>
            <w:r>
              <w:rPr>
                <w:rFonts w:hint="default" w:ascii="Times New Roman" w:hAnsi="Times New Roman" w:cs="Times New Roman"/>
                <w:bCs/>
                <w:color w:val="auto"/>
                <w:sz w:val="21"/>
                <w:szCs w:val="21"/>
                <w:highlight w:val="none"/>
              </w:rPr>
              <w:t>其他保护区，如热水、矿泉水、温泉等特殊地下水资源保护区。</w:t>
            </w:r>
          </w:p>
        </w:tc>
      </w:tr>
      <w:tr w14:paraId="6E7513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6" w:type="dxa"/>
            <w:vAlign w:val="center"/>
          </w:tcPr>
          <w:p w14:paraId="024149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较敏感</w:t>
            </w:r>
          </w:p>
        </w:tc>
        <w:tc>
          <w:tcPr>
            <w:tcW w:w="7760" w:type="dxa"/>
          </w:tcPr>
          <w:p w14:paraId="1CDC03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集中式饮用水水源（包括已建成的在用、备用、应急水源，在建和规划的饮用水水源）准保护区以外的补给径流区；未划定准保护区的</w:t>
            </w:r>
            <w:r>
              <w:rPr>
                <w:rFonts w:hint="eastAsia" w:cs="Times New Roman"/>
                <w:bCs/>
                <w:color w:val="auto"/>
                <w:sz w:val="21"/>
                <w:szCs w:val="21"/>
                <w:highlight w:val="none"/>
                <w:lang w:eastAsia="zh-CN"/>
              </w:rPr>
              <w:t>集中</w:t>
            </w:r>
            <w:r>
              <w:rPr>
                <w:rFonts w:hint="default" w:ascii="Times New Roman" w:hAnsi="Times New Roman" w:cs="Times New Roman"/>
                <w:bCs/>
                <w:color w:val="auto"/>
                <w:sz w:val="21"/>
                <w:szCs w:val="21"/>
                <w:highlight w:val="none"/>
              </w:rPr>
              <w:t>式饮用水水源，其保护区以外的补给径流区；分散式饮用水水源地；特殊地下水资源（如矿泉水、温泉等）保护区以外的分布区等其他未列入上述敏感分级的环境敏感区</w:t>
            </w:r>
            <w:r>
              <w:rPr>
                <w:rFonts w:hint="default" w:ascii="Times New Roman" w:hAnsi="Times New Roman" w:cs="Times New Roman"/>
                <w:bCs/>
                <w:color w:val="auto"/>
                <w:sz w:val="21"/>
                <w:szCs w:val="21"/>
                <w:highlight w:val="none"/>
                <w:vertAlign w:val="superscript"/>
              </w:rPr>
              <w:t>a</w:t>
            </w:r>
            <w:r>
              <w:rPr>
                <w:rFonts w:hint="default" w:ascii="Times New Roman" w:hAnsi="Times New Roman" w:cs="Times New Roman"/>
                <w:bCs/>
                <w:color w:val="auto"/>
                <w:sz w:val="21"/>
                <w:szCs w:val="21"/>
                <w:highlight w:val="none"/>
              </w:rPr>
              <w:t>。</w:t>
            </w:r>
          </w:p>
        </w:tc>
      </w:tr>
      <w:tr w14:paraId="0BB09E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6" w:type="dxa"/>
            <w:vAlign w:val="center"/>
          </w:tcPr>
          <w:p w14:paraId="2CD72A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不敏感</w:t>
            </w:r>
          </w:p>
        </w:tc>
        <w:tc>
          <w:tcPr>
            <w:tcW w:w="7760" w:type="dxa"/>
          </w:tcPr>
          <w:p w14:paraId="49BA68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上述地区之外的其他地区。</w:t>
            </w:r>
          </w:p>
        </w:tc>
      </w:tr>
      <w:tr w14:paraId="069D47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946" w:type="dxa"/>
            <w:gridSpan w:val="2"/>
            <w:vAlign w:val="center"/>
          </w:tcPr>
          <w:p w14:paraId="7E718D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注：</w:t>
            </w:r>
            <w:r>
              <w:rPr>
                <w:rFonts w:hint="default" w:ascii="Times New Roman" w:hAnsi="Times New Roman" w:cs="Times New Roman"/>
                <w:bCs/>
                <w:color w:val="auto"/>
                <w:sz w:val="21"/>
                <w:szCs w:val="21"/>
                <w:highlight w:val="none"/>
                <w:vertAlign w:val="superscript"/>
              </w:rPr>
              <w:t>a</w:t>
            </w:r>
            <w:r>
              <w:rPr>
                <w:rFonts w:hint="default" w:ascii="Times New Roman" w:hAnsi="Times New Roman" w:cs="Times New Roman"/>
                <w:bCs/>
                <w:color w:val="auto"/>
                <w:sz w:val="21"/>
                <w:szCs w:val="21"/>
                <w:highlight w:val="none"/>
              </w:rPr>
              <w:t>“环境敏感区”是指《建设项目环境影响评价分类管理名录》中所界定的涉及地下水的环境敏感区。</w:t>
            </w:r>
          </w:p>
        </w:tc>
      </w:tr>
    </w:tbl>
    <w:p w14:paraId="28921B4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不属于生活供水水源地保护区、不属于热水、矿泉水、温泉等特殊地下水源保护区，也不属于补给径流区，同时项目占地为工业用地，场地内无分散居民饮用水源等其他环境敏感区，确定本项目的地下水环境敏感程度为“不敏感”。</w:t>
      </w:r>
    </w:p>
    <w:p w14:paraId="7B6BB73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地下水环境》（HJ610-2016），建设项目地下水环境影响评价工作等级划分见表2.5-</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p>
    <w:p w14:paraId="49E7AD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地下水环境评价工作等级判别表</w:t>
      </w:r>
    </w:p>
    <w:tbl>
      <w:tblPr>
        <w:tblStyle w:val="33"/>
        <w:tblW w:w="894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8D08D" w:themeFill="accent6" w:themeFillTint="99"/>
        <w:tblLayout w:type="fixed"/>
        <w:tblCellMar>
          <w:top w:w="0" w:type="dxa"/>
          <w:left w:w="108" w:type="dxa"/>
          <w:bottom w:w="0" w:type="dxa"/>
          <w:right w:w="108" w:type="dxa"/>
        </w:tblCellMar>
      </w:tblPr>
      <w:tblGrid>
        <w:gridCol w:w="2844"/>
        <w:gridCol w:w="1950"/>
        <w:gridCol w:w="2116"/>
        <w:gridCol w:w="2034"/>
      </w:tblGrid>
      <w:tr w14:paraId="18EF9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4" w:type="dxa"/>
            <w:tcBorders>
              <w:top w:val="single" w:color="auto" w:sz="12" w:space="0"/>
              <w:left w:val="nil"/>
              <w:tl2br w:val="single" w:color="auto" w:sz="4" w:space="0"/>
            </w:tcBorders>
            <w:shd w:val="clear" w:color="auto" w:fill="auto"/>
            <w:vAlign w:val="center"/>
          </w:tcPr>
          <w:p w14:paraId="52C086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项目类别</w:t>
            </w:r>
          </w:p>
          <w:p w14:paraId="3FF515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环境敏感程度</w:t>
            </w:r>
          </w:p>
        </w:tc>
        <w:tc>
          <w:tcPr>
            <w:tcW w:w="1950" w:type="dxa"/>
            <w:tcBorders>
              <w:top w:val="single" w:color="auto" w:sz="12" w:space="0"/>
            </w:tcBorders>
            <w:shd w:val="clear" w:color="auto" w:fill="auto"/>
            <w:vAlign w:val="center"/>
          </w:tcPr>
          <w:p w14:paraId="19E32B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Ⅰ类项目</w:t>
            </w:r>
          </w:p>
        </w:tc>
        <w:tc>
          <w:tcPr>
            <w:tcW w:w="2116" w:type="dxa"/>
            <w:tcBorders>
              <w:top w:val="single" w:color="auto" w:sz="12" w:space="0"/>
            </w:tcBorders>
            <w:shd w:val="clear" w:color="auto" w:fill="auto"/>
            <w:vAlign w:val="center"/>
          </w:tcPr>
          <w:p w14:paraId="264CD2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Ⅱ类项目</w:t>
            </w:r>
          </w:p>
        </w:tc>
        <w:tc>
          <w:tcPr>
            <w:tcW w:w="2034" w:type="dxa"/>
            <w:tcBorders>
              <w:top w:val="single" w:color="auto" w:sz="12" w:space="0"/>
              <w:right w:val="nil"/>
            </w:tcBorders>
            <w:shd w:val="clear" w:color="auto" w:fill="auto"/>
            <w:vAlign w:val="center"/>
          </w:tcPr>
          <w:p w14:paraId="31370CE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Ⅲ类项目</w:t>
            </w:r>
          </w:p>
        </w:tc>
      </w:tr>
      <w:tr w14:paraId="393AC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8D08D" w:themeFill="accent6" w:themeFillTint="99"/>
          <w:tblCellMar>
            <w:top w:w="0" w:type="dxa"/>
            <w:left w:w="108" w:type="dxa"/>
            <w:bottom w:w="0" w:type="dxa"/>
            <w:right w:w="108" w:type="dxa"/>
          </w:tblCellMar>
        </w:tblPrEx>
        <w:trPr>
          <w:trHeight w:val="152" w:hRule="atLeast"/>
        </w:trPr>
        <w:tc>
          <w:tcPr>
            <w:tcW w:w="2844" w:type="dxa"/>
            <w:shd w:val="clear" w:color="auto" w:fill="auto"/>
            <w:vAlign w:val="center"/>
          </w:tcPr>
          <w:p w14:paraId="73D68F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w:t>
            </w:r>
          </w:p>
        </w:tc>
        <w:tc>
          <w:tcPr>
            <w:tcW w:w="1950" w:type="dxa"/>
            <w:shd w:val="clear" w:color="auto" w:fill="auto"/>
            <w:vAlign w:val="center"/>
          </w:tcPr>
          <w:p w14:paraId="5FFEC0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2116" w:type="dxa"/>
            <w:shd w:val="clear" w:color="auto" w:fill="auto"/>
          </w:tcPr>
          <w:p w14:paraId="321F20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2034" w:type="dxa"/>
            <w:shd w:val="clear" w:color="auto" w:fill="auto"/>
          </w:tcPr>
          <w:p w14:paraId="556943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r>
      <w:tr w14:paraId="558AD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8D08D" w:themeFill="accent6" w:themeFillTint="99"/>
          <w:tblCellMar>
            <w:top w:w="0" w:type="dxa"/>
            <w:left w:w="108" w:type="dxa"/>
            <w:bottom w:w="0" w:type="dxa"/>
            <w:right w:w="108" w:type="dxa"/>
          </w:tblCellMar>
        </w:tblPrEx>
        <w:trPr>
          <w:trHeight w:val="90" w:hRule="atLeast"/>
        </w:trPr>
        <w:tc>
          <w:tcPr>
            <w:tcW w:w="2844" w:type="dxa"/>
            <w:shd w:val="clear" w:color="auto" w:fill="auto"/>
            <w:vAlign w:val="center"/>
          </w:tcPr>
          <w:p w14:paraId="186B98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较敏感</w:t>
            </w:r>
          </w:p>
        </w:tc>
        <w:tc>
          <w:tcPr>
            <w:tcW w:w="1950" w:type="dxa"/>
            <w:shd w:val="clear" w:color="auto" w:fill="auto"/>
            <w:vAlign w:val="center"/>
          </w:tcPr>
          <w:p w14:paraId="536978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2116" w:type="dxa"/>
            <w:shd w:val="clear" w:color="auto" w:fill="auto"/>
          </w:tcPr>
          <w:p w14:paraId="754C72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2034" w:type="dxa"/>
            <w:shd w:val="clear" w:color="auto" w:fill="auto"/>
          </w:tcPr>
          <w:p w14:paraId="07149D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r>
      <w:tr w14:paraId="3080A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4" w:type="dxa"/>
            <w:shd w:val="clear" w:color="auto" w:fill="auto"/>
            <w:vAlign w:val="center"/>
          </w:tcPr>
          <w:p w14:paraId="2DE6BF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w:t>
            </w:r>
          </w:p>
        </w:tc>
        <w:tc>
          <w:tcPr>
            <w:tcW w:w="1950" w:type="dxa"/>
            <w:shd w:val="clear" w:color="auto" w:fill="FFFFFF" w:themeFill="background1" w:themeFillShade="BF" w:themeFillTint="99"/>
            <w:vAlign w:val="center"/>
          </w:tcPr>
          <w:p w14:paraId="007E25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二</w:t>
            </w:r>
          </w:p>
        </w:tc>
        <w:tc>
          <w:tcPr>
            <w:tcW w:w="2116" w:type="dxa"/>
            <w:shd w:val="clear" w:color="auto" w:fill="auto"/>
          </w:tcPr>
          <w:p w14:paraId="5F6E80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三</w:t>
            </w:r>
          </w:p>
        </w:tc>
        <w:tc>
          <w:tcPr>
            <w:tcW w:w="2034" w:type="dxa"/>
            <w:shd w:val="clear" w:color="auto" w:fill="auto"/>
          </w:tcPr>
          <w:p w14:paraId="612E74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r>
    </w:tbl>
    <w:p w14:paraId="46B8529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对照表2.5-</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判定本项目地下水环境影响评价等级为二级。根据导则要求工作内容为：</w:t>
      </w:r>
    </w:p>
    <w:p w14:paraId="1C94BD7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 基本掌握调查评价区的环境水文地质条件，主要包括含（隔）水层结构及其分布特征、地下水补径排条件、地下水流场等。了解调查评价区地下水开发利用现状与规划。</w:t>
      </w:r>
    </w:p>
    <w:p w14:paraId="7B7ADEA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 开展地下水环境现状监测，基本掌握调查评价区地下水环境质量现状，进行地下水环境现状评价。</w:t>
      </w:r>
    </w:p>
    <w:p w14:paraId="70A87F2B">
      <w:pPr>
        <w:pageBreakBefore w:val="0"/>
        <w:wordWrap/>
        <w:topLinePunct w:val="0"/>
        <w:bidi w:val="0"/>
        <w:adjustRightInd w:val="0"/>
        <w:snapToGrid w:val="0"/>
        <w:ind w:left="0" w:leftChars="0" w:right="0" w:firstLine="456"/>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c 根据场地环境水文地质条件的掌握情况，有针对性地补充必要的现场</w:t>
      </w:r>
      <w:r>
        <w:rPr>
          <w:rFonts w:hint="eastAsia" w:cs="Times New Roman"/>
          <w:color w:val="auto"/>
          <w:spacing w:val="-6"/>
          <w:highlight w:val="none"/>
          <w:lang w:eastAsia="zh-CN"/>
        </w:rPr>
        <w:t>勘查</w:t>
      </w:r>
      <w:r>
        <w:rPr>
          <w:rFonts w:hint="default" w:ascii="Times New Roman" w:hAnsi="Times New Roman" w:cs="Times New Roman"/>
          <w:color w:val="auto"/>
          <w:spacing w:val="-6"/>
          <w:highlight w:val="none"/>
        </w:rPr>
        <w:t>试验。</w:t>
      </w:r>
    </w:p>
    <w:p w14:paraId="1312460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 根据建设项目特征、水文地质条件及资料掌握情况，选择采用数值法或解析法进行影响预测，预测污染物迁移趋势和对地下水环境保护目标的影响。</w:t>
      </w:r>
    </w:p>
    <w:p w14:paraId="20D63BA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 提出切实可行的环境保护措施与地下水环境影响跟踪监测计划。</w:t>
      </w:r>
    </w:p>
    <w:p w14:paraId="0FD85A6F">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2.5.5土壤环境影响评价等级</w:t>
      </w:r>
    </w:p>
    <w:p w14:paraId="2DCCF7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土壤环境（试行）》（HJ964-2018）和建设项目特征，本建设项目属于污染影响型。污染影响型建设项目主要根据项目类别、占地规模与敏感程度划分土壤环境评价等级。</w:t>
      </w:r>
    </w:p>
    <w:p w14:paraId="107BDD6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（1）项目类别</w:t>
      </w:r>
    </w:p>
    <w:p w14:paraId="00BA38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本项目项目类别为有色金属冶炼，根据《环境影响评价技术导则 土壤环境（试行）》（HJ964-2018）附录A中的划分依据，本项目属于I类项目。</w:t>
      </w:r>
    </w:p>
    <w:p w14:paraId="26EAA3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（2）占地规模</w:t>
      </w:r>
    </w:p>
    <w:p w14:paraId="4A48F7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本项目利用</w:t>
      </w:r>
      <w:r>
        <w:rPr>
          <w:rFonts w:hint="eastAsia" w:cs="Times New Roman"/>
          <w:color w:val="auto"/>
          <w:sz w:val="24"/>
          <w:szCs w:val="24"/>
          <w:highlight w:val="none"/>
          <w:lang w:eastAsia="zh-CN"/>
        </w:rPr>
        <w:t>现有</w:t>
      </w:r>
      <w:r>
        <w:rPr>
          <w:rFonts w:hint="default" w:ascii="Times New Roman" w:hAnsi="Times New Roman" w:cs="Times New Roman"/>
          <w:color w:val="auto"/>
          <w:sz w:val="24"/>
          <w:szCs w:val="24"/>
          <w:highlight w:val="none"/>
        </w:rPr>
        <w:t>选矿设施改造的新建湿化铜冶炼项目，占地面积</w:t>
      </w:r>
      <w:r>
        <w:rPr>
          <w:rFonts w:hint="default" w:ascii="Times New Roman" w:hAnsi="Times New Roman" w:cs="Times New Roman"/>
          <w:color w:val="auto"/>
          <w:sz w:val="24"/>
          <w:szCs w:val="24"/>
          <w:highlight w:val="none"/>
          <w:lang w:val="en-US" w:eastAsia="zh-CN"/>
        </w:rPr>
        <w:t>7.3</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，占地规模属于</w:t>
      </w:r>
      <w:r>
        <w:rPr>
          <w:rFonts w:hint="default" w:ascii="Times New Roman" w:hAnsi="Times New Roman" w:cs="Times New Roman"/>
          <w:color w:val="auto"/>
          <w:sz w:val="24"/>
          <w:szCs w:val="24"/>
          <w:highlight w:val="none"/>
          <w:lang w:val="en-US" w:eastAsia="zh-CN"/>
        </w:rPr>
        <w:t>中</w:t>
      </w:r>
      <w:r>
        <w:rPr>
          <w:rFonts w:hint="default" w:ascii="Times New Roman" w:hAnsi="Times New Roman" w:cs="Times New Roman"/>
          <w:color w:val="auto"/>
          <w:sz w:val="24"/>
          <w:szCs w:val="24"/>
          <w:highlight w:val="none"/>
        </w:rPr>
        <w:t>型。</w:t>
      </w:r>
    </w:p>
    <w:p w14:paraId="05661D4C">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（3）敏感程度</w:t>
      </w:r>
    </w:p>
    <w:p w14:paraId="3AED842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4"/>
          <w:highlight w:val="none"/>
        </w:rPr>
        <w:t>根据初步收集资料分析，</w:t>
      </w:r>
      <w:r>
        <w:rPr>
          <w:rFonts w:hint="default" w:ascii="Times New Roman" w:hAnsi="Times New Roman" w:cs="Times New Roman"/>
          <w:color w:val="auto"/>
          <w:szCs w:val="22"/>
          <w:highlight w:val="none"/>
        </w:rPr>
        <w:t>本项目厂址周边1000m范围内存在耕地土壤环境敏感目标。</w:t>
      </w:r>
      <w:r>
        <w:rPr>
          <w:rFonts w:hint="default" w:ascii="Times New Roman" w:hAnsi="Times New Roman" w:eastAsia="宋体" w:cs="Times New Roman"/>
          <w:color w:val="auto"/>
          <w:sz w:val="24"/>
          <w:szCs w:val="24"/>
          <w:highlight w:val="none"/>
        </w:rPr>
        <w:t>污染影响型建设项目土壤环境敏感程度分级见表2.</w:t>
      </w:r>
      <w:r>
        <w:rPr>
          <w:rFonts w:hint="default" w:ascii="Times New Roman" w:hAnsi="Times New Roman" w:cs="Times New Roman"/>
          <w:color w:val="auto"/>
          <w:sz w:val="24"/>
          <w:szCs w:val="24"/>
          <w:highlight w:val="none"/>
          <w:lang w:val="en-US" w:eastAsia="zh-CN"/>
        </w:rPr>
        <w:t>5-8</w:t>
      </w:r>
      <w:r>
        <w:rPr>
          <w:rFonts w:hint="default" w:ascii="Times New Roman" w:hAnsi="Times New Roman" w:cs="Times New Roman"/>
          <w:color w:val="auto"/>
          <w:szCs w:val="22"/>
          <w:highlight w:val="none"/>
        </w:rPr>
        <w:t>，判定拟建项目周边土壤环境敏感程度为敏感。</w:t>
      </w:r>
    </w:p>
    <w:p w14:paraId="6DCCD9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污染影响型敏感程度分级表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306"/>
        <w:gridCol w:w="7426"/>
      </w:tblGrid>
      <w:tr w14:paraId="0C96CF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748" w:type="pct"/>
            <w:tcBorders>
              <w:tl2br w:val="nil"/>
              <w:tr2bl w:val="nil"/>
            </w:tcBorders>
            <w:vAlign w:val="center"/>
          </w:tcPr>
          <w:p w14:paraId="3154B9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snapToGrid w:val="0"/>
                <w:color w:val="auto"/>
                <w:sz w:val="21"/>
                <w:szCs w:val="21"/>
                <w:highlight w:val="none"/>
                <w:lang w:val="sq-AL"/>
              </w:rPr>
            </w:pPr>
            <w:r>
              <w:rPr>
                <w:rFonts w:hint="default" w:ascii="Times New Roman" w:hAnsi="Times New Roman" w:cs="Times New Roman"/>
                <w:b/>
                <w:bCs/>
                <w:snapToGrid w:val="0"/>
                <w:color w:val="auto"/>
                <w:sz w:val="21"/>
                <w:szCs w:val="21"/>
                <w:highlight w:val="none"/>
                <w:lang w:val="sq-AL"/>
              </w:rPr>
              <w:t>敏感程度</w:t>
            </w:r>
          </w:p>
        </w:tc>
        <w:tc>
          <w:tcPr>
            <w:tcW w:w="4252" w:type="pct"/>
            <w:tcBorders>
              <w:tl2br w:val="nil"/>
              <w:tr2bl w:val="nil"/>
            </w:tcBorders>
            <w:vAlign w:val="center"/>
          </w:tcPr>
          <w:p w14:paraId="5ED7D1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snapToGrid w:val="0"/>
                <w:color w:val="auto"/>
                <w:sz w:val="21"/>
                <w:szCs w:val="21"/>
                <w:highlight w:val="none"/>
                <w:lang w:val="sq-AL"/>
              </w:rPr>
            </w:pPr>
            <w:r>
              <w:rPr>
                <w:rFonts w:hint="default" w:ascii="Times New Roman" w:hAnsi="Times New Roman" w:cs="Times New Roman"/>
                <w:b/>
                <w:bCs/>
                <w:snapToGrid w:val="0"/>
                <w:color w:val="auto"/>
                <w:sz w:val="21"/>
                <w:szCs w:val="21"/>
                <w:highlight w:val="none"/>
                <w:lang w:val="sq-AL"/>
              </w:rPr>
              <w:t>判别依据</w:t>
            </w:r>
          </w:p>
        </w:tc>
      </w:tr>
      <w:tr w14:paraId="6FAEFA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48" w:type="pct"/>
            <w:tcBorders>
              <w:tl2br w:val="nil"/>
              <w:tr2bl w:val="nil"/>
            </w:tcBorders>
            <w:shd w:val="clear" w:color="auto" w:fill="D7D7D7" w:themeFill="background1" w:themeFillShade="D8"/>
            <w:vAlign w:val="center"/>
          </w:tcPr>
          <w:p w14:paraId="70D82E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shd w:val="clear" w:color="auto" w:fill="auto"/>
                <w:lang w:val="sq-AL"/>
              </w:rPr>
            </w:pPr>
            <w:r>
              <w:rPr>
                <w:rFonts w:hint="default" w:ascii="Times New Roman" w:hAnsi="Times New Roman" w:cs="Times New Roman"/>
                <w:snapToGrid w:val="0"/>
                <w:color w:val="auto"/>
                <w:sz w:val="21"/>
                <w:szCs w:val="21"/>
                <w:highlight w:val="none"/>
                <w:shd w:val="clear" w:color="auto" w:fill="auto"/>
                <w:lang w:val="sq-AL"/>
              </w:rPr>
              <w:t>敏感</w:t>
            </w:r>
          </w:p>
        </w:tc>
        <w:tc>
          <w:tcPr>
            <w:tcW w:w="4252" w:type="pct"/>
            <w:tcBorders>
              <w:tl2br w:val="nil"/>
              <w:tr2bl w:val="nil"/>
            </w:tcBorders>
            <w:shd w:val="clear" w:color="auto" w:fill="D7D7D7" w:themeFill="background1" w:themeFillShade="D8"/>
            <w:vAlign w:val="center"/>
          </w:tcPr>
          <w:p w14:paraId="4F544E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shd w:val="clear" w:color="auto" w:fill="auto"/>
                <w:lang w:val="sq-AL"/>
              </w:rPr>
            </w:pPr>
            <w:r>
              <w:rPr>
                <w:rFonts w:hint="default" w:ascii="Times New Roman" w:hAnsi="Times New Roman" w:cs="Times New Roman"/>
                <w:snapToGrid w:val="0"/>
                <w:color w:val="auto"/>
                <w:sz w:val="21"/>
                <w:szCs w:val="21"/>
                <w:highlight w:val="none"/>
                <w:shd w:val="clear" w:color="auto" w:fill="auto"/>
                <w:lang w:val="sq-AL"/>
              </w:rPr>
              <w:t>建设项目周边存在耕地、园地、牧草地、饮用水水源地或居民区、学校、医院、疗养院、养老院等土壤环境敏感目标</w:t>
            </w:r>
          </w:p>
        </w:tc>
      </w:tr>
      <w:tr w14:paraId="341337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48" w:type="pct"/>
            <w:tcBorders>
              <w:tl2br w:val="nil"/>
              <w:tr2bl w:val="nil"/>
            </w:tcBorders>
            <w:vAlign w:val="center"/>
          </w:tcPr>
          <w:p w14:paraId="2E00CF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lang w:val="sq-AL"/>
              </w:rPr>
            </w:pPr>
            <w:r>
              <w:rPr>
                <w:rFonts w:hint="default" w:ascii="Times New Roman" w:hAnsi="Times New Roman" w:cs="Times New Roman"/>
                <w:snapToGrid w:val="0"/>
                <w:color w:val="auto"/>
                <w:sz w:val="21"/>
                <w:szCs w:val="21"/>
                <w:highlight w:val="none"/>
                <w:lang w:val="sq-AL"/>
              </w:rPr>
              <w:t>较敏感</w:t>
            </w:r>
          </w:p>
        </w:tc>
        <w:tc>
          <w:tcPr>
            <w:tcW w:w="4252" w:type="pct"/>
            <w:tcBorders>
              <w:tl2br w:val="nil"/>
              <w:tr2bl w:val="nil"/>
            </w:tcBorders>
            <w:vAlign w:val="center"/>
          </w:tcPr>
          <w:p w14:paraId="22A25C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lang w:val="sq-AL"/>
              </w:rPr>
            </w:pPr>
            <w:r>
              <w:rPr>
                <w:rFonts w:hint="default" w:ascii="Times New Roman" w:hAnsi="Times New Roman" w:cs="Times New Roman"/>
                <w:snapToGrid w:val="0"/>
                <w:color w:val="auto"/>
                <w:sz w:val="21"/>
                <w:szCs w:val="21"/>
                <w:highlight w:val="none"/>
                <w:lang w:val="sq-AL"/>
              </w:rPr>
              <w:t>建设项目周边存在其他土壤环境敏感目标的</w:t>
            </w:r>
          </w:p>
        </w:tc>
      </w:tr>
      <w:tr w14:paraId="32E2F5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48" w:type="pct"/>
            <w:tcBorders>
              <w:tl2br w:val="nil"/>
              <w:tr2bl w:val="nil"/>
            </w:tcBorders>
            <w:vAlign w:val="center"/>
          </w:tcPr>
          <w:p w14:paraId="50371D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不敏感</w:t>
            </w:r>
          </w:p>
        </w:tc>
        <w:tc>
          <w:tcPr>
            <w:tcW w:w="4252" w:type="pct"/>
            <w:tcBorders>
              <w:tl2br w:val="nil"/>
              <w:tr2bl w:val="nil"/>
            </w:tcBorders>
            <w:vAlign w:val="center"/>
          </w:tcPr>
          <w:p w14:paraId="705C93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lang w:val="sq-AL"/>
              </w:rPr>
            </w:pPr>
            <w:r>
              <w:rPr>
                <w:rFonts w:hint="default" w:ascii="Times New Roman" w:hAnsi="Times New Roman" w:cs="Times New Roman"/>
                <w:snapToGrid w:val="0"/>
                <w:color w:val="auto"/>
                <w:sz w:val="21"/>
                <w:szCs w:val="21"/>
                <w:highlight w:val="none"/>
                <w:lang w:val="sq-AL"/>
              </w:rPr>
              <w:t>其他情况</w:t>
            </w:r>
          </w:p>
        </w:tc>
      </w:tr>
    </w:tbl>
    <w:p w14:paraId="645F434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本项目的土壤环境影响评价工作等级见表2.5-</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14:paraId="5D7065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污染影响型评价工作等级划分表</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723"/>
        <w:gridCol w:w="684"/>
        <w:gridCol w:w="684"/>
        <w:gridCol w:w="688"/>
        <w:gridCol w:w="670"/>
        <w:gridCol w:w="684"/>
        <w:gridCol w:w="674"/>
        <w:gridCol w:w="670"/>
        <w:gridCol w:w="657"/>
        <w:gridCol w:w="595"/>
      </w:tblGrid>
      <w:tr w14:paraId="2CDD1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1560" w:type="pct"/>
            <w:vMerge w:val="restart"/>
            <w:tcBorders>
              <w:tl2br w:val="nil"/>
              <w:tr2bl w:val="nil"/>
            </w:tcBorders>
            <w:noWrap w:val="0"/>
            <w:vAlign w:val="top"/>
          </w:tcPr>
          <w:p w14:paraId="489BD4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en-US" w:eastAsia="en-US"/>
              </w:rPr>
              <mc:AlternateContent>
                <mc:Choice Requires="wps">
                  <w:drawing>
                    <wp:anchor distT="0" distB="0" distL="114300" distR="114300" simplePos="0" relativeHeight="251660288" behindDoc="0" locked="0" layoutInCell="1" allowOverlap="1">
                      <wp:simplePos x="0" y="0"/>
                      <wp:positionH relativeFrom="column">
                        <wp:posOffset>594995</wp:posOffset>
                      </wp:positionH>
                      <wp:positionV relativeFrom="paragraph">
                        <wp:posOffset>-3810</wp:posOffset>
                      </wp:positionV>
                      <wp:extent cx="1098550" cy="522605"/>
                      <wp:effectExtent l="1905" t="4445" r="4445" b="6350"/>
                      <wp:wrapNone/>
                      <wp:docPr id="14" name="直接箭头连接符 14"/>
                      <wp:cNvGraphicFramePr/>
                      <a:graphic xmlns:a="http://schemas.openxmlformats.org/drawingml/2006/main">
                        <a:graphicData uri="http://schemas.microsoft.com/office/word/2010/wordprocessingShape">
                          <wps:wsp>
                            <wps:cNvCnPr/>
                            <wps:spPr>
                              <a:xfrm>
                                <a:off x="0" y="0"/>
                                <a:ext cx="1098550" cy="5226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6.85pt;margin-top:-0.3pt;height:41.15pt;width:86.5pt;z-index:251660288;mso-width-relative:page;mso-height-relative:page;" filled="f" stroked="t" coordsize="21600,21600" o:gfxdata="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AdxrVAAAABwEAAA8AAAAAAAAAAQAgAAAAIgAAAGRycy9kb3du&#10;cmV2LnhtbFBLAQIUABQAAAAIAIdO4kAFm2bXAgIAAPMDAAAOAAAAAAAAAAEAIAAAACQBAABkcnMv&#10;ZTJvRG9jLnhtbFBLBQYAAAAABgAGAFkBAACYBQAAAAA=&#10;">
                      <v:fill on="f" focussize="0,0"/>
                      <v:stroke color="#000000" joinstyle="round"/>
                      <v:imagedata o:title=""/>
                      <o:lock v:ext="edit" aspectratio="f"/>
                    </v:shape>
                  </w:pict>
                </mc:Fallback>
              </mc:AlternateContent>
            </w:r>
            <w:r>
              <w:rPr>
                <w:rFonts w:hint="default" w:ascii="Times New Roman" w:hAnsi="Times New Roman" w:eastAsia="宋体" w:cs="Times New Roman"/>
                <w:color w:val="auto"/>
                <w:sz w:val="21"/>
                <w:highlight w:val="none"/>
                <w:lang w:val="en-US" w:eastAsia="en-US"/>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48260</wp:posOffset>
                      </wp:positionV>
                      <wp:extent cx="1696085" cy="478790"/>
                      <wp:effectExtent l="1270" t="4445" r="17145" b="12065"/>
                      <wp:wrapNone/>
                      <wp:docPr id="15" name="直接箭头连接符 15"/>
                      <wp:cNvGraphicFramePr/>
                      <a:graphic xmlns:a="http://schemas.openxmlformats.org/drawingml/2006/main">
                        <a:graphicData uri="http://schemas.microsoft.com/office/word/2010/wordprocessingShape">
                          <wps:wsp>
                            <wps:cNvCnPr/>
                            <wps:spPr>
                              <a:xfrm>
                                <a:off x="0" y="0"/>
                                <a:ext cx="1696085" cy="4787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9pt;margin-top:3.8pt;height:37.7pt;width:133.55pt;z-index:251661312;mso-width-relative:page;mso-height-relative:page;" filled="f" stroked="t" coordsize="21600,21600" o:gfxdata="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C0JI1wAAAAcBAAAPAAAAAAAAAAEAIAAAACIAAABkcnMv&#10;ZG93bnJldi54bWxQSwECFAAUAAAACACHTuJAKyinzwQCAADzAwAADgAAAAAAAAABACAAAAAmAQAA&#10;ZHJzL2Uyb0RvYy54bWxQSwUGAAAAAAYABgBZAQAAnAUAAAAA&#10;">
                      <v:fill on="f" focussize="0,0"/>
                      <v:stroke color="#000000" joinstyle="round"/>
                      <v:imagedata o:title=""/>
                      <o:lock v:ext="edit" aspectratio="f"/>
                    </v:shape>
                  </w:pict>
                </mc:Fallback>
              </mc:AlternateConten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zh-CN" w:eastAsia="zh-CN"/>
              </w:rPr>
              <w:t>占地规模</w:t>
            </w:r>
          </w:p>
          <w:p w14:paraId="1DBCEE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eastAsia="zh-CN"/>
              </w:rPr>
              <w:t>评价工作等级</w:t>
            </w:r>
          </w:p>
          <w:p w14:paraId="3661B0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eastAsia="zh-CN"/>
              </w:rPr>
              <w:t>敏感程度</w:t>
            </w:r>
          </w:p>
        </w:tc>
        <w:tc>
          <w:tcPr>
            <w:tcW w:w="1178" w:type="pct"/>
            <w:gridSpan w:val="3"/>
            <w:tcBorders>
              <w:tl2br w:val="nil"/>
              <w:tr2bl w:val="nil"/>
            </w:tcBorders>
            <w:noWrap w:val="0"/>
            <w:vAlign w:val="center"/>
          </w:tcPr>
          <w:p w14:paraId="1A3FBD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Ⅰ类</w:t>
            </w:r>
          </w:p>
        </w:tc>
        <w:tc>
          <w:tcPr>
            <w:tcW w:w="1162" w:type="pct"/>
            <w:gridSpan w:val="3"/>
            <w:tcBorders>
              <w:tl2br w:val="nil"/>
              <w:tr2bl w:val="nil"/>
            </w:tcBorders>
            <w:noWrap w:val="0"/>
            <w:vAlign w:val="center"/>
          </w:tcPr>
          <w:p w14:paraId="1986CE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Ⅱ类</w:t>
            </w:r>
          </w:p>
        </w:tc>
        <w:tc>
          <w:tcPr>
            <w:tcW w:w="1098" w:type="pct"/>
            <w:gridSpan w:val="3"/>
            <w:tcBorders>
              <w:tl2br w:val="nil"/>
              <w:tr2bl w:val="nil"/>
            </w:tcBorders>
            <w:noWrap w:val="0"/>
            <w:vAlign w:val="center"/>
          </w:tcPr>
          <w:p w14:paraId="17A4E9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Ⅲ类</w:t>
            </w:r>
          </w:p>
        </w:tc>
      </w:tr>
      <w:tr w14:paraId="4A3DC0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1560" w:type="pct"/>
            <w:vMerge w:val="continue"/>
            <w:tcBorders>
              <w:tl2br w:val="nil"/>
              <w:tr2bl w:val="nil"/>
            </w:tcBorders>
            <w:noWrap w:val="0"/>
            <w:vAlign w:val="top"/>
          </w:tcPr>
          <w:p w14:paraId="23BB37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eastAsia="en-US"/>
              </w:rPr>
            </w:pPr>
          </w:p>
        </w:tc>
        <w:tc>
          <w:tcPr>
            <w:tcW w:w="392" w:type="pct"/>
            <w:tcBorders>
              <w:tl2br w:val="nil"/>
              <w:tr2bl w:val="nil"/>
            </w:tcBorders>
            <w:noWrap w:val="0"/>
            <w:vAlign w:val="center"/>
          </w:tcPr>
          <w:p w14:paraId="7AA20E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大</w:t>
            </w:r>
          </w:p>
        </w:tc>
        <w:tc>
          <w:tcPr>
            <w:tcW w:w="392" w:type="pct"/>
            <w:tcBorders>
              <w:tl2br w:val="nil"/>
              <w:tr2bl w:val="nil"/>
            </w:tcBorders>
            <w:noWrap w:val="0"/>
            <w:vAlign w:val="center"/>
          </w:tcPr>
          <w:p w14:paraId="5E16EC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中</w:t>
            </w:r>
          </w:p>
        </w:tc>
        <w:tc>
          <w:tcPr>
            <w:tcW w:w="393" w:type="pct"/>
            <w:tcBorders>
              <w:tl2br w:val="nil"/>
              <w:tr2bl w:val="nil"/>
            </w:tcBorders>
            <w:noWrap w:val="0"/>
            <w:vAlign w:val="center"/>
          </w:tcPr>
          <w:p w14:paraId="09DBCD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小</w:t>
            </w:r>
          </w:p>
        </w:tc>
        <w:tc>
          <w:tcPr>
            <w:tcW w:w="384" w:type="pct"/>
            <w:tcBorders>
              <w:tl2br w:val="nil"/>
              <w:tr2bl w:val="nil"/>
            </w:tcBorders>
            <w:noWrap w:val="0"/>
            <w:vAlign w:val="center"/>
          </w:tcPr>
          <w:p w14:paraId="56D178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大</w:t>
            </w:r>
          </w:p>
        </w:tc>
        <w:tc>
          <w:tcPr>
            <w:tcW w:w="392" w:type="pct"/>
            <w:tcBorders>
              <w:tl2br w:val="nil"/>
              <w:tr2bl w:val="nil"/>
            </w:tcBorders>
            <w:noWrap w:val="0"/>
            <w:vAlign w:val="center"/>
          </w:tcPr>
          <w:p w14:paraId="1BD1B2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中</w:t>
            </w:r>
          </w:p>
        </w:tc>
        <w:tc>
          <w:tcPr>
            <w:tcW w:w="384" w:type="pct"/>
            <w:tcBorders>
              <w:tl2br w:val="nil"/>
              <w:tr2bl w:val="nil"/>
            </w:tcBorders>
            <w:noWrap w:val="0"/>
            <w:vAlign w:val="center"/>
          </w:tcPr>
          <w:p w14:paraId="321DCF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小</w:t>
            </w:r>
          </w:p>
        </w:tc>
        <w:tc>
          <w:tcPr>
            <w:tcW w:w="384" w:type="pct"/>
            <w:tcBorders>
              <w:tl2br w:val="nil"/>
              <w:tr2bl w:val="nil"/>
            </w:tcBorders>
            <w:noWrap w:val="0"/>
            <w:vAlign w:val="center"/>
          </w:tcPr>
          <w:p w14:paraId="26692B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大</w:t>
            </w:r>
          </w:p>
        </w:tc>
        <w:tc>
          <w:tcPr>
            <w:tcW w:w="376" w:type="pct"/>
            <w:tcBorders>
              <w:tl2br w:val="nil"/>
              <w:tr2bl w:val="nil"/>
            </w:tcBorders>
            <w:noWrap w:val="0"/>
            <w:vAlign w:val="center"/>
          </w:tcPr>
          <w:p w14:paraId="506323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中</w:t>
            </w:r>
          </w:p>
        </w:tc>
        <w:tc>
          <w:tcPr>
            <w:tcW w:w="336" w:type="pct"/>
            <w:tcBorders>
              <w:tl2br w:val="nil"/>
              <w:tr2bl w:val="nil"/>
            </w:tcBorders>
            <w:noWrap w:val="0"/>
            <w:vAlign w:val="center"/>
          </w:tcPr>
          <w:p w14:paraId="58A0F6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小</w:t>
            </w:r>
          </w:p>
        </w:tc>
      </w:tr>
      <w:tr w14:paraId="7F4489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560" w:type="pct"/>
            <w:tcBorders>
              <w:tl2br w:val="nil"/>
              <w:tr2bl w:val="nil"/>
            </w:tcBorders>
            <w:noWrap w:val="0"/>
            <w:vAlign w:val="center"/>
          </w:tcPr>
          <w:p w14:paraId="0EF6DB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敏感</w:t>
            </w:r>
          </w:p>
        </w:tc>
        <w:tc>
          <w:tcPr>
            <w:tcW w:w="392" w:type="pct"/>
            <w:tcBorders>
              <w:tl2br w:val="nil"/>
              <w:tr2bl w:val="nil"/>
            </w:tcBorders>
            <w:noWrap w:val="0"/>
            <w:vAlign w:val="center"/>
          </w:tcPr>
          <w:p w14:paraId="638916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92" w:type="pct"/>
            <w:tcBorders>
              <w:tl2br w:val="nil"/>
              <w:tr2bl w:val="nil"/>
            </w:tcBorders>
            <w:shd w:val="clear" w:color="auto" w:fill="D7D7D7" w:themeFill="background1" w:themeFillShade="D8"/>
            <w:noWrap w:val="0"/>
            <w:vAlign w:val="center"/>
          </w:tcPr>
          <w:p w14:paraId="104EC7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b/>
                <w:bCs/>
                <w:color w:val="auto"/>
                <w:sz w:val="21"/>
                <w:highlight w:val="none"/>
                <w:lang w:val="zh-CN" w:eastAsia="en-US"/>
              </w:rPr>
              <w:t>一级</w:t>
            </w:r>
          </w:p>
        </w:tc>
        <w:tc>
          <w:tcPr>
            <w:tcW w:w="393" w:type="pct"/>
            <w:tcBorders>
              <w:tl2br w:val="nil"/>
              <w:tr2bl w:val="nil"/>
            </w:tcBorders>
            <w:noWrap w:val="0"/>
            <w:vAlign w:val="center"/>
          </w:tcPr>
          <w:p w14:paraId="42C7DE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84" w:type="pct"/>
            <w:tcBorders>
              <w:tl2br w:val="nil"/>
              <w:tr2bl w:val="nil"/>
            </w:tcBorders>
            <w:noWrap w:val="0"/>
            <w:vAlign w:val="center"/>
          </w:tcPr>
          <w:p w14:paraId="25B888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92" w:type="pct"/>
            <w:tcBorders>
              <w:tl2br w:val="nil"/>
              <w:tr2bl w:val="nil"/>
            </w:tcBorders>
            <w:noWrap w:val="0"/>
            <w:vAlign w:val="center"/>
          </w:tcPr>
          <w:p w14:paraId="09387A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noWrap w:val="0"/>
            <w:vAlign w:val="center"/>
          </w:tcPr>
          <w:p w14:paraId="0290AE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noWrap w:val="0"/>
            <w:vAlign w:val="center"/>
          </w:tcPr>
          <w:p w14:paraId="25B13D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76" w:type="pct"/>
            <w:tcBorders>
              <w:tl2br w:val="nil"/>
              <w:tr2bl w:val="nil"/>
            </w:tcBorders>
            <w:noWrap w:val="0"/>
            <w:vAlign w:val="center"/>
          </w:tcPr>
          <w:p w14:paraId="4AB19F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36" w:type="pct"/>
            <w:tcBorders>
              <w:tl2br w:val="nil"/>
              <w:tr2bl w:val="nil"/>
            </w:tcBorders>
            <w:noWrap w:val="0"/>
            <w:vAlign w:val="center"/>
          </w:tcPr>
          <w:p w14:paraId="265AAF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r>
      <w:tr w14:paraId="418232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560" w:type="pct"/>
            <w:tcBorders>
              <w:tl2br w:val="nil"/>
              <w:tr2bl w:val="nil"/>
            </w:tcBorders>
            <w:noWrap w:val="0"/>
            <w:vAlign w:val="center"/>
          </w:tcPr>
          <w:p w14:paraId="319BA3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较敏感</w:t>
            </w:r>
          </w:p>
        </w:tc>
        <w:tc>
          <w:tcPr>
            <w:tcW w:w="392" w:type="pct"/>
            <w:tcBorders>
              <w:tl2br w:val="nil"/>
              <w:tr2bl w:val="nil"/>
            </w:tcBorders>
            <w:noWrap w:val="0"/>
            <w:vAlign w:val="center"/>
          </w:tcPr>
          <w:p w14:paraId="21E0E2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92" w:type="pct"/>
            <w:tcBorders>
              <w:tl2br w:val="nil"/>
              <w:tr2bl w:val="nil"/>
            </w:tcBorders>
            <w:shd w:val="clear" w:color="auto" w:fill="auto"/>
            <w:noWrap w:val="0"/>
            <w:vAlign w:val="center"/>
          </w:tcPr>
          <w:p w14:paraId="7B0072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93" w:type="pct"/>
            <w:tcBorders>
              <w:tl2br w:val="nil"/>
              <w:tr2bl w:val="nil"/>
            </w:tcBorders>
            <w:shd w:val="clear" w:color="auto" w:fill="auto"/>
            <w:noWrap w:val="0"/>
            <w:vAlign w:val="center"/>
          </w:tcPr>
          <w:p w14:paraId="1B75CC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shd w:val="clear" w:color="auto" w:fill="auto"/>
            <w:noWrap w:val="0"/>
            <w:vAlign w:val="center"/>
          </w:tcPr>
          <w:p w14:paraId="37FA7A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92" w:type="pct"/>
            <w:tcBorders>
              <w:tl2br w:val="nil"/>
              <w:tr2bl w:val="nil"/>
            </w:tcBorders>
            <w:noWrap w:val="0"/>
            <w:vAlign w:val="center"/>
          </w:tcPr>
          <w:p w14:paraId="25DAE1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noWrap w:val="0"/>
            <w:vAlign w:val="center"/>
          </w:tcPr>
          <w:p w14:paraId="00A5EE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84" w:type="pct"/>
            <w:tcBorders>
              <w:tl2br w:val="nil"/>
              <w:tr2bl w:val="nil"/>
            </w:tcBorders>
            <w:noWrap w:val="0"/>
            <w:vAlign w:val="center"/>
          </w:tcPr>
          <w:p w14:paraId="29D713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76" w:type="pct"/>
            <w:tcBorders>
              <w:tl2br w:val="nil"/>
              <w:tr2bl w:val="nil"/>
            </w:tcBorders>
            <w:noWrap w:val="0"/>
            <w:vAlign w:val="center"/>
          </w:tcPr>
          <w:p w14:paraId="45B3AF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36" w:type="pct"/>
            <w:tcBorders>
              <w:tl2br w:val="nil"/>
              <w:tr2bl w:val="nil"/>
            </w:tcBorders>
            <w:noWrap w:val="0"/>
            <w:vAlign w:val="center"/>
          </w:tcPr>
          <w:p w14:paraId="57DF3E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w:t>
            </w:r>
          </w:p>
        </w:tc>
      </w:tr>
      <w:tr w14:paraId="410D47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560" w:type="pct"/>
            <w:tcBorders>
              <w:tl2br w:val="nil"/>
              <w:tr2bl w:val="nil"/>
            </w:tcBorders>
            <w:noWrap w:val="0"/>
            <w:vAlign w:val="center"/>
          </w:tcPr>
          <w:p w14:paraId="7F85EC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不敏感</w:t>
            </w:r>
          </w:p>
        </w:tc>
        <w:tc>
          <w:tcPr>
            <w:tcW w:w="392" w:type="pct"/>
            <w:tcBorders>
              <w:tl2br w:val="nil"/>
              <w:tr2bl w:val="nil"/>
            </w:tcBorders>
            <w:noWrap w:val="0"/>
            <w:vAlign w:val="center"/>
          </w:tcPr>
          <w:p w14:paraId="6A1B37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92" w:type="pct"/>
            <w:tcBorders>
              <w:tl2br w:val="nil"/>
              <w:tr2bl w:val="nil"/>
            </w:tcBorders>
            <w:shd w:val="clear" w:color="auto" w:fill="auto"/>
            <w:noWrap w:val="0"/>
            <w:vAlign w:val="center"/>
          </w:tcPr>
          <w:p w14:paraId="235FE5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93" w:type="pct"/>
            <w:tcBorders>
              <w:tl2br w:val="nil"/>
              <w:tr2bl w:val="nil"/>
            </w:tcBorders>
            <w:shd w:val="clear" w:color="auto" w:fill="auto"/>
            <w:noWrap w:val="0"/>
            <w:vAlign w:val="center"/>
          </w:tcPr>
          <w:p w14:paraId="398821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shd w:val="clear" w:color="auto" w:fill="auto"/>
            <w:noWrap w:val="0"/>
            <w:vAlign w:val="center"/>
          </w:tcPr>
          <w:p w14:paraId="4B8EFB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92" w:type="pct"/>
            <w:tcBorders>
              <w:tl2br w:val="nil"/>
              <w:tr2bl w:val="nil"/>
            </w:tcBorders>
            <w:noWrap w:val="0"/>
            <w:vAlign w:val="center"/>
          </w:tcPr>
          <w:p w14:paraId="769517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84" w:type="pct"/>
            <w:tcBorders>
              <w:tl2br w:val="nil"/>
              <w:tr2bl w:val="nil"/>
            </w:tcBorders>
            <w:noWrap w:val="0"/>
            <w:vAlign w:val="center"/>
          </w:tcPr>
          <w:p w14:paraId="1FC4AC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84" w:type="pct"/>
            <w:tcBorders>
              <w:tl2br w:val="nil"/>
              <w:tr2bl w:val="nil"/>
            </w:tcBorders>
            <w:noWrap w:val="0"/>
            <w:vAlign w:val="center"/>
          </w:tcPr>
          <w:p w14:paraId="616EA3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76" w:type="pct"/>
            <w:tcBorders>
              <w:tl2br w:val="nil"/>
              <w:tr2bl w:val="nil"/>
            </w:tcBorders>
            <w:noWrap w:val="0"/>
            <w:vAlign w:val="center"/>
          </w:tcPr>
          <w:p w14:paraId="487CCE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w:t>
            </w:r>
          </w:p>
        </w:tc>
        <w:tc>
          <w:tcPr>
            <w:tcW w:w="336" w:type="pct"/>
            <w:tcBorders>
              <w:tl2br w:val="nil"/>
              <w:tr2bl w:val="nil"/>
            </w:tcBorders>
            <w:noWrap w:val="0"/>
            <w:vAlign w:val="center"/>
          </w:tcPr>
          <w:p w14:paraId="52AE6E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w:t>
            </w:r>
          </w:p>
        </w:tc>
      </w:tr>
      <w:tr w14:paraId="74F1F5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00" w:type="pct"/>
            <w:gridSpan w:val="10"/>
            <w:tcBorders>
              <w:tl2br w:val="nil"/>
              <w:tr2bl w:val="nil"/>
            </w:tcBorders>
            <w:noWrap w:val="0"/>
            <w:vAlign w:val="top"/>
          </w:tcPr>
          <w:p w14:paraId="748F31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eastAsia="zh-CN"/>
              </w:rPr>
              <w:t>注：“－”表示可不开展土壤环境影响评价工作。</w:t>
            </w:r>
          </w:p>
        </w:tc>
      </w:tr>
    </w:tbl>
    <w:p w14:paraId="686C51D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结合项目类别、占地规模及周边土壤环境敏感程度，对照表2.5-</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判定本项目土壤环境影响评价等级为一级。</w:t>
      </w:r>
    </w:p>
    <w:p w14:paraId="43939B5D">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2.5.6环境风险评价等级</w:t>
      </w:r>
    </w:p>
    <w:p w14:paraId="5B00A92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根据《建设项目环境风险评价技术导则》（HJ169-2018）中有关规定，拟建项目生产过程中涉及的危险物质在厂区内的最大存在量见下表</w:t>
      </w:r>
      <w:r>
        <w:rPr>
          <w:rFonts w:hint="default" w:ascii="Times New Roman" w:hAnsi="Times New Roman" w:cs="Times New Roman"/>
          <w:color w:val="auto"/>
          <w:szCs w:val="24"/>
          <w:highlight w:val="none"/>
        </w:rPr>
        <w:t>。</w:t>
      </w:r>
    </w:p>
    <w:p w14:paraId="1D9782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表2.</w:t>
      </w:r>
      <w:r>
        <w:rPr>
          <w:rFonts w:hint="default" w:ascii="Times New Roman" w:hAnsi="Times New Roman" w:cs="Times New Roman"/>
          <w:b/>
          <w:color w:val="auto"/>
          <w:kern w:val="0"/>
          <w:sz w:val="21"/>
          <w:szCs w:val="21"/>
          <w:highlight w:val="none"/>
          <w:lang w:val="en-US" w:eastAsia="zh-CN"/>
        </w:rPr>
        <w:t>5-10</w:t>
      </w:r>
      <w:r>
        <w:rPr>
          <w:rFonts w:hint="default" w:ascii="Times New Roman" w:hAnsi="Times New Roman" w:cs="Times New Roman"/>
          <w:b/>
          <w:color w:val="auto"/>
          <w:kern w:val="0"/>
          <w:sz w:val="21"/>
          <w:szCs w:val="21"/>
          <w:highlight w:val="none"/>
        </w:rPr>
        <w:t xml:space="preserve">   </w:t>
      </w:r>
      <w:r>
        <w:rPr>
          <w:rFonts w:hint="eastAsia" w:cs="Times New Roman"/>
          <w:b/>
          <w:color w:val="auto"/>
          <w:kern w:val="0"/>
          <w:sz w:val="21"/>
          <w:szCs w:val="21"/>
          <w:highlight w:val="none"/>
          <w:lang w:eastAsia="zh-CN"/>
        </w:rPr>
        <w:t>本项目</w:t>
      </w:r>
      <w:r>
        <w:rPr>
          <w:rFonts w:hint="default" w:ascii="Times New Roman" w:hAnsi="Times New Roman" w:cs="Times New Roman"/>
          <w:b/>
          <w:color w:val="auto"/>
          <w:kern w:val="0"/>
          <w:sz w:val="21"/>
          <w:szCs w:val="21"/>
          <w:highlight w:val="none"/>
        </w:rPr>
        <w:t>危险物质数量与临界量的比值</w:t>
      </w:r>
    </w:p>
    <w:tbl>
      <w:tblPr>
        <w:tblStyle w:val="33"/>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69"/>
        <w:gridCol w:w="2397"/>
        <w:gridCol w:w="1685"/>
        <w:gridCol w:w="1942"/>
        <w:gridCol w:w="1929"/>
      </w:tblGrid>
      <w:tr w14:paraId="3FDEFA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1" w:type="pct"/>
            <w:tcBorders>
              <w:tl2br w:val="nil"/>
              <w:tr2bl w:val="nil"/>
            </w:tcBorders>
            <w:vAlign w:val="center"/>
          </w:tcPr>
          <w:p w14:paraId="29BB91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374" w:type="pct"/>
            <w:tcBorders>
              <w:tl2br w:val="nil"/>
              <w:tr2bl w:val="nil"/>
            </w:tcBorders>
            <w:vAlign w:val="center"/>
          </w:tcPr>
          <w:p w14:paraId="726867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物质名称</w:t>
            </w:r>
          </w:p>
        </w:tc>
        <w:tc>
          <w:tcPr>
            <w:tcW w:w="966" w:type="pct"/>
            <w:tcBorders>
              <w:tl2br w:val="nil"/>
              <w:tr2bl w:val="nil"/>
            </w:tcBorders>
            <w:vAlign w:val="center"/>
          </w:tcPr>
          <w:p w14:paraId="261295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最大存在量（t）</w:t>
            </w:r>
          </w:p>
        </w:tc>
        <w:tc>
          <w:tcPr>
            <w:tcW w:w="1111" w:type="pct"/>
            <w:tcBorders>
              <w:tl2br w:val="nil"/>
              <w:tr2bl w:val="nil"/>
            </w:tcBorders>
            <w:vAlign w:val="center"/>
          </w:tcPr>
          <w:p w14:paraId="771E69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临界量（t）</w:t>
            </w:r>
          </w:p>
        </w:tc>
        <w:tc>
          <w:tcPr>
            <w:tcW w:w="1105" w:type="pct"/>
            <w:tcBorders>
              <w:tl2br w:val="nil"/>
              <w:tr2bl w:val="nil"/>
            </w:tcBorders>
            <w:vAlign w:val="center"/>
          </w:tcPr>
          <w:p w14:paraId="2A1B73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Q值</w:t>
            </w:r>
          </w:p>
        </w:tc>
      </w:tr>
      <w:tr w14:paraId="6F26B3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1" w:type="pct"/>
            <w:tcBorders>
              <w:tl2br w:val="nil"/>
              <w:tr2bl w:val="nil"/>
            </w:tcBorders>
            <w:vAlign w:val="center"/>
          </w:tcPr>
          <w:p w14:paraId="465C56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74" w:type="pct"/>
            <w:tcBorders>
              <w:tl2br w:val="nil"/>
              <w:tr2bl w:val="nil"/>
            </w:tcBorders>
            <w:vAlign w:val="center"/>
          </w:tcPr>
          <w:p w14:paraId="41754E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98%</w:t>
            </w:r>
            <w:r>
              <w:rPr>
                <w:rFonts w:hint="default" w:ascii="Times New Roman" w:hAnsi="Times New Roman" w:cs="Times New Roman"/>
                <w:color w:val="auto"/>
                <w:sz w:val="21"/>
                <w:szCs w:val="21"/>
                <w:highlight w:val="none"/>
              </w:rPr>
              <w:t>硫酸</w:t>
            </w:r>
          </w:p>
        </w:tc>
        <w:tc>
          <w:tcPr>
            <w:tcW w:w="966" w:type="pct"/>
            <w:tcBorders>
              <w:tl2br w:val="nil"/>
              <w:tr2bl w:val="nil"/>
            </w:tcBorders>
            <w:vAlign w:val="center"/>
          </w:tcPr>
          <w:p w14:paraId="24AE5B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131</w:t>
            </w:r>
          </w:p>
        </w:tc>
        <w:tc>
          <w:tcPr>
            <w:tcW w:w="1111" w:type="pct"/>
            <w:tcBorders>
              <w:tl2br w:val="nil"/>
              <w:tr2bl w:val="nil"/>
            </w:tcBorders>
            <w:vAlign w:val="center"/>
          </w:tcPr>
          <w:p w14:paraId="69C169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105" w:type="pct"/>
            <w:tcBorders>
              <w:tl2br w:val="nil"/>
              <w:tr2bl w:val="nil"/>
            </w:tcBorders>
            <w:vAlign w:val="center"/>
          </w:tcPr>
          <w:p w14:paraId="34E24F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13.1</w:t>
            </w:r>
          </w:p>
        </w:tc>
      </w:tr>
      <w:tr w14:paraId="5FEFDD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1" w:type="pct"/>
            <w:tcBorders>
              <w:tl2br w:val="nil"/>
              <w:tr2bl w:val="nil"/>
            </w:tcBorders>
            <w:vAlign w:val="center"/>
          </w:tcPr>
          <w:p w14:paraId="12192B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374" w:type="pct"/>
            <w:tcBorders>
              <w:tl2br w:val="nil"/>
              <w:tr2bl w:val="nil"/>
            </w:tcBorders>
            <w:vAlign w:val="center"/>
          </w:tcPr>
          <w:p w14:paraId="6BA60E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废机油</w:t>
            </w:r>
          </w:p>
        </w:tc>
        <w:tc>
          <w:tcPr>
            <w:tcW w:w="966" w:type="pct"/>
            <w:tcBorders>
              <w:tl2br w:val="nil"/>
              <w:tr2bl w:val="nil"/>
            </w:tcBorders>
            <w:vAlign w:val="center"/>
          </w:tcPr>
          <w:p w14:paraId="738E11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111" w:type="pct"/>
            <w:tcBorders>
              <w:tl2br w:val="nil"/>
              <w:tr2bl w:val="nil"/>
            </w:tcBorders>
            <w:vAlign w:val="center"/>
          </w:tcPr>
          <w:p w14:paraId="2AD145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c>
          <w:tcPr>
            <w:tcW w:w="1105" w:type="pct"/>
            <w:tcBorders>
              <w:tl2br w:val="nil"/>
              <w:tr2bl w:val="nil"/>
            </w:tcBorders>
            <w:vAlign w:val="center"/>
          </w:tcPr>
          <w:p w14:paraId="472AC1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0.0004</w:t>
            </w:r>
          </w:p>
        </w:tc>
      </w:tr>
      <w:tr w14:paraId="7D2C42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1" w:type="pct"/>
            <w:tcBorders>
              <w:tl2br w:val="nil"/>
              <w:tr2bl w:val="nil"/>
            </w:tcBorders>
            <w:vAlign w:val="center"/>
          </w:tcPr>
          <w:p w14:paraId="105AFE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374" w:type="pct"/>
            <w:tcBorders>
              <w:tl2br w:val="nil"/>
              <w:tr2bl w:val="nil"/>
            </w:tcBorders>
            <w:vAlign w:val="center"/>
          </w:tcPr>
          <w:p w14:paraId="20C055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电积液</w:t>
            </w:r>
          </w:p>
        </w:tc>
        <w:tc>
          <w:tcPr>
            <w:tcW w:w="966" w:type="pct"/>
            <w:tcBorders>
              <w:tl2br w:val="nil"/>
              <w:tr2bl w:val="nil"/>
            </w:tcBorders>
            <w:vAlign w:val="center"/>
          </w:tcPr>
          <w:p w14:paraId="4591BD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9.1</w:t>
            </w:r>
          </w:p>
        </w:tc>
        <w:tc>
          <w:tcPr>
            <w:tcW w:w="1111" w:type="pct"/>
            <w:tcBorders>
              <w:tl2br w:val="nil"/>
              <w:tr2bl w:val="nil"/>
            </w:tcBorders>
            <w:vAlign w:val="center"/>
          </w:tcPr>
          <w:p w14:paraId="6F98B2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0.25</w:t>
            </w:r>
          </w:p>
        </w:tc>
        <w:tc>
          <w:tcPr>
            <w:tcW w:w="1105" w:type="pct"/>
            <w:tcBorders>
              <w:tl2br w:val="nil"/>
              <w:tr2bl w:val="nil"/>
            </w:tcBorders>
            <w:vAlign w:val="center"/>
          </w:tcPr>
          <w:p w14:paraId="32610E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36.4</w:t>
            </w:r>
          </w:p>
        </w:tc>
      </w:tr>
      <w:tr w14:paraId="5BFC8D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3894" w:type="pct"/>
            <w:gridSpan w:val="4"/>
            <w:tcBorders>
              <w:tl2br w:val="nil"/>
              <w:tr2bl w:val="nil"/>
            </w:tcBorders>
            <w:vAlign w:val="center"/>
          </w:tcPr>
          <w:p w14:paraId="582C35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105" w:type="pct"/>
            <w:tcBorders>
              <w:tl2br w:val="nil"/>
              <w:tr2bl w:val="nil"/>
            </w:tcBorders>
            <w:vAlign w:val="center"/>
          </w:tcPr>
          <w:p w14:paraId="3EA1A7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49.5</w:t>
            </w:r>
          </w:p>
        </w:tc>
      </w:tr>
      <w:tr w14:paraId="59549F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000" w:type="pct"/>
            <w:gridSpan w:val="5"/>
            <w:tcBorders>
              <w:tl2br w:val="nil"/>
              <w:tr2bl w:val="nil"/>
            </w:tcBorders>
            <w:vAlign w:val="center"/>
          </w:tcPr>
          <w:p w14:paraId="076AF34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21"/>
                <w:szCs w:val="21"/>
                <w:highlight w:val="none"/>
                <w:lang w:val="en-US" w:eastAsia="zh-CN"/>
              </w:rPr>
            </w:pPr>
            <w:r>
              <w:rPr>
                <w:rFonts w:hint="eastAsia"/>
                <w:color w:val="auto"/>
                <w:sz w:val="21"/>
                <w:szCs w:val="21"/>
              </w:rPr>
              <w:t>注：各</w:t>
            </w:r>
            <w:r>
              <w:rPr>
                <w:rFonts w:hint="eastAsia"/>
                <w:color w:val="auto"/>
                <w:sz w:val="21"/>
                <w:szCs w:val="21"/>
                <w:lang w:eastAsia="zh-CN"/>
              </w:rPr>
              <w:t>电积液</w:t>
            </w:r>
            <w:r>
              <w:rPr>
                <w:rFonts w:hint="eastAsia"/>
                <w:color w:val="auto"/>
                <w:sz w:val="21"/>
                <w:szCs w:val="21"/>
              </w:rPr>
              <w:t>槽按照槽体容积的80%考虑；</w:t>
            </w:r>
            <w:r>
              <w:rPr>
                <w:rFonts w:hint="eastAsia"/>
                <w:color w:val="auto"/>
                <w:sz w:val="21"/>
                <w:szCs w:val="21"/>
                <w:lang w:eastAsia="zh-CN"/>
              </w:rPr>
              <w:t>电积液</w:t>
            </w:r>
            <w:r>
              <w:rPr>
                <w:rFonts w:hint="eastAsia"/>
                <w:color w:val="auto"/>
                <w:sz w:val="21"/>
                <w:szCs w:val="21"/>
              </w:rPr>
              <w:t>中CU</w:t>
            </w:r>
            <w:r>
              <w:rPr>
                <w:rFonts w:hint="eastAsia"/>
                <w:color w:val="auto"/>
                <w:sz w:val="21"/>
                <w:szCs w:val="21"/>
                <w:vertAlign w:val="superscript"/>
              </w:rPr>
              <w:t>2+</w:t>
            </w:r>
            <w:r>
              <w:rPr>
                <w:rFonts w:hint="eastAsia"/>
                <w:color w:val="auto"/>
                <w:sz w:val="21"/>
                <w:szCs w:val="21"/>
              </w:rPr>
              <w:t>浓度为45~55g/L，取平均值50g/L，即0.05t/m</w:t>
            </w:r>
            <w:r>
              <w:rPr>
                <w:rFonts w:hint="eastAsia"/>
                <w:color w:val="auto"/>
                <w:sz w:val="21"/>
                <w:szCs w:val="21"/>
                <w:vertAlign w:val="superscript"/>
              </w:rPr>
              <w:t>3</w:t>
            </w:r>
            <w:r>
              <w:rPr>
                <w:rFonts w:hint="eastAsia"/>
                <w:color w:val="auto"/>
                <w:sz w:val="21"/>
                <w:szCs w:val="21"/>
              </w:rPr>
              <w:t>；临界量按照铜及其化合物（以铜离子计）给出。</w:t>
            </w:r>
          </w:p>
        </w:tc>
      </w:tr>
    </w:tbl>
    <w:p w14:paraId="7925E7D8">
      <w:pPr>
        <w:keepNext w:val="0"/>
        <w:keepLines w:val="0"/>
        <w:pageBreakBefore w:val="0"/>
        <w:widowControl w:val="0"/>
        <w:tabs>
          <w:tab w:val="left" w:pos="0"/>
          <w:tab w:val="left" w:pos="99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lang w:bidi="ar"/>
        </w:rPr>
      </w:pPr>
      <w:r>
        <w:rPr>
          <w:rFonts w:hint="default" w:ascii="Times New Roman" w:hAnsi="Times New Roman" w:cs="Times New Roman"/>
          <w:b/>
          <w:color w:val="auto"/>
          <w:sz w:val="21"/>
          <w:szCs w:val="21"/>
          <w:highlight w:val="none"/>
          <w:lang w:bidi="ar"/>
        </w:rPr>
        <w:t>表2.</w:t>
      </w:r>
      <w:r>
        <w:rPr>
          <w:rFonts w:hint="eastAsia" w:cs="Times New Roman"/>
          <w:b/>
          <w:color w:val="auto"/>
          <w:sz w:val="21"/>
          <w:szCs w:val="21"/>
          <w:highlight w:val="none"/>
          <w:lang w:val="en-US" w:eastAsia="zh-CN" w:bidi="ar"/>
        </w:rPr>
        <w:t>5</w:t>
      </w:r>
      <w:r>
        <w:rPr>
          <w:rFonts w:hint="default" w:ascii="Times New Roman" w:hAnsi="Times New Roman" w:cs="Times New Roman"/>
          <w:b/>
          <w:color w:val="auto"/>
          <w:sz w:val="21"/>
          <w:szCs w:val="21"/>
          <w:highlight w:val="none"/>
          <w:lang w:bidi="ar"/>
        </w:rPr>
        <w:t>-1</w:t>
      </w:r>
      <w:r>
        <w:rPr>
          <w:rFonts w:hint="eastAsia" w:cs="Times New Roman"/>
          <w:b/>
          <w:color w:val="auto"/>
          <w:sz w:val="21"/>
          <w:szCs w:val="21"/>
          <w:highlight w:val="none"/>
          <w:lang w:val="en-US" w:eastAsia="zh-CN" w:bidi="ar"/>
        </w:rPr>
        <w:t>1</w:t>
      </w:r>
      <w:r>
        <w:rPr>
          <w:rFonts w:hint="default" w:ascii="Times New Roman" w:hAnsi="Times New Roman" w:cs="Times New Roman"/>
          <w:b/>
          <w:color w:val="auto"/>
          <w:sz w:val="21"/>
          <w:szCs w:val="21"/>
          <w:highlight w:val="none"/>
          <w:lang w:bidi="ar"/>
        </w:rPr>
        <w:t xml:space="preserve">    评价工作等级划分</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787"/>
        <w:gridCol w:w="1787"/>
        <w:gridCol w:w="1789"/>
        <w:gridCol w:w="1794"/>
      </w:tblGrid>
      <w:tr w14:paraId="5F693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6EF794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环境风险潜势</w:t>
            </w:r>
          </w:p>
        </w:tc>
        <w:tc>
          <w:tcPr>
            <w:tcW w:w="999" w:type="pct"/>
            <w:tcBorders>
              <w:tl2br w:val="nil"/>
              <w:tr2bl w:val="nil"/>
            </w:tcBorders>
            <w:vAlign w:val="center"/>
          </w:tcPr>
          <w:p w14:paraId="18DBCD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Ⅳ、Ⅳ</w:t>
            </w:r>
            <w:r>
              <w:rPr>
                <w:rFonts w:hint="default" w:ascii="Times New Roman" w:hAnsi="Times New Roman" w:cs="Times New Roman"/>
                <w:color w:val="auto"/>
                <w:sz w:val="21"/>
                <w:szCs w:val="21"/>
                <w:highlight w:val="none"/>
                <w:vertAlign w:val="superscript"/>
                <w:lang w:bidi="ar"/>
              </w:rPr>
              <w:t>+</w:t>
            </w:r>
          </w:p>
        </w:tc>
        <w:tc>
          <w:tcPr>
            <w:tcW w:w="999" w:type="pct"/>
            <w:tcBorders>
              <w:tl2br w:val="nil"/>
              <w:tr2bl w:val="nil"/>
            </w:tcBorders>
            <w:vAlign w:val="center"/>
          </w:tcPr>
          <w:p w14:paraId="48EAA6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Ⅲ</w:t>
            </w:r>
          </w:p>
        </w:tc>
        <w:tc>
          <w:tcPr>
            <w:tcW w:w="1000" w:type="pct"/>
            <w:tcBorders>
              <w:tl2br w:val="nil"/>
              <w:tr2bl w:val="nil"/>
            </w:tcBorders>
            <w:vAlign w:val="center"/>
          </w:tcPr>
          <w:p w14:paraId="768481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Ⅱ</w:t>
            </w:r>
          </w:p>
        </w:tc>
        <w:tc>
          <w:tcPr>
            <w:tcW w:w="1000" w:type="pct"/>
            <w:tcBorders>
              <w:tl2br w:val="nil"/>
              <w:tr2bl w:val="nil"/>
            </w:tcBorders>
            <w:vAlign w:val="center"/>
          </w:tcPr>
          <w:p w14:paraId="29A7BD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Ⅰ</w:t>
            </w:r>
          </w:p>
        </w:tc>
      </w:tr>
      <w:tr w14:paraId="3B1D2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11C8F9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评价工作等级</w:t>
            </w:r>
          </w:p>
        </w:tc>
        <w:tc>
          <w:tcPr>
            <w:tcW w:w="999" w:type="pct"/>
            <w:tcBorders>
              <w:tl2br w:val="nil"/>
              <w:tr2bl w:val="nil"/>
            </w:tcBorders>
            <w:vAlign w:val="center"/>
          </w:tcPr>
          <w:p w14:paraId="2CA4E0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一</w:t>
            </w:r>
          </w:p>
        </w:tc>
        <w:tc>
          <w:tcPr>
            <w:tcW w:w="999" w:type="pct"/>
            <w:tcBorders>
              <w:tl2br w:val="nil"/>
              <w:tr2bl w:val="nil"/>
            </w:tcBorders>
            <w:vAlign w:val="center"/>
          </w:tcPr>
          <w:p w14:paraId="35AA1E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二</w:t>
            </w:r>
          </w:p>
        </w:tc>
        <w:tc>
          <w:tcPr>
            <w:tcW w:w="1000" w:type="pct"/>
            <w:tcBorders>
              <w:tl2br w:val="nil"/>
              <w:tr2bl w:val="nil"/>
            </w:tcBorders>
            <w:vAlign w:val="center"/>
          </w:tcPr>
          <w:p w14:paraId="47C170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三</w:t>
            </w:r>
          </w:p>
        </w:tc>
        <w:tc>
          <w:tcPr>
            <w:tcW w:w="1000" w:type="pct"/>
            <w:tcBorders>
              <w:tl2br w:val="nil"/>
              <w:tr2bl w:val="nil"/>
            </w:tcBorders>
            <w:vAlign w:val="center"/>
          </w:tcPr>
          <w:p w14:paraId="5E3948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bidi="ar"/>
              </w:rPr>
              <w:t>简单分析</w:t>
            </w:r>
            <w:r>
              <w:rPr>
                <w:rFonts w:hint="default" w:ascii="Times New Roman" w:hAnsi="Times New Roman" w:cs="Times New Roman"/>
                <w:color w:val="auto"/>
                <w:sz w:val="21"/>
                <w:szCs w:val="21"/>
                <w:highlight w:val="none"/>
                <w:vertAlign w:val="superscript"/>
                <w:lang w:bidi="ar"/>
              </w:rPr>
              <w:t>a</w:t>
            </w:r>
          </w:p>
        </w:tc>
      </w:tr>
      <w:tr w14:paraId="3DB13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vAlign w:val="center"/>
          </w:tcPr>
          <w:p w14:paraId="326CE4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bidi="ar"/>
              </w:rPr>
              <w:t>简单分析</w:t>
            </w:r>
            <w:r>
              <w:rPr>
                <w:rFonts w:hint="default" w:ascii="Times New Roman" w:hAnsi="Times New Roman" w:cs="Times New Roman"/>
                <w:color w:val="auto"/>
                <w:sz w:val="21"/>
                <w:szCs w:val="21"/>
                <w:highlight w:val="none"/>
                <w:vertAlign w:val="superscript"/>
                <w:lang w:bidi="ar"/>
              </w:rPr>
              <w:t>a</w:t>
            </w:r>
            <w:r>
              <w:rPr>
                <w:rFonts w:hint="default" w:ascii="Times New Roman" w:hAnsi="Times New Roman" w:cs="Times New Roman"/>
                <w:color w:val="auto"/>
                <w:sz w:val="21"/>
                <w:szCs w:val="21"/>
                <w:highlight w:val="none"/>
                <w:lang w:bidi="ar"/>
              </w:rPr>
              <w:t>是相对于详细评价工作内容而言，在描述危险物质、环境影响途径、环境危害后果、风险防范措施等方面给出定性的说明。</w:t>
            </w:r>
          </w:p>
        </w:tc>
      </w:tr>
    </w:tbl>
    <w:p w14:paraId="63CA4A04">
      <w:pPr>
        <w:pageBreakBefore w:val="0"/>
        <w:widowControl/>
        <w:wordWrap/>
        <w:topLinePunct w:val="0"/>
        <w:bidi w:val="0"/>
        <w:adjustRightInd w:val="0"/>
        <w:snapToGrid w:val="0"/>
        <w:spacing w:line="480" w:lineRule="exact"/>
        <w:ind w:left="0" w:leftChars="0" w:firstLine="480"/>
        <w:rPr>
          <w:rFonts w:hint="default" w:ascii="Times New Roman" w:hAnsi="Times New Roman" w:cs="Times New Roman"/>
          <w:color w:val="auto"/>
          <w:szCs w:val="24"/>
          <w:highlight w:val="none"/>
        </w:rPr>
      </w:pPr>
      <w:r>
        <w:rPr>
          <w:rFonts w:hint="default" w:ascii="Times New Roman" w:hAnsi="Times New Roman" w:cs="Times New Roman"/>
          <w:snapToGrid w:val="0"/>
          <w:color w:val="auto"/>
          <w:szCs w:val="24"/>
          <w:highlight w:val="none"/>
          <w:lang w:bidi="ar"/>
        </w:rPr>
        <w:t>本项目大气环境风险潜势为I，大气环境风险评价等级为简单分析，地下水环境风险潜势为Ⅱ，地下水环境风险评价等级为三级。（具体见5.8 环境风险评价章节内容）。本项目环境风险潜势综合等级为三级</w:t>
      </w:r>
      <w:r>
        <w:rPr>
          <w:rFonts w:hint="default" w:ascii="Times New Roman" w:hAnsi="Times New Roman" w:cs="Times New Roman"/>
          <w:color w:val="auto"/>
          <w:szCs w:val="24"/>
          <w:highlight w:val="none"/>
        </w:rPr>
        <w:t>。</w:t>
      </w:r>
    </w:p>
    <w:p w14:paraId="3C135F7F">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2.5.7生态影响评价等级</w:t>
      </w:r>
    </w:p>
    <w:p w14:paraId="6C722ABA">
      <w:pPr>
        <w:pStyle w:val="9"/>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内，根据《环境影响评价技术导则 生态影响》（HJ19-2022）中6.1.8规定：“符合生态环境分区管控要求且位于原厂界（或永久用地）范围内的污染影响类改扩建项目，位于</w:t>
      </w:r>
      <w:bookmarkStart w:id="89" w:name="OLE_LINK29"/>
      <w:r>
        <w:rPr>
          <w:rFonts w:hint="default" w:ascii="Times New Roman" w:hAnsi="Times New Roman" w:cs="Times New Roman"/>
          <w:color w:val="auto"/>
          <w:highlight w:val="none"/>
        </w:rPr>
        <w:t>已批准规划环评的产业园区内且符合规划环评要求、不涉及生态敏感区的污染影响类建设项目</w:t>
      </w:r>
      <w:bookmarkEnd w:id="89"/>
      <w:r>
        <w:rPr>
          <w:rFonts w:hint="default" w:ascii="Times New Roman" w:hAnsi="Times New Roman" w:cs="Times New Roman"/>
          <w:color w:val="auto"/>
          <w:highlight w:val="none"/>
        </w:rPr>
        <w:t>，可不确定评价等级，直接进行生态影响简单分析”可知，本项目仅对生态影响进行简单分析，不判定其评价等级。</w:t>
      </w:r>
    </w:p>
    <w:p w14:paraId="7245F8DA">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2.5.8 评价范围</w:t>
      </w:r>
    </w:p>
    <w:p w14:paraId="1E2CAD22">
      <w:pPr>
        <w:pageBreakBefore w:val="0"/>
        <w:wordWrap/>
        <w:topLinePunct w:val="0"/>
        <w:bidi w:val="0"/>
        <w:adjustRightInd w:val="0"/>
        <w:snapToGrid w:val="0"/>
        <w:ind w:left="0" w:leftChars="0" w:right="0" w:firstLine="48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根据所确定的评价工作等级，结合建设项目污染物排放特点及当地气象条件、自然环境状况确定各环境要素评价范围，确定本项目的评价范围如表2.5-</w:t>
      </w:r>
      <w:r>
        <w:rPr>
          <w:rFonts w:hint="default" w:ascii="Times New Roman" w:hAnsi="Times New Roman" w:cs="Times New Roman"/>
          <w:color w:val="auto"/>
          <w:spacing w:val="-6"/>
          <w:sz w:val="24"/>
          <w:highlight w:val="none"/>
          <w:lang w:val="en-US" w:eastAsia="zh-CN"/>
        </w:rPr>
        <w:t>1</w:t>
      </w:r>
      <w:r>
        <w:rPr>
          <w:rFonts w:hint="eastAsia" w:cs="Times New Roman"/>
          <w:color w:val="auto"/>
          <w:spacing w:val="-6"/>
          <w:sz w:val="24"/>
          <w:highlight w:val="none"/>
          <w:lang w:val="en-US" w:eastAsia="zh-CN"/>
        </w:rPr>
        <w:t>2</w:t>
      </w:r>
      <w:r>
        <w:rPr>
          <w:rFonts w:hint="default" w:ascii="Times New Roman" w:hAnsi="Times New Roman" w:cs="Times New Roman"/>
          <w:color w:val="auto"/>
          <w:spacing w:val="-6"/>
          <w:sz w:val="24"/>
          <w:highlight w:val="none"/>
        </w:rPr>
        <w:t>及</w:t>
      </w:r>
      <w:r>
        <w:rPr>
          <w:rFonts w:hint="default" w:ascii="Times New Roman" w:hAnsi="Times New Roman" w:cs="Times New Roman"/>
          <w:color w:val="auto"/>
          <w:spacing w:val="-6"/>
          <w:sz w:val="24"/>
          <w:highlight w:val="none"/>
          <w:lang w:val="en-US" w:eastAsia="zh-CN"/>
        </w:rPr>
        <w:t>附图2</w:t>
      </w:r>
      <w:r>
        <w:rPr>
          <w:rFonts w:hint="default" w:ascii="Times New Roman" w:hAnsi="Times New Roman" w:cs="Times New Roman"/>
          <w:color w:val="auto"/>
          <w:spacing w:val="-6"/>
          <w:sz w:val="24"/>
          <w:highlight w:val="none"/>
        </w:rPr>
        <w:t>。</w:t>
      </w:r>
    </w:p>
    <w:p w14:paraId="426711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环境影响评价范围一览表</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1530"/>
        <w:gridCol w:w="5691"/>
      </w:tblGrid>
      <w:tr w14:paraId="695D9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63" w:type="pct"/>
            <w:tcBorders>
              <w:top w:val="single" w:color="auto" w:sz="12" w:space="0"/>
              <w:left w:val="nil"/>
              <w:bottom w:val="single" w:color="auto" w:sz="6" w:space="0"/>
              <w:right w:val="single" w:color="auto" w:sz="6" w:space="0"/>
            </w:tcBorders>
            <w:vAlign w:val="center"/>
          </w:tcPr>
          <w:p w14:paraId="5717FC6E">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855" w:type="pct"/>
            <w:tcBorders>
              <w:top w:val="single" w:color="auto" w:sz="12" w:space="0"/>
              <w:left w:val="single" w:color="auto" w:sz="6" w:space="0"/>
              <w:bottom w:val="single" w:color="auto" w:sz="6" w:space="0"/>
              <w:right w:val="single" w:color="auto" w:sz="6" w:space="0"/>
            </w:tcBorders>
            <w:vAlign w:val="center"/>
          </w:tcPr>
          <w:p w14:paraId="49CBEFBE">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评价等级</w:t>
            </w:r>
          </w:p>
        </w:tc>
        <w:tc>
          <w:tcPr>
            <w:tcW w:w="3181" w:type="pct"/>
            <w:tcBorders>
              <w:top w:val="single" w:color="auto" w:sz="12" w:space="0"/>
              <w:left w:val="single" w:color="auto" w:sz="6" w:space="0"/>
              <w:bottom w:val="single" w:color="auto" w:sz="6" w:space="0"/>
              <w:right w:val="nil"/>
            </w:tcBorders>
            <w:vAlign w:val="center"/>
          </w:tcPr>
          <w:p w14:paraId="377AB6B9">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评价范围</w:t>
            </w:r>
          </w:p>
        </w:tc>
      </w:tr>
      <w:tr w14:paraId="3368F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2977CB73">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855" w:type="pct"/>
            <w:tcBorders>
              <w:left w:val="single" w:color="auto" w:sz="6" w:space="0"/>
              <w:right w:val="single" w:color="auto" w:sz="6" w:space="0"/>
            </w:tcBorders>
            <w:vAlign w:val="center"/>
          </w:tcPr>
          <w:p w14:paraId="603D77C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3181" w:type="pct"/>
            <w:tcBorders>
              <w:left w:val="single" w:color="auto" w:sz="6" w:space="0"/>
              <w:right w:val="nil"/>
            </w:tcBorders>
            <w:vAlign w:val="center"/>
          </w:tcPr>
          <w:p w14:paraId="5E3794C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为</w:t>
            </w:r>
            <w:r>
              <w:rPr>
                <w:rFonts w:hint="default" w:ascii="Times New Roman" w:hAnsi="Times New Roman" w:cs="Times New Roman"/>
                <w:color w:val="auto"/>
                <w:sz w:val="21"/>
                <w:szCs w:val="21"/>
                <w:highlight w:val="none"/>
                <w:lang w:val="en-US" w:eastAsia="zh-CN"/>
              </w:rPr>
              <w:t>5000</w:t>
            </w:r>
            <w:r>
              <w:rPr>
                <w:rFonts w:hint="default" w:ascii="Times New Roman" w:hAnsi="Times New Roman" w:cs="Times New Roman"/>
                <w:color w:val="auto"/>
                <w:sz w:val="21"/>
                <w:szCs w:val="21"/>
                <w:highlight w:val="none"/>
              </w:rPr>
              <w:t>m，以项目厂址为中心区域，自厂界外延D</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5000</w:t>
            </w:r>
            <w:r>
              <w:rPr>
                <w:rFonts w:hint="default" w:ascii="Times New Roman" w:hAnsi="Times New Roman" w:cs="Times New Roman"/>
                <w:color w:val="auto"/>
                <w:sz w:val="21"/>
                <w:szCs w:val="21"/>
                <w:highlight w:val="none"/>
              </w:rPr>
              <w:t>m）的矩形区域作为大气环境影响评价范围。</w:t>
            </w:r>
          </w:p>
        </w:tc>
      </w:tr>
      <w:tr w14:paraId="50D90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1B689571">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w:t>
            </w:r>
          </w:p>
        </w:tc>
        <w:tc>
          <w:tcPr>
            <w:tcW w:w="855" w:type="pct"/>
            <w:tcBorders>
              <w:left w:val="single" w:color="auto" w:sz="6" w:space="0"/>
              <w:right w:val="single" w:color="auto" w:sz="6" w:space="0"/>
            </w:tcBorders>
            <w:vAlign w:val="center"/>
          </w:tcPr>
          <w:p w14:paraId="75F0EC74">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三级B</w:t>
            </w:r>
          </w:p>
        </w:tc>
        <w:tc>
          <w:tcPr>
            <w:tcW w:w="3181" w:type="pct"/>
            <w:tcBorders>
              <w:left w:val="single" w:color="auto" w:sz="6" w:space="0"/>
              <w:right w:val="nil"/>
            </w:tcBorders>
            <w:vAlign w:val="center"/>
          </w:tcPr>
          <w:p w14:paraId="45EC0851">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不设置评价范围</w:t>
            </w:r>
          </w:p>
        </w:tc>
      </w:tr>
      <w:tr w14:paraId="76B49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19C8246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855" w:type="pct"/>
            <w:tcBorders>
              <w:left w:val="single" w:color="auto" w:sz="6" w:space="0"/>
              <w:right w:val="single" w:color="auto" w:sz="6" w:space="0"/>
            </w:tcBorders>
            <w:vAlign w:val="center"/>
          </w:tcPr>
          <w:p w14:paraId="795DB166">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3181" w:type="pct"/>
            <w:tcBorders>
              <w:left w:val="single" w:color="auto" w:sz="6" w:space="0"/>
              <w:right w:val="nil"/>
            </w:tcBorders>
            <w:vAlign w:val="center"/>
          </w:tcPr>
          <w:p w14:paraId="32EDF1B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项目厂址厂界外200m范围内</w:t>
            </w:r>
          </w:p>
        </w:tc>
      </w:tr>
      <w:tr w14:paraId="4F309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19442C7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855" w:type="pct"/>
            <w:tcBorders>
              <w:left w:val="single" w:color="auto" w:sz="6" w:space="0"/>
              <w:right w:val="single" w:color="auto" w:sz="6" w:space="0"/>
            </w:tcBorders>
            <w:vAlign w:val="center"/>
          </w:tcPr>
          <w:p w14:paraId="0ADE10D3">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3181" w:type="pct"/>
            <w:tcBorders>
              <w:left w:val="single" w:color="auto" w:sz="6" w:space="0"/>
              <w:right w:val="nil"/>
            </w:tcBorders>
            <w:vAlign w:val="center"/>
          </w:tcPr>
          <w:p w14:paraId="39B12DF4">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以地下水流向</w:t>
            </w:r>
            <w:r>
              <w:rPr>
                <w:rFonts w:hint="eastAsia" w:ascii="Times New Roman" w:hAnsi="Times New Roman" w:cs="Times New Roman"/>
                <w:color w:val="auto"/>
                <w:sz w:val="21"/>
                <w:szCs w:val="21"/>
                <w:highlight w:val="none"/>
              </w:rPr>
              <w:t>（区域地下水总的流向为由北向南径流）</w:t>
            </w:r>
            <w:r>
              <w:rPr>
                <w:rFonts w:hint="default" w:ascii="Times New Roman" w:hAnsi="Times New Roman" w:cs="Times New Roman"/>
                <w:color w:val="auto"/>
                <w:sz w:val="21"/>
                <w:szCs w:val="21"/>
                <w:highlight w:val="none"/>
              </w:rPr>
              <w:t>为轴向，地下水上游2km、下游3km区域，水流垂直方向外扩2km构成的</w:t>
            </w:r>
            <w:r>
              <w:rPr>
                <w:rFonts w:hint="eastAsia" w:cs="Times New Roman"/>
                <w:color w:val="auto"/>
                <w:sz w:val="21"/>
                <w:szCs w:val="21"/>
                <w:highlight w:val="none"/>
                <w:lang w:val="en-US" w:eastAsia="zh-CN"/>
              </w:rPr>
              <w:t>20km</w:t>
            </w:r>
            <w:r>
              <w:rPr>
                <w:rFonts w:hint="eastAsia"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rPr>
              <w:t>矩形区域</w:t>
            </w:r>
          </w:p>
        </w:tc>
      </w:tr>
      <w:tr w14:paraId="07AEC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363D0DE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1530" w:type="dxa"/>
            <w:tcBorders>
              <w:left w:val="single" w:color="auto" w:sz="6" w:space="0"/>
              <w:right w:val="single" w:color="auto" w:sz="6" w:space="0"/>
            </w:tcBorders>
            <w:vAlign w:val="center"/>
          </w:tcPr>
          <w:p w14:paraId="7F167C7F">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rPr>
              <w:t>三级</w:t>
            </w:r>
          </w:p>
        </w:tc>
        <w:tc>
          <w:tcPr>
            <w:tcW w:w="5691" w:type="dxa"/>
            <w:tcBorders>
              <w:left w:val="single" w:color="auto" w:sz="6" w:space="0"/>
              <w:right w:val="nil"/>
            </w:tcBorders>
            <w:vAlign w:val="center"/>
          </w:tcPr>
          <w:p w14:paraId="18E3FCB8">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rPr>
              <w:t>大气环境风险评价范围为厂界外延3km，地下水风险评价范围与地下水评价范围一致</w:t>
            </w:r>
          </w:p>
        </w:tc>
      </w:tr>
      <w:tr w14:paraId="74C84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4A5D7CFF">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w:t>
            </w:r>
          </w:p>
        </w:tc>
        <w:tc>
          <w:tcPr>
            <w:tcW w:w="855" w:type="pct"/>
            <w:tcBorders>
              <w:left w:val="single" w:color="auto" w:sz="6" w:space="0"/>
              <w:right w:val="single" w:color="auto" w:sz="6" w:space="0"/>
            </w:tcBorders>
            <w:vAlign w:val="center"/>
          </w:tcPr>
          <w:p w14:paraId="3DDEA0F7">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3181" w:type="pct"/>
            <w:tcBorders>
              <w:left w:val="single" w:color="auto" w:sz="6" w:space="0"/>
              <w:right w:val="nil"/>
            </w:tcBorders>
            <w:vAlign w:val="center"/>
          </w:tcPr>
          <w:p w14:paraId="088C5485">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项目所在厂区内及项目场地外1</w:t>
            </w:r>
            <w:r>
              <w:rPr>
                <w:rFonts w:hint="eastAsia" w:cs="Times New Roman"/>
                <w:color w:val="auto"/>
                <w:sz w:val="21"/>
                <w:szCs w:val="21"/>
                <w:highlight w:val="none"/>
                <w:lang w:val="en-US" w:eastAsia="zh-CN"/>
              </w:rPr>
              <w:t>000</w:t>
            </w:r>
            <w:r>
              <w:rPr>
                <w:rFonts w:hint="default" w:ascii="Times New Roman" w:hAnsi="Times New Roman" w:cs="Times New Roman"/>
                <w:color w:val="auto"/>
                <w:sz w:val="21"/>
                <w:szCs w:val="21"/>
                <w:highlight w:val="none"/>
              </w:rPr>
              <w:t>m区域</w:t>
            </w:r>
          </w:p>
        </w:tc>
      </w:tr>
    </w:tbl>
    <w:p w14:paraId="1192BE20">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90" w:name="_Toc28932"/>
      <w:bookmarkStart w:id="91" w:name="_Toc23413"/>
      <w:r>
        <w:rPr>
          <w:rFonts w:hint="default" w:ascii="Times New Roman" w:hAnsi="Times New Roman" w:eastAsia="宋体" w:cs="Times New Roman"/>
          <w:color w:val="auto"/>
          <w:highlight w:val="none"/>
        </w:rPr>
        <w:t>2.6 环境保护目标</w:t>
      </w:r>
      <w:bookmarkEnd w:id="90"/>
      <w:bookmarkEnd w:id="91"/>
    </w:p>
    <w:p w14:paraId="7B109896">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（1）环境空气保护目标</w:t>
      </w:r>
    </w:p>
    <w:p w14:paraId="431C2B73">
      <w:pPr>
        <w:pageBreakBefore w:val="0"/>
        <w:wordWrap/>
        <w:topLinePunct w:val="0"/>
        <w:bidi w:val="0"/>
        <w:adjustRightInd w:val="0"/>
        <w:snapToGrid w:val="0"/>
        <w:ind w:left="0" w:leftChars="0" w:right="0" w:firstLine="480"/>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szCs w:val="21"/>
          <w:highlight w:val="none"/>
          <w:lang w:eastAsia="zh-CN"/>
        </w:rPr>
        <w:t>鄯善县迪坎矿产加工区</w:t>
      </w:r>
      <w:r>
        <w:rPr>
          <w:rFonts w:hint="default" w:ascii="Times New Roman" w:hAnsi="Times New Roman" w:cs="Times New Roman"/>
          <w:color w:val="auto"/>
          <w:szCs w:val="21"/>
          <w:highlight w:val="none"/>
        </w:rPr>
        <w:t>内</w:t>
      </w:r>
      <w:r>
        <w:rPr>
          <w:rFonts w:hint="default" w:ascii="Times New Roman" w:hAnsi="Times New Roman" w:cs="Times New Roman"/>
          <w:color w:val="auto"/>
          <w:highlight w:val="none"/>
        </w:rPr>
        <w:t>，占地面积为</w:t>
      </w:r>
      <w:r>
        <w:rPr>
          <w:rFonts w:hint="default" w:ascii="Times New Roman" w:hAnsi="Times New Roman" w:cs="Times New Roman"/>
          <w:color w:val="auto"/>
          <w:highlight w:val="none"/>
          <w:lang w:eastAsia="zh-CN"/>
        </w:rPr>
        <w:t>73333m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，环境空气保护目标见表2.6-1。</w:t>
      </w:r>
    </w:p>
    <w:p w14:paraId="3E6115E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p>
    <w:p w14:paraId="645E228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p>
    <w:p w14:paraId="6914DC7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表2.6-1  环境空气保护目标一览表</w:t>
      </w:r>
    </w:p>
    <w:tbl>
      <w:tblPr>
        <w:tblStyle w:val="78"/>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56" w:type="dxa"/>
          <w:left w:w="77" w:type="dxa"/>
          <w:bottom w:w="56" w:type="dxa"/>
          <w:right w:w="77" w:type="dxa"/>
        </w:tblCellMar>
      </w:tblPr>
      <w:tblGrid>
        <w:gridCol w:w="1004"/>
        <w:gridCol w:w="1000"/>
        <w:gridCol w:w="1369"/>
        <w:gridCol w:w="1369"/>
        <w:gridCol w:w="794"/>
        <w:gridCol w:w="673"/>
        <w:gridCol w:w="709"/>
        <w:gridCol w:w="915"/>
        <w:gridCol w:w="1048"/>
      </w:tblGrid>
      <w:tr w14:paraId="2583A0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vMerge w:val="restart"/>
            <w:tcBorders>
              <w:tl2br w:val="nil"/>
              <w:tr2bl w:val="nil"/>
            </w:tcBorders>
            <w:shd w:val="clear" w:color="auto" w:fill="auto"/>
            <w:vAlign w:val="center"/>
          </w:tcPr>
          <w:p w14:paraId="10425C4B">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环境要素</w:t>
            </w:r>
          </w:p>
        </w:tc>
        <w:tc>
          <w:tcPr>
            <w:tcW w:w="579" w:type="pct"/>
            <w:vMerge w:val="restart"/>
            <w:tcBorders>
              <w:tl2br w:val="nil"/>
              <w:tr2bl w:val="nil"/>
            </w:tcBorders>
            <w:shd w:val="clear" w:color="auto" w:fill="auto"/>
            <w:vAlign w:val="center"/>
          </w:tcPr>
          <w:p w14:paraId="3654B904">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名称</w:t>
            </w:r>
          </w:p>
        </w:tc>
        <w:tc>
          <w:tcPr>
            <w:tcW w:w="1426" w:type="pct"/>
            <w:gridSpan w:val="2"/>
            <w:tcBorders>
              <w:tl2br w:val="nil"/>
              <w:tr2bl w:val="nil"/>
            </w:tcBorders>
            <w:shd w:val="clear" w:color="auto" w:fill="auto"/>
            <w:vAlign w:val="center"/>
          </w:tcPr>
          <w:p w14:paraId="305CF39E">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坐标/m</w:t>
            </w:r>
          </w:p>
        </w:tc>
        <w:tc>
          <w:tcPr>
            <w:tcW w:w="463" w:type="pct"/>
            <w:vMerge w:val="restart"/>
            <w:tcBorders>
              <w:tl2br w:val="nil"/>
              <w:tr2bl w:val="nil"/>
            </w:tcBorders>
            <w:shd w:val="clear" w:color="auto" w:fill="auto"/>
            <w:vAlign w:val="center"/>
          </w:tcPr>
          <w:p w14:paraId="021635AD">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环境功能区</w:t>
            </w:r>
          </w:p>
        </w:tc>
        <w:tc>
          <w:tcPr>
            <w:tcW w:w="395" w:type="pct"/>
            <w:vMerge w:val="restart"/>
            <w:tcBorders>
              <w:tl2br w:val="nil"/>
              <w:tr2bl w:val="nil"/>
            </w:tcBorders>
            <w:shd w:val="clear" w:color="auto" w:fill="auto"/>
            <w:vAlign w:val="center"/>
          </w:tcPr>
          <w:p w14:paraId="241C3600">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保护对象</w:t>
            </w:r>
          </w:p>
        </w:tc>
        <w:tc>
          <w:tcPr>
            <w:tcW w:w="415" w:type="pct"/>
            <w:vMerge w:val="restart"/>
            <w:tcBorders>
              <w:tl2br w:val="nil"/>
              <w:tr2bl w:val="nil"/>
            </w:tcBorders>
            <w:shd w:val="clear" w:color="auto" w:fill="auto"/>
            <w:vAlign w:val="center"/>
          </w:tcPr>
          <w:p w14:paraId="18D6E73E">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保护内容</w:t>
            </w:r>
          </w:p>
        </w:tc>
        <w:tc>
          <w:tcPr>
            <w:tcW w:w="531" w:type="pct"/>
            <w:vMerge w:val="restart"/>
            <w:tcBorders>
              <w:tl2br w:val="nil"/>
              <w:tr2bl w:val="nil"/>
            </w:tcBorders>
            <w:shd w:val="clear" w:color="auto" w:fill="auto"/>
            <w:vAlign w:val="center"/>
          </w:tcPr>
          <w:p w14:paraId="583CE995">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相对厂址方位</w:t>
            </w:r>
          </w:p>
        </w:tc>
        <w:tc>
          <w:tcPr>
            <w:tcW w:w="606" w:type="pct"/>
            <w:vMerge w:val="restart"/>
            <w:tcBorders>
              <w:tl2br w:val="nil"/>
              <w:tr2bl w:val="nil"/>
            </w:tcBorders>
            <w:shd w:val="clear" w:color="auto" w:fill="auto"/>
            <w:vAlign w:val="center"/>
          </w:tcPr>
          <w:p w14:paraId="7A6B5B07">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相对厂界距离</w:t>
            </w:r>
          </w:p>
        </w:tc>
      </w:tr>
      <w:tr w14:paraId="101F0B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vMerge w:val="continue"/>
            <w:tcBorders>
              <w:tl2br w:val="nil"/>
              <w:tr2bl w:val="nil"/>
            </w:tcBorders>
            <w:shd w:val="clear" w:color="auto" w:fill="auto"/>
            <w:vAlign w:val="center"/>
          </w:tcPr>
          <w:p w14:paraId="766040BE">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579" w:type="pct"/>
            <w:vMerge w:val="continue"/>
            <w:tcBorders>
              <w:tl2br w:val="nil"/>
              <w:tr2bl w:val="nil"/>
            </w:tcBorders>
            <w:shd w:val="clear" w:color="auto" w:fill="auto"/>
            <w:vAlign w:val="center"/>
          </w:tcPr>
          <w:p w14:paraId="2D7D3921">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712" w:type="pct"/>
            <w:tcBorders>
              <w:tl2br w:val="nil"/>
              <w:tr2bl w:val="nil"/>
            </w:tcBorders>
            <w:shd w:val="clear" w:color="auto" w:fill="auto"/>
            <w:vAlign w:val="center"/>
          </w:tcPr>
          <w:p w14:paraId="3D92E437">
            <w:pPr>
              <w:keepNext w:val="0"/>
              <w:keepLines w:val="0"/>
              <w:pageBreakBefore w:val="0"/>
              <w:widowControl/>
              <w:kinsoku w:val="0"/>
              <w:wordWrap/>
              <w:overflowPunct/>
              <w:topLinePunct w:val="0"/>
              <w:autoSpaceDE w:val="0"/>
              <w:autoSpaceDN w:val="0"/>
              <w:bidi w:val="0"/>
              <w:adjustRightInd w:val="0"/>
              <w:snapToGrid w:val="0"/>
              <w:spacing w:before="74" w:line="240" w:lineRule="auto"/>
              <w:ind w:left="0" w:leftChars="0" w:right="0"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snapToGrid w:val="0"/>
                <w:color w:val="auto"/>
                <w:spacing w:val="5"/>
                <w:kern w:val="0"/>
                <w:sz w:val="21"/>
                <w:szCs w:val="21"/>
                <w:highlight w:val="none"/>
                <w:lang w:eastAsia="zh-CN"/>
              </w:rPr>
              <w:t>经度</w:t>
            </w:r>
          </w:p>
        </w:tc>
        <w:tc>
          <w:tcPr>
            <w:tcW w:w="713" w:type="pct"/>
            <w:tcBorders>
              <w:tl2br w:val="nil"/>
              <w:tr2bl w:val="nil"/>
            </w:tcBorders>
            <w:shd w:val="clear" w:color="auto" w:fill="auto"/>
            <w:vAlign w:val="center"/>
          </w:tcPr>
          <w:p w14:paraId="195BBA1C">
            <w:pPr>
              <w:keepNext w:val="0"/>
              <w:keepLines w:val="0"/>
              <w:pageBreakBefore w:val="0"/>
              <w:widowControl/>
              <w:kinsoku w:val="0"/>
              <w:wordWrap/>
              <w:overflowPunct/>
              <w:topLinePunct w:val="0"/>
              <w:autoSpaceDE w:val="0"/>
              <w:autoSpaceDN w:val="0"/>
              <w:bidi w:val="0"/>
              <w:adjustRightInd w:val="0"/>
              <w:snapToGrid w:val="0"/>
              <w:spacing w:before="74" w:line="240" w:lineRule="auto"/>
              <w:ind w:left="0" w:leftChars="0" w:right="0"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snapToGrid w:val="0"/>
                <w:color w:val="auto"/>
                <w:spacing w:val="4"/>
                <w:kern w:val="0"/>
                <w:sz w:val="21"/>
                <w:szCs w:val="21"/>
                <w:highlight w:val="none"/>
                <w:lang w:eastAsia="zh-CN"/>
              </w:rPr>
              <w:t>纬度</w:t>
            </w:r>
          </w:p>
        </w:tc>
        <w:tc>
          <w:tcPr>
            <w:tcW w:w="463" w:type="pct"/>
            <w:vMerge w:val="continue"/>
            <w:tcBorders>
              <w:tl2br w:val="nil"/>
              <w:tr2bl w:val="nil"/>
            </w:tcBorders>
            <w:shd w:val="clear" w:color="auto" w:fill="auto"/>
            <w:vAlign w:val="center"/>
          </w:tcPr>
          <w:p w14:paraId="60B3F19E">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395" w:type="pct"/>
            <w:vMerge w:val="continue"/>
            <w:tcBorders>
              <w:tl2br w:val="nil"/>
              <w:tr2bl w:val="nil"/>
            </w:tcBorders>
            <w:shd w:val="clear" w:color="auto" w:fill="auto"/>
            <w:vAlign w:val="center"/>
          </w:tcPr>
          <w:p w14:paraId="1FBF9840">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415" w:type="pct"/>
            <w:vMerge w:val="continue"/>
            <w:tcBorders>
              <w:tl2br w:val="nil"/>
              <w:tr2bl w:val="nil"/>
            </w:tcBorders>
            <w:shd w:val="clear" w:color="auto" w:fill="auto"/>
            <w:vAlign w:val="center"/>
          </w:tcPr>
          <w:p w14:paraId="08BFC97B">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531" w:type="pct"/>
            <w:vMerge w:val="continue"/>
            <w:tcBorders>
              <w:tl2br w:val="nil"/>
              <w:tr2bl w:val="nil"/>
            </w:tcBorders>
            <w:shd w:val="clear" w:color="auto" w:fill="auto"/>
            <w:vAlign w:val="center"/>
          </w:tcPr>
          <w:p w14:paraId="5A0EE158">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606" w:type="pct"/>
            <w:vMerge w:val="continue"/>
            <w:tcBorders>
              <w:tl2br w:val="nil"/>
              <w:tr2bl w:val="nil"/>
            </w:tcBorders>
            <w:shd w:val="clear" w:color="auto" w:fill="auto"/>
            <w:vAlign w:val="center"/>
          </w:tcPr>
          <w:p w14:paraId="37C44872">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r>
      <w:tr w14:paraId="4EE00E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tcBorders>
              <w:tl2br w:val="nil"/>
              <w:tr2bl w:val="nil"/>
            </w:tcBorders>
            <w:shd w:val="clear" w:color="auto" w:fill="auto"/>
            <w:vAlign w:val="center"/>
          </w:tcPr>
          <w:p w14:paraId="0AC2CDD4">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579" w:type="pct"/>
            <w:tcBorders>
              <w:tl2br w:val="nil"/>
              <w:tr2bl w:val="nil"/>
            </w:tcBorders>
            <w:shd w:val="clear" w:color="auto" w:fill="auto"/>
            <w:vAlign w:val="center"/>
          </w:tcPr>
          <w:p w14:paraId="1056CB63">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玉尔门村</w:t>
            </w:r>
          </w:p>
        </w:tc>
        <w:tc>
          <w:tcPr>
            <w:tcW w:w="712" w:type="pct"/>
            <w:tcBorders>
              <w:tl2br w:val="nil"/>
              <w:tr2bl w:val="nil"/>
            </w:tcBorders>
            <w:shd w:val="clear" w:color="auto" w:fill="auto"/>
            <w:vAlign w:val="center"/>
          </w:tcPr>
          <w:p w14:paraId="6E9B5E9D">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89°47′37.295″</w:t>
            </w:r>
          </w:p>
        </w:tc>
        <w:tc>
          <w:tcPr>
            <w:tcW w:w="713" w:type="pct"/>
            <w:tcBorders>
              <w:tl2br w:val="nil"/>
              <w:tr2bl w:val="nil"/>
            </w:tcBorders>
            <w:shd w:val="clear" w:color="auto" w:fill="auto"/>
            <w:vAlign w:val="center"/>
          </w:tcPr>
          <w:p w14:paraId="52695F9A">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42°37′51.607″</w:t>
            </w:r>
          </w:p>
        </w:tc>
        <w:tc>
          <w:tcPr>
            <w:tcW w:w="463" w:type="pct"/>
            <w:tcBorders>
              <w:tl2br w:val="nil"/>
              <w:tr2bl w:val="nil"/>
            </w:tcBorders>
            <w:shd w:val="clear" w:color="auto" w:fill="auto"/>
            <w:vAlign w:val="center"/>
          </w:tcPr>
          <w:p w14:paraId="6721AF64">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2类区</w:t>
            </w:r>
          </w:p>
        </w:tc>
        <w:tc>
          <w:tcPr>
            <w:tcW w:w="395" w:type="pct"/>
            <w:tcBorders>
              <w:tl2br w:val="nil"/>
              <w:tr2bl w:val="nil"/>
            </w:tcBorders>
            <w:shd w:val="clear" w:color="auto" w:fill="auto"/>
            <w:vAlign w:val="center"/>
          </w:tcPr>
          <w:p w14:paraId="4EF3AA0D">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415" w:type="pct"/>
            <w:tcBorders>
              <w:tl2br w:val="nil"/>
              <w:tr2bl w:val="nil"/>
            </w:tcBorders>
            <w:shd w:val="clear" w:color="auto" w:fill="auto"/>
            <w:vAlign w:val="center"/>
          </w:tcPr>
          <w:p w14:paraId="093B67AE">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rPr>
              <w:t>人</w:t>
            </w:r>
          </w:p>
        </w:tc>
        <w:tc>
          <w:tcPr>
            <w:tcW w:w="531" w:type="pct"/>
            <w:tcBorders>
              <w:tl2br w:val="nil"/>
              <w:tr2bl w:val="nil"/>
            </w:tcBorders>
            <w:shd w:val="clear" w:color="auto" w:fill="auto"/>
            <w:vAlign w:val="center"/>
          </w:tcPr>
          <w:p w14:paraId="1F4BAB1D">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西北</w:t>
            </w:r>
          </w:p>
        </w:tc>
        <w:tc>
          <w:tcPr>
            <w:tcW w:w="606" w:type="pct"/>
            <w:tcBorders>
              <w:tl2br w:val="nil"/>
              <w:tr2bl w:val="nil"/>
            </w:tcBorders>
            <w:shd w:val="clear" w:color="auto" w:fill="auto"/>
            <w:vAlign w:val="center"/>
          </w:tcPr>
          <w:p w14:paraId="307DB3E8">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rPr>
              <w:t>m</w:t>
            </w:r>
          </w:p>
        </w:tc>
      </w:tr>
    </w:tbl>
    <w:p w14:paraId="13D1AE6F">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（2）声环境保护目标</w:t>
      </w:r>
    </w:p>
    <w:p w14:paraId="16B7F51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项目占地范围内及厂界</w:t>
      </w:r>
      <w:r>
        <w:rPr>
          <w:rFonts w:hint="eastAsia" w:cs="Times New Roman"/>
          <w:color w:val="auto"/>
          <w:highlight w:val="none"/>
          <w:lang w:eastAsia="zh-CN"/>
        </w:rPr>
        <w:t>外</w:t>
      </w:r>
      <w:r>
        <w:rPr>
          <w:rFonts w:hint="default" w:ascii="Times New Roman" w:hAnsi="Times New Roman" w:cs="Times New Roman"/>
          <w:color w:val="auto"/>
          <w:highlight w:val="none"/>
        </w:rPr>
        <w:t>200m范围内，厂界外200m范围内无声环境保护目标。</w:t>
      </w:r>
    </w:p>
    <w:p w14:paraId="43EB106C">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（3）土壤环境保护目标</w:t>
      </w:r>
    </w:p>
    <w:p w14:paraId="55FF187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w:t>
      </w:r>
      <w:r>
        <w:rPr>
          <w:rFonts w:hint="default" w:ascii="Times New Roman" w:hAnsi="Times New Roman" w:cs="Times New Roman"/>
          <w:color w:val="auto"/>
          <w:szCs w:val="21"/>
          <w:highlight w:val="none"/>
          <w:lang w:eastAsia="zh-CN"/>
        </w:rPr>
        <w:t>鄯善县迪坎矿产加工区</w:t>
      </w:r>
      <w:r>
        <w:rPr>
          <w:rFonts w:hint="default" w:ascii="Times New Roman" w:hAnsi="Times New Roman" w:cs="Times New Roman"/>
          <w:color w:val="auto"/>
          <w:szCs w:val="21"/>
          <w:highlight w:val="none"/>
        </w:rPr>
        <w:t>内</w:t>
      </w:r>
      <w:r>
        <w:rPr>
          <w:rFonts w:hint="default" w:ascii="Times New Roman" w:hAnsi="Times New Roman" w:cs="Times New Roman"/>
          <w:color w:val="auto"/>
          <w:highlight w:val="none"/>
        </w:rPr>
        <w:t>，评价范围内</w:t>
      </w:r>
      <w:r>
        <w:rPr>
          <w:rFonts w:hint="eastAsia" w:cs="Times New Roman"/>
          <w:color w:val="auto"/>
          <w:highlight w:val="none"/>
          <w:lang w:val="en-US" w:eastAsia="zh-CN"/>
        </w:rPr>
        <w:t>西北方向500m</w:t>
      </w:r>
      <w:r>
        <w:rPr>
          <w:rFonts w:hint="default" w:ascii="Times New Roman" w:hAnsi="Times New Roman" w:cs="Times New Roman"/>
          <w:color w:val="auto"/>
          <w:highlight w:val="none"/>
        </w:rPr>
        <w:t>存在耕地，需保护评价范围内的耕地土壤环境质量满足《土壤环境质量 农用地土壤污染风险管控标准（试行）（GB15618-2018）》表1其他限值要求，其余区域土壤环境质量满足《土壤环境质量 建设用地土壤污染风险管控标准（试行）》（GB36600-2018）第二类用地筛选值要求，不得因本项目建设导致其土壤环境质量等级下降。</w:t>
      </w:r>
    </w:p>
    <w:p w14:paraId="5D5D0830">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（4）地下水环境保护目标</w:t>
      </w:r>
    </w:p>
    <w:p w14:paraId="1D618E2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地下水环境保护目标主要为评价范围内的潜层地下水，水质控制在《地下水质量标准》（GB/T 14848-2017）Ⅲ类标准。</w:t>
      </w:r>
    </w:p>
    <w:p w14:paraId="16C33046">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（5）生态环境保护目标</w:t>
      </w:r>
    </w:p>
    <w:p w14:paraId="7BCFBB3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项目在现有厂区内建设，生态环境保护目标主要为保护厂区及周围野生动植物生境不被破坏。</w:t>
      </w:r>
    </w:p>
    <w:p w14:paraId="68E0D3E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headerReference r:id="rId16" w:type="firs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0D7232D9">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92" w:name="_Toc29188"/>
      <w:bookmarkStart w:id="93" w:name="_Toc10648"/>
      <w:r>
        <w:rPr>
          <w:rFonts w:hint="default" w:ascii="Times New Roman" w:hAnsi="Times New Roman" w:eastAsia="宋体" w:cs="Times New Roman"/>
          <w:color w:val="auto"/>
          <w:highlight w:val="none"/>
        </w:rPr>
        <w:t>3 建设项目工程分析</w:t>
      </w:r>
      <w:bookmarkEnd w:id="92"/>
      <w:bookmarkEnd w:id="93"/>
    </w:p>
    <w:p w14:paraId="02022392">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94" w:name="_Toc13244"/>
      <w:bookmarkStart w:id="95" w:name="_Toc1297"/>
      <w:r>
        <w:rPr>
          <w:rFonts w:hint="default" w:ascii="Times New Roman" w:hAnsi="Times New Roman" w:eastAsia="宋体" w:cs="Times New Roman"/>
          <w:color w:val="auto"/>
          <w:highlight w:val="none"/>
        </w:rPr>
        <w:t xml:space="preserve">3.1 </w:t>
      </w:r>
      <w:r>
        <w:rPr>
          <w:rFonts w:hint="default" w:ascii="Times New Roman" w:hAnsi="Times New Roman" w:eastAsia="宋体" w:cs="Times New Roman"/>
          <w:color w:val="auto"/>
          <w:highlight w:val="none"/>
          <w:lang w:val="en-US" w:eastAsia="zh-CN"/>
        </w:rPr>
        <w:t>原有</w:t>
      </w:r>
      <w:r>
        <w:rPr>
          <w:rFonts w:hint="eastAsia" w:eastAsia="宋体" w:cs="Times New Roman"/>
          <w:color w:val="auto"/>
          <w:highlight w:val="none"/>
          <w:lang w:val="en-US" w:eastAsia="zh-CN"/>
        </w:rPr>
        <w:t>项目</w:t>
      </w:r>
      <w:r>
        <w:rPr>
          <w:rFonts w:hint="default" w:ascii="Times New Roman" w:hAnsi="Times New Roman" w:eastAsia="宋体" w:cs="Times New Roman"/>
          <w:color w:val="auto"/>
          <w:highlight w:val="none"/>
        </w:rPr>
        <w:t>回顾</w:t>
      </w:r>
      <w:bookmarkEnd w:id="94"/>
      <w:bookmarkEnd w:id="95"/>
    </w:p>
    <w:p w14:paraId="45175FC6">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3.1.1</w:t>
      </w:r>
      <w:r>
        <w:rPr>
          <w:rFonts w:hint="default" w:ascii="Times New Roman" w:hAnsi="Times New Roman" w:cs="Times New Roman"/>
          <w:color w:val="auto"/>
          <w:highlight w:val="none"/>
          <w:lang w:val="en-US" w:eastAsia="zh-CN"/>
        </w:rPr>
        <w:t>原有</w:t>
      </w:r>
      <w:r>
        <w:rPr>
          <w:rFonts w:hint="default" w:ascii="Times New Roman" w:hAnsi="Times New Roman" w:cs="Times New Roman"/>
          <w:color w:val="auto"/>
          <w:highlight w:val="none"/>
        </w:rPr>
        <w:t>工程背景</w:t>
      </w:r>
    </w:p>
    <w:p w14:paraId="4B0184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eastAsia="zh-CN"/>
        </w:rPr>
        <w:t>鄯善县厚旺铜矿有限责任公司成立于2005年，是中国厚旺矿业集团公司下属的一家专业从事铜金属矿产资源开发的专业企业。公司注册地址位于新疆吐鲁番市</w:t>
      </w:r>
      <w:r>
        <w:rPr>
          <w:rFonts w:hint="eastAsia" w:cs="Times New Roman" w:eastAsiaTheme="minorEastAsia"/>
          <w:color w:val="auto"/>
          <w:highlight w:val="none"/>
          <w:lang w:eastAsia="zh-CN"/>
        </w:rPr>
        <w:t>鄯善县迪坎矿产加工区</w:t>
      </w:r>
      <w:r>
        <w:rPr>
          <w:rFonts w:hint="default" w:ascii="Times New Roman" w:hAnsi="Times New Roman" w:cs="Times New Roman" w:eastAsiaTheme="minorEastAsia"/>
          <w:color w:val="auto"/>
          <w:highlight w:val="none"/>
          <w:lang w:eastAsia="zh-CN"/>
        </w:rPr>
        <w:t>，注册资本为2050万元，法定代表人为余朝华。200</w:t>
      </w:r>
      <w:r>
        <w:rPr>
          <w:rFonts w:hint="eastAsia" w:cs="Times New Roman" w:eastAsiaTheme="minorEastAsia"/>
          <w:color w:val="auto"/>
          <w:highlight w:val="none"/>
          <w:lang w:val="en-US" w:eastAsia="zh-CN"/>
        </w:rPr>
        <w:t>8</w:t>
      </w:r>
      <w:r>
        <w:rPr>
          <w:rFonts w:hint="default" w:ascii="Times New Roman" w:hAnsi="Times New Roman" w:cs="Times New Roman" w:eastAsiaTheme="minorEastAsia"/>
          <w:color w:val="auto"/>
          <w:highlight w:val="none"/>
          <w:lang w:eastAsia="zh-CN"/>
        </w:rPr>
        <w:t>年，鄯善县厚旺铜矿有限责任公司选矿厂</w:t>
      </w:r>
      <w:r>
        <w:rPr>
          <w:rFonts w:hint="eastAsia" w:cs="Times New Roman" w:eastAsiaTheme="minorEastAsia"/>
          <w:color w:val="auto"/>
          <w:highlight w:val="none"/>
          <w:lang w:val="en-US" w:eastAsia="zh-CN"/>
        </w:rPr>
        <w:t>建设完成</w:t>
      </w:r>
      <w:r>
        <w:rPr>
          <w:rFonts w:hint="default" w:ascii="Times New Roman" w:hAnsi="Times New Roman" w:cs="Times New Roman" w:eastAsiaTheme="minorEastAsia"/>
          <w:color w:val="auto"/>
          <w:highlight w:val="none"/>
          <w:lang w:eastAsia="zh-CN"/>
        </w:rPr>
        <w:t>，选矿厂处理能力为6万t/a。2019年，自有矿源大平梁铜矿开采完毕，</w:t>
      </w:r>
      <w:r>
        <w:rPr>
          <w:rFonts w:hint="default" w:ascii="Times New Roman" w:hAnsi="Times New Roman" w:cs="Times New Roman" w:eastAsiaTheme="minorEastAsia"/>
          <w:color w:val="auto"/>
          <w:highlight w:val="none"/>
          <w:lang w:val="en-US" w:eastAsia="zh-CN"/>
        </w:rPr>
        <w:t>项目原有矿山封闭，选矿厂关停至今</w:t>
      </w:r>
      <w:r>
        <w:rPr>
          <w:rFonts w:hint="eastAsia" w:cs="Times New Roman" w:eastAsiaTheme="minorEastAsia"/>
          <w:color w:val="auto"/>
          <w:highlight w:val="none"/>
          <w:lang w:val="en-US" w:eastAsia="zh-CN"/>
        </w:rPr>
        <w:t>未生产</w:t>
      </w:r>
      <w:r>
        <w:rPr>
          <w:rFonts w:hint="default" w:ascii="Times New Roman" w:hAnsi="Times New Roman" w:cs="Times New Roman" w:eastAsiaTheme="minorEastAsia"/>
          <w:color w:val="auto"/>
          <w:highlight w:val="none"/>
          <w:lang w:val="en-US" w:eastAsia="zh-CN"/>
        </w:rPr>
        <w:t>。</w:t>
      </w:r>
    </w:p>
    <w:p w14:paraId="3D4DFF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鄯善县厚旺铜矿有限责任公司于2007年委托新疆环境保护技术咨询中心编制《鄯善县厚旺铜矿有限责任公司铜选厂环境影响报告书》，并于2007年9月取得</w:t>
      </w:r>
      <w:r>
        <w:rPr>
          <w:rFonts w:hint="eastAsia" w:cs="Times New Roman" w:eastAsiaTheme="minorEastAsia"/>
          <w:color w:val="auto"/>
          <w:highlight w:val="none"/>
          <w:lang w:val="en-US" w:eastAsia="zh-CN"/>
        </w:rPr>
        <w:t>原鄯善县环境保护局</w:t>
      </w:r>
      <w:r>
        <w:rPr>
          <w:rFonts w:hint="default" w:ascii="Times New Roman" w:hAnsi="Times New Roman" w:cs="Times New Roman" w:eastAsiaTheme="minorEastAsia"/>
          <w:color w:val="auto"/>
          <w:highlight w:val="none"/>
          <w:lang w:val="en-US" w:eastAsia="zh-CN"/>
        </w:rPr>
        <w:t>《关于</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鄯善县厚望铜矿有限责任公司铜选厂项目环境影响报告书</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的审批意见》（鄯政环</w:t>
      </w:r>
      <w:r>
        <w:rPr>
          <w:rFonts w:hint="eastAsia" w:cs="Times New Roman" w:eastAsiaTheme="minorEastAsia"/>
          <w:color w:val="auto"/>
          <w:highlight w:val="none"/>
          <w:lang w:val="en-US" w:eastAsia="zh-CN"/>
        </w:rPr>
        <w:t>〔2007〕106号</w:t>
      </w:r>
      <w:r>
        <w:rPr>
          <w:rFonts w:hint="default" w:ascii="Times New Roman" w:hAnsi="Times New Roman" w:cs="Times New Roman" w:eastAsiaTheme="minorEastAsia"/>
          <w:color w:val="auto"/>
          <w:highlight w:val="none"/>
          <w:lang w:val="en-US" w:eastAsia="zh-CN"/>
        </w:rPr>
        <w:t>），</w:t>
      </w:r>
      <w:r>
        <w:rPr>
          <w:rFonts w:hint="eastAsia" w:cs="Times New Roman" w:eastAsiaTheme="minorEastAsia"/>
          <w:color w:val="auto"/>
          <w:highlight w:val="none"/>
          <w:lang w:val="en-US" w:eastAsia="zh-CN"/>
        </w:rPr>
        <w:t>该</w:t>
      </w:r>
      <w:r>
        <w:rPr>
          <w:rFonts w:hint="default" w:ascii="Times New Roman" w:hAnsi="Times New Roman" w:cs="Times New Roman" w:eastAsiaTheme="minorEastAsia"/>
          <w:color w:val="auto"/>
          <w:highlight w:val="none"/>
        </w:rPr>
        <w:t>项目于2008年建成并</w:t>
      </w:r>
      <w:r>
        <w:rPr>
          <w:rFonts w:hint="eastAsia" w:cs="Times New Roman" w:eastAsiaTheme="minorEastAsia"/>
          <w:color w:val="auto"/>
          <w:highlight w:val="none"/>
          <w:lang w:val="en-US" w:eastAsia="zh-CN"/>
        </w:rPr>
        <w:t>投入</w:t>
      </w:r>
      <w:r>
        <w:rPr>
          <w:rFonts w:hint="default" w:ascii="Times New Roman" w:hAnsi="Times New Roman" w:cs="Times New Roman" w:eastAsiaTheme="minorEastAsia"/>
          <w:color w:val="auto"/>
          <w:highlight w:val="none"/>
        </w:rPr>
        <w:t>试运营</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于2008年11月通过鄯善县环保局对该项目的竣工环境保护验收</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验收意见（环验〔2008〕34号）见附件</w:t>
      </w:r>
      <w:r>
        <w:rPr>
          <w:rFonts w:hint="eastAsia" w:cs="Times New Roman" w:eastAsiaTheme="minorEastAsia"/>
          <w:color w:val="auto"/>
          <w:highlight w:val="none"/>
          <w:lang w:val="en-US" w:eastAsia="zh-CN"/>
        </w:rPr>
        <w:t>3</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原</w:t>
      </w:r>
      <w:r>
        <w:rPr>
          <w:rFonts w:hint="default" w:ascii="Times New Roman" w:hAnsi="Times New Roman" w:cs="Times New Roman" w:eastAsiaTheme="minorEastAsia"/>
          <w:color w:val="auto"/>
          <w:highlight w:val="none"/>
        </w:rPr>
        <w:t>工程于20</w:t>
      </w:r>
      <w:r>
        <w:rPr>
          <w:rFonts w:hint="default" w:ascii="Times New Roman" w:hAnsi="Times New Roman" w:cs="Times New Roman" w:eastAsiaTheme="minorEastAsia"/>
          <w:color w:val="auto"/>
          <w:highlight w:val="none"/>
          <w:lang w:val="en-US" w:eastAsia="zh-CN"/>
        </w:rPr>
        <w:t>18</w:t>
      </w:r>
      <w:r>
        <w:rPr>
          <w:rFonts w:hint="default" w:ascii="Times New Roman" w:hAnsi="Times New Roman" w:cs="Times New Roman" w:eastAsiaTheme="minorEastAsia"/>
          <w:color w:val="auto"/>
          <w:highlight w:val="none"/>
        </w:rPr>
        <w:t>年</w:t>
      </w:r>
      <w:r>
        <w:rPr>
          <w:rFonts w:hint="default" w:ascii="Times New Roman" w:hAnsi="Times New Roman" w:cs="Times New Roman" w:eastAsiaTheme="minorEastAsia"/>
          <w:color w:val="auto"/>
          <w:highlight w:val="none"/>
          <w:lang w:val="en-US" w:eastAsia="zh-CN"/>
        </w:rPr>
        <w:t>9</w:t>
      </w:r>
      <w:r>
        <w:rPr>
          <w:rFonts w:hint="default" w:ascii="Times New Roman" w:hAnsi="Times New Roman" w:cs="Times New Roman" w:eastAsiaTheme="minorEastAsia"/>
          <w:color w:val="auto"/>
          <w:highlight w:val="none"/>
        </w:rPr>
        <w:t>月</w:t>
      </w:r>
      <w:r>
        <w:rPr>
          <w:rFonts w:hint="default" w:ascii="Times New Roman" w:hAnsi="Times New Roman" w:cs="Times New Roman" w:eastAsiaTheme="minorEastAsia"/>
          <w:color w:val="auto"/>
          <w:highlight w:val="none"/>
          <w:lang w:val="en-US" w:eastAsia="zh-CN"/>
        </w:rPr>
        <w:t>29</w:t>
      </w:r>
      <w:r>
        <w:rPr>
          <w:rFonts w:hint="default" w:ascii="Times New Roman" w:hAnsi="Times New Roman" w:cs="Times New Roman" w:eastAsiaTheme="minorEastAsia"/>
          <w:color w:val="auto"/>
          <w:highlight w:val="none"/>
        </w:rPr>
        <w:t>日取得固定污染源排污登记回执（</w:t>
      </w:r>
      <w:r>
        <w:rPr>
          <w:rFonts w:hint="eastAsia"/>
          <w:color w:val="auto"/>
          <w:highlight w:val="none"/>
          <w:lang w:val="en-US" w:eastAsia="zh-CN"/>
        </w:rPr>
        <w:t>登记</w:t>
      </w:r>
      <w:r>
        <w:rPr>
          <w:rFonts w:hint="default" w:ascii="Times New Roman" w:hAnsi="Times New Roman" w:cs="Times New Roman" w:eastAsiaTheme="minorEastAsia"/>
          <w:color w:val="auto"/>
          <w:highlight w:val="none"/>
        </w:rPr>
        <w:t>编号为916504217876394489001X）</w:t>
      </w:r>
      <w:r>
        <w:rPr>
          <w:rFonts w:hint="default" w:ascii="Times New Roman" w:hAnsi="Times New Roman" w:cs="Times New Roman" w:eastAsiaTheme="minorEastAsia"/>
          <w:color w:val="auto"/>
          <w:highlight w:val="none"/>
          <w:lang w:eastAsia="zh-CN"/>
        </w:rPr>
        <w:t>。</w:t>
      </w:r>
    </w:p>
    <w:p w14:paraId="47E655C0">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3.1.2</w:t>
      </w:r>
      <w:r>
        <w:rPr>
          <w:rFonts w:hint="default" w:ascii="Times New Roman" w:hAnsi="Times New Roman" w:cs="Times New Roman"/>
          <w:color w:val="auto"/>
          <w:highlight w:val="none"/>
          <w:lang w:val="en-US" w:eastAsia="zh-CN"/>
        </w:rPr>
        <w:t>原有</w:t>
      </w:r>
      <w:r>
        <w:rPr>
          <w:rFonts w:hint="eastAsia" w:cs="Times New Roman"/>
          <w:color w:val="auto"/>
          <w:highlight w:val="none"/>
          <w:lang w:val="en-US" w:eastAsia="zh-CN"/>
        </w:rPr>
        <w:t>工程</w:t>
      </w:r>
      <w:r>
        <w:rPr>
          <w:rFonts w:hint="default" w:ascii="Times New Roman" w:hAnsi="Times New Roman" w:cs="Times New Roman"/>
          <w:color w:val="auto"/>
          <w:highlight w:val="none"/>
        </w:rPr>
        <w:t>生产规模及产品方案</w:t>
      </w:r>
    </w:p>
    <w:p w14:paraId="1EBD0071">
      <w:pPr>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rPr>
      </w:pPr>
      <w:r>
        <w:rPr>
          <w:rFonts w:hint="eastAsia" w:cs="Times New Roman" w:eastAsiaTheme="minorEastAsia"/>
          <w:color w:val="auto"/>
          <w:highlight w:val="none"/>
          <w:lang w:val="en-US" w:eastAsia="zh-CN"/>
        </w:rPr>
        <w:t>原有工程</w:t>
      </w:r>
      <w:r>
        <w:rPr>
          <w:rFonts w:hint="default" w:ascii="Times New Roman" w:hAnsi="Times New Roman" w:cs="Times New Roman" w:eastAsiaTheme="minorEastAsia"/>
          <w:color w:val="auto"/>
          <w:highlight w:val="none"/>
        </w:rPr>
        <w:t>选矿厂年处理</w:t>
      </w:r>
      <w:r>
        <w:rPr>
          <w:rFonts w:hint="default" w:ascii="Times New Roman" w:hAnsi="Times New Roman" w:cs="Times New Roman" w:eastAsiaTheme="minorEastAsia"/>
          <w:color w:val="auto"/>
          <w:highlight w:val="none"/>
          <w:lang w:val="en-US" w:eastAsia="zh-CN"/>
        </w:rPr>
        <w:t>铜</w:t>
      </w:r>
      <w:r>
        <w:rPr>
          <w:rFonts w:hint="default" w:ascii="Times New Roman" w:hAnsi="Times New Roman" w:cs="Times New Roman" w:eastAsiaTheme="minorEastAsia"/>
          <w:color w:val="auto"/>
          <w:highlight w:val="none"/>
        </w:rPr>
        <w:t>矿石</w:t>
      </w:r>
      <w:r>
        <w:rPr>
          <w:rFonts w:hint="eastAsia" w:cs="Times New Roman" w:eastAsiaTheme="minorEastAsia"/>
          <w:color w:val="auto"/>
          <w:highlight w:val="none"/>
          <w:lang w:val="en-US" w:eastAsia="zh-CN"/>
        </w:rPr>
        <w:t>6</w:t>
      </w:r>
      <w:r>
        <w:rPr>
          <w:rFonts w:hint="default" w:ascii="Times New Roman" w:hAnsi="Times New Roman" w:cs="Times New Roman" w:eastAsiaTheme="minorEastAsia"/>
          <w:color w:val="auto"/>
          <w:highlight w:val="none"/>
        </w:rPr>
        <w:t>万t/a，产品为</w:t>
      </w:r>
      <w:r>
        <w:rPr>
          <w:rFonts w:hint="default" w:ascii="Times New Roman" w:hAnsi="Times New Roman" w:cs="Times New Roman" w:eastAsiaTheme="minorEastAsia"/>
          <w:color w:val="auto"/>
          <w:highlight w:val="none"/>
          <w:lang w:val="en-US" w:eastAsia="zh-CN"/>
        </w:rPr>
        <w:t>精铜矿</w:t>
      </w:r>
      <w:r>
        <w:rPr>
          <w:rFonts w:hint="eastAsia" w:cs="Times New Roman" w:eastAsiaTheme="minorEastAsia"/>
          <w:color w:val="auto"/>
          <w:highlight w:val="none"/>
          <w:lang w:val="en-US" w:eastAsia="zh-CN"/>
        </w:rPr>
        <w:t>4400</w:t>
      </w:r>
      <w:r>
        <w:rPr>
          <w:rFonts w:hint="default" w:ascii="Times New Roman" w:hAnsi="Times New Roman" w:cs="Times New Roman" w:eastAsiaTheme="minorEastAsia"/>
          <w:color w:val="auto"/>
          <w:highlight w:val="none"/>
        </w:rPr>
        <w:t>t/a。</w:t>
      </w:r>
    </w:p>
    <w:p w14:paraId="7B9C4AF4">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3.1.3</w:t>
      </w:r>
      <w:r>
        <w:rPr>
          <w:rFonts w:hint="default" w:ascii="Times New Roman" w:hAnsi="Times New Roman" w:cs="Times New Roman"/>
          <w:color w:val="auto"/>
          <w:highlight w:val="none"/>
          <w:lang w:val="en-US" w:eastAsia="zh-CN"/>
        </w:rPr>
        <w:t>原有</w:t>
      </w:r>
      <w:r>
        <w:rPr>
          <w:rFonts w:hint="default" w:ascii="Times New Roman" w:hAnsi="Times New Roman" w:cs="Times New Roman"/>
          <w:color w:val="auto"/>
          <w:highlight w:val="none"/>
        </w:rPr>
        <w:t>工程组成</w:t>
      </w:r>
    </w:p>
    <w:p w14:paraId="6FDAEC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选矿厂占地面积为110亩，约73333m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，其中布置有储料场、破碎车间、浮选车间、精矿库、材料室和试验室等生产主要建筑及办公室、临时宿舍等生产辅助</w:t>
      </w:r>
      <w:r>
        <w:rPr>
          <w:rFonts w:hint="eastAsia" w:cs="Times New Roman"/>
          <w:color w:val="auto"/>
          <w:highlight w:val="none"/>
          <w:lang w:val="en-US" w:eastAsia="zh-CN"/>
        </w:rPr>
        <w:t>设施</w:t>
      </w:r>
      <w:r>
        <w:rPr>
          <w:rFonts w:hint="default" w:ascii="Times New Roman" w:hAnsi="Times New Roman" w:cs="Times New Roman"/>
          <w:color w:val="auto"/>
          <w:highlight w:val="none"/>
          <w:lang w:val="en-US" w:eastAsia="zh-CN"/>
        </w:rPr>
        <w:t>。</w:t>
      </w:r>
    </w:p>
    <w:p w14:paraId="58E06E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尾矿库</w:t>
      </w:r>
      <w:r>
        <w:rPr>
          <w:rFonts w:hint="eastAsia" w:cs="Times New Roman"/>
          <w:color w:val="auto"/>
          <w:highlight w:val="none"/>
          <w:lang w:val="en-US" w:eastAsia="zh-CN"/>
        </w:rPr>
        <w:t>位于厂区南侧</w:t>
      </w:r>
      <w:r>
        <w:rPr>
          <w:rFonts w:hint="default" w:ascii="Times New Roman" w:hAnsi="Times New Roman" w:cs="Times New Roman"/>
          <w:color w:val="auto"/>
          <w:highlight w:val="none"/>
          <w:lang w:val="en-US" w:eastAsia="zh-CN"/>
        </w:rPr>
        <w:t>，尾矿库占地面积为67.5亩，约为45000m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p>
    <w:p w14:paraId="401C33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原有工程选矿厂和尾矿库总占地面积118333m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vertAlign w:val="baseline"/>
          <w:lang w:val="en-US" w:eastAsia="zh-CN"/>
        </w:rPr>
        <w:t>。</w:t>
      </w:r>
    </w:p>
    <w:p w14:paraId="68ECFCCA">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3.1.4原有工程原辅料消耗情况</w:t>
      </w:r>
    </w:p>
    <w:p w14:paraId="1D312D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2C4C3B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55ABCE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44F7A6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415C65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046C1E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49F98E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13DBA9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1003BA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snapToGrid w:val="0"/>
          <w:color w:val="auto"/>
          <w:kern w:val="0"/>
          <w:sz w:val="21"/>
          <w:szCs w:val="21"/>
          <w:highlight w:val="none"/>
          <w:shd w:val="clear" w:color="auto" w:fill="auto"/>
          <w:lang w:val="en-US" w:eastAsia="zh-CN"/>
        </w:rPr>
      </w:pPr>
      <w:r>
        <w:rPr>
          <w:rFonts w:hint="eastAsia" w:ascii="Times New Roman" w:hAnsi="Times New Roman" w:eastAsia="宋体" w:cs="Times New Roman"/>
          <w:b/>
          <w:snapToGrid w:val="0"/>
          <w:color w:val="auto"/>
          <w:kern w:val="0"/>
          <w:sz w:val="21"/>
          <w:szCs w:val="21"/>
          <w:highlight w:val="none"/>
          <w:shd w:val="clear" w:color="auto" w:fill="auto"/>
          <w:lang w:val="en-US" w:eastAsia="zh-CN"/>
        </w:rPr>
        <w:t>3.1-1 原有工程</w:t>
      </w:r>
      <w:r>
        <w:rPr>
          <w:rFonts w:hint="default" w:ascii="Times New Roman" w:hAnsi="Times New Roman" w:eastAsia="宋体" w:cs="Times New Roman"/>
          <w:b/>
          <w:snapToGrid w:val="0"/>
          <w:color w:val="auto"/>
          <w:kern w:val="0"/>
          <w:sz w:val="21"/>
          <w:szCs w:val="21"/>
          <w:highlight w:val="none"/>
          <w:shd w:val="clear" w:color="auto" w:fill="auto"/>
          <w:lang w:val="en-US" w:eastAsia="zh-CN"/>
        </w:rPr>
        <w:t>主要材料消耗</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2383"/>
        <w:gridCol w:w="1943"/>
        <w:gridCol w:w="2396"/>
      </w:tblGrid>
      <w:tr w14:paraId="069EA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1054" w:type="pct"/>
            <w:tcBorders>
              <w:tl2br w:val="nil"/>
              <w:tr2bl w:val="nil"/>
            </w:tcBorders>
            <w:vAlign w:val="top"/>
          </w:tcPr>
          <w:p w14:paraId="185F2129">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shd w:val="clear" w:color="auto" w:fill="auto"/>
                <w:vertAlign w:val="baseline"/>
                <w:lang w:val="en-US" w:eastAsia="zh-CN"/>
              </w:rPr>
            </w:pPr>
            <w:r>
              <w:rPr>
                <w:rFonts w:hint="eastAsia" w:eastAsia="宋体" w:cs="Times New Roman"/>
                <w:snapToGrid w:val="0"/>
                <w:color w:val="auto"/>
                <w:kern w:val="0"/>
                <w:sz w:val="21"/>
                <w:szCs w:val="21"/>
                <w:highlight w:val="none"/>
                <w:shd w:val="clear" w:color="auto" w:fill="auto"/>
                <w:vertAlign w:val="baseline"/>
                <w:lang w:val="en-US" w:eastAsia="zh-CN"/>
              </w:rPr>
              <w:t>序号</w:t>
            </w:r>
          </w:p>
        </w:tc>
        <w:tc>
          <w:tcPr>
            <w:tcW w:w="1398" w:type="pct"/>
            <w:tcBorders>
              <w:tl2br w:val="nil"/>
              <w:tr2bl w:val="nil"/>
            </w:tcBorders>
            <w:vAlign w:val="top"/>
          </w:tcPr>
          <w:p w14:paraId="2F54F0C1">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shd w:val="clear" w:color="auto" w:fill="auto"/>
                <w:vertAlign w:val="baseline"/>
                <w:lang w:val="en-US" w:eastAsia="zh-CN"/>
              </w:rPr>
            </w:pPr>
            <w:r>
              <w:rPr>
                <w:rFonts w:hint="eastAsia" w:eastAsia="宋体" w:cs="Times New Roman"/>
                <w:snapToGrid w:val="0"/>
                <w:color w:val="auto"/>
                <w:kern w:val="0"/>
                <w:sz w:val="21"/>
                <w:szCs w:val="21"/>
                <w:highlight w:val="none"/>
                <w:shd w:val="clear" w:color="auto" w:fill="auto"/>
                <w:vertAlign w:val="baseline"/>
                <w:lang w:val="en-US" w:eastAsia="zh-CN"/>
              </w:rPr>
              <w:t>名称</w:t>
            </w:r>
          </w:p>
        </w:tc>
        <w:tc>
          <w:tcPr>
            <w:tcW w:w="1140" w:type="pct"/>
            <w:tcBorders>
              <w:tl2br w:val="nil"/>
              <w:tr2bl w:val="nil"/>
            </w:tcBorders>
            <w:vAlign w:val="top"/>
          </w:tcPr>
          <w:p w14:paraId="21C14E1D">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shd w:val="clear" w:color="auto" w:fill="auto"/>
                <w:vertAlign w:val="baseline"/>
                <w:lang w:val="en-US" w:eastAsia="zh-CN"/>
              </w:rPr>
            </w:pPr>
            <w:r>
              <w:rPr>
                <w:rFonts w:hint="eastAsia" w:eastAsia="宋体" w:cs="Times New Roman"/>
                <w:snapToGrid w:val="0"/>
                <w:color w:val="auto"/>
                <w:kern w:val="0"/>
                <w:sz w:val="21"/>
                <w:szCs w:val="21"/>
                <w:highlight w:val="none"/>
                <w:shd w:val="clear" w:color="auto" w:fill="auto"/>
                <w:vertAlign w:val="baseline"/>
                <w:lang w:val="en-US" w:eastAsia="zh-CN"/>
              </w:rPr>
              <w:t>单位</w:t>
            </w:r>
          </w:p>
        </w:tc>
        <w:tc>
          <w:tcPr>
            <w:tcW w:w="1405" w:type="pct"/>
            <w:tcBorders>
              <w:tl2br w:val="nil"/>
              <w:tr2bl w:val="nil"/>
            </w:tcBorders>
            <w:vAlign w:val="top"/>
          </w:tcPr>
          <w:p w14:paraId="0C02E6D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shd w:val="clear" w:color="auto" w:fill="auto"/>
                <w:vertAlign w:val="baseline"/>
                <w:lang w:val="en-US" w:eastAsia="zh-CN"/>
              </w:rPr>
            </w:pPr>
            <w:r>
              <w:rPr>
                <w:rFonts w:hint="eastAsia" w:eastAsia="宋体" w:cs="Times New Roman"/>
                <w:snapToGrid w:val="0"/>
                <w:color w:val="auto"/>
                <w:kern w:val="0"/>
                <w:sz w:val="21"/>
                <w:szCs w:val="21"/>
                <w:highlight w:val="none"/>
                <w:shd w:val="clear" w:color="auto" w:fill="auto"/>
                <w:vertAlign w:val="baseline"/>
                <w:lang w:val="en-US" w:eastAsia="zh-CN"/>
              </w:rPr>
              <w:t>年用量</w:t>
            </w:r>
          </w:p>
        </w:tc>
      </w:tr>
      <w:tr w14:paraId="3086B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44F5F6EB">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1</w:t>
            </w:r>
          </w:p>
        </w:tc>
        <w:tc>
          <w:tcPr>
            <w:tcW w:w="1398" w:type="pct"/>
            <w:tcBorders>
              <w:tl2br w:val="nil"/>
              <w:tr2bl w:val="nil"/>
            </w:tcBorders>
            <w:vAlign w:val="top"/>
          </w:tcPr>
          <w:p w14:paraId="0732DCF3">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丁黄药</w:t>
            </w:r>
          </w:p>
        </w:tc>
        <w:tc>
          <w:tcPr>
            <w:tcW w:w="1140" w:type="pct"/>
            <w:tcBorders>
              <w:tl2br w:val="nil"/>
              <w:tr2bl w:val="nil"/>
            </w:tcBorders>
            <w:vAlign w:val="top"/>
          </w:tcPr>
          <w:p w14:paraId="6E71051D">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3A28C9B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11</w:t>
            </w:r>
          </w:p>
        </w:tc>
      </w:tr>
      <w:tr w14:paraId="1800F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6B3B7F1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2</w:t>
            </w:r>
          </w:p>
        </w:tc>
        <w:tc>
          <w:tcPr>
            <w:tcW w:w="1398" w:type="pct"/>
            <w:tcBorders>
              <w:tl2br w:val="nil"/>
              <w:tr2bl w:val="nil"/>
            </w:tcBorders>
            <w:vAlign w:val="top"/>
          </w:tcPr>
          <w:p w14:paraId="778F16F5">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铵黑药</w:t>
            </w:r>
          </w:p>
        </w:tc>
        <w:tc>
          <w:tcPr>
            <w:tcW w:w="1140" w:type="pct"/>
            <w:tcBorders>
              <w:tl2br w:val="nil"/>
              <w:tr2bl w:val="nil"/>
            </w:tcBorders>
            <w:vAlign w:val="top"/>
          </w:tcPr>
          <w:p w14:paraId="114B3238">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7FD3052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7</w:t>
            </w:r>
          </w:p>
        </w:tc>
      </w:tr>
      <w:tr w14:paraId="351A0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642C181B">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3</w:t>
            </w:r>
          </w:p>
        </w:tc>
        <w:tc>
          <w:tcPr>
            <w:tcW w:w="1398" w:type="pct"/>
            <w:tcBorders>
              <w:tl2br w:val="nil"/>
              <w:tr2bl w:val="nil"/>
            </w:tcBorders>
            <w:vAlign w:val="top"/>
          </w:tcPr>
          <w:p w14:paraId="7CCC5965">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纯碱</w:t>
            </w:r>
          </w:p>
        </w:tc>
        <w:tc>
          <w:tcPr>
            <w:tcW w:w="1140" w:type="pct"/>
            <w:tcBorders>
              <w:tl2br w:val="nil"/>
              <w:tr2bl w:val="nil"/>
            </w:tcBorders>
            <w:vAlign w:val="top"/>
          </w:tcPr>
          <w:p w14:paraId="6DE0C3A8">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7DFC092B">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15</w:t>
            </w:r>
          </w:p>
        </w:tc>
      </w:tr>
      <w:tr w14:paraId="79885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40331C0C">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4</w:t>
            </w:r>
          </w:p>
        </w:tc>
        <w:tc>
          <w:tcPr>
            <w:tcW w:w="1398" w:type="pct"/>
            <w:tcBorders>
              <w:tl2br w:val="nil"/>
              <w:tr2bl w:val="nil"/>
            </w:tcBorders>
            <w:vAlign w:val="top"/>
          </w:tcPr>
          <w:p w14:paraId="52508722">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石灰</w:t>
            </w:r>
          </w:p>
        </w:tc>
        <w:tc>
          <w:tcPr>
            <w:tcW w:w="1140" w:type="pct"/>
            <w:tcBorders>
              <w:tl2br w:val="nil"/>
              <w:tr2bl w:val="nil"/>
            </w:tcBorders>
            <w:vAlign w:val="top"/>
          </w:tcPr>
          <w:p w14:paraId="0DF6779B">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0C4F52EE">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200</w:t>
            </w:r>
          </w:p>
        </w:tc>
      </w:tr>
      <w:tr w14:paraId="63F1D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75BEB26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5</w:t>
            </w:r>
          </w:p>
        </w:tc>
        <w:tc>
          <w:tcPr>
            <w:tcW w:w="1398" w:type="pct"/>
            <w:tcBorders>
              <w:tl2br w:val="nil"/>
              <w:tr2bl w:val="nil"/>
            </w:tcBorders>
            <w:vAlign w:val="top"/>
          </w:tcPr>
          <w:p w14:paraId="165D95CE">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钢球</w:t>
            </w:r>
          </w:p>
        </w:tc>
        <w:tc>
          <w:tcPr>
            <w:tcW w:w="1140" w:type="pct"/>
            <w:tcBorders>
              <w:tl2br w:val="nil"/>
              <w:tr2bl w:val="nil"/>
            </w:tcBorders>
            <w:vAlign w:val="top"/>
          </w:tcPr>
          <w:p w14:paraId="04AFA86E">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411CC3FD">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220</w:t>
            </w:r>
          </w:p>
        </w:tc>
      </w:tr>
      <w:tr w14:paraId="2EED2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3D182C9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6</w:t>
            </w:r>
          </w:p>
        </w:tc>
        <w:tc>
          <w:tcPr>
            <w:tcW w:w="1398" w:type="pct"/>
            <w:tcBorders>
              <w:tl2br w:val="nil"/>
              <w:tr2bl w:val="nil"/>
            </w:tcBorders>
            <w:vAlign w:val="top"/>
          </w:tcPr>
          <w:p w14:paraId="4D67272C">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稀油</w:t>
            </w:r>
          </w:p>
        </w:tc>
        <w:tc>
          <w:tcPr>
            <w:tcW w:w="1140" w:type="pct"/>
            <w:tcBorders>
              <w:tl2br w:val="nil"/>
              <w:tr2bl w:val="nil"/>
            </w:tcBorders>
            <w:vAlign w:val="top"/>
          </w:tcPr>
          <w:p w14:paraId="4119A0AB">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7B9C7D1A">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6</w:t>
            </w:r>
          </w:p>
        </w:tc>
      </w:tr>
      <w:tr w14:paraId="6ABCA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22091B5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7</w:t>
            </w:r>
          </w:p>
        </w:tc>
        <w:tc>
          <w:tcPr>
            <w:tcW w:w="1398" w:type="pct"/>
            <w:tcBorders>
              <w:tl2br w:val="nil"/>
              <w:tr2bl w:val="nil"/>
            </w:tcBorders>
            <w:vAlign w:val="top"/>
          </w:tcPr>
          <w:p w14:paraId="4E6923EF">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干油</w:t>
            </w:r>
          </w:p>
        </w:tc>
        <w:tc>
          <w:tcPr>
            <w:tcW w:w="1140" w:type="pct"/>
            <w:tcBorders>
              <w:tl2br w:val="nil"/>
              <w:tr2bl w:val="nil"/>
            </w:tcBorders>
            <w:vAlign w:val="top"/>
          </w:tcPr>
          <w:p w14:paraId="4241D60E">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09529DCF">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5</w:t>
            </w:r>
          </w:p>
        </w:tc>
      </w:tr>
      <w:tr w14:paraId="665BD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17145D2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8</w:t>
            </w:r>
          </w:p>
        </w:tc>
        <w:tc>
          <w:tcPr>
            <w:tcW w:w="1398" w:type="pct"/>
            <w:tcBorders>
              <w:tl2br w:val="nil"/>
              <w:tr2bl w:val="nil"/>
            </w:tcBorders>
            <w:vAlign w:val="top"/>
          </w:tcPr>
          <w:p w14:paraId="1854EAD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原矿</w:t>
            </w:r>
          </w:p>
        </w:tc>
        <w:tc>
          <w:tcPr>
            <w:tcW w:w="1140" w:type="pct"/>
            <w:tcBorders>
              <w:tl2br w:val="nil"/>
              <w:tr2bl w:val="nil"/>
            </w:tcBorders>
            <w:vAlign w:val="top"/>
          </w:tcPr>
          <w:p w14:paraId="0C4A739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万t/a</w:t>
            </w:r>
          </w:p>
        </w:tc>
        <w:tc>
          <w:tcPr>
            <w:tcW w:w="1405" w:type="pct"/>
            <w:tcBorders>
              <w:tl2br w:val="nil"/>
              <w:tr2bl w:val="nil"/>
            </w:tcBorders>
            <w:vAlign w:val="top"/>
          </w:tcPr>
          <w:p w14:paraId="7379893F">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6</w:t>
            </w:r>
          </w:p>
        </w:tc>
      </w:tr>
    </w:tbl>
    <w:p w14:paraId="376BCF28">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3.1.5原有工程主要设备</w:t>
      </w:r>
    </w:p>
    <w:p w14:paraId="2E1CC9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b/>
          <w:color w:val="auto"/>
          <w:sz w:val="21"/>
          <w:szCs w:val="21"/>
          <w:highlight w:val="none"/>
          <w:lang w:val="en-US" w:eastAsia="zh-CN"/>
        </w:rPr>
        <w:t>3.1-2 原有工程</w:t>
      </w:r>
      <w:r>
        <w:rPr>
          <w:rFonts w:hint="default" w:ascii="Times New Roman" w:hAnsi="Times New Roman" w:cs="Times New Roman"/>
          <w:b/>
          <w:color w:val="auto"/>
          <w:sz w:val="21"/>
          <w:szCs w:val="21"/>
          <w:highlight w:val="none"/>
          <w:lang w:val="en-US" w:eastAsia="zh-CN"/>
        </w:rPr>
        <w:t>主要</w:t>
      </w:r>
      <w:r>
        <w:rPr>
          <w:rFonts w:hint="eastAsia" w:ascii="Times New Roman" w:hAnsi="Times New Roman" w:cs="Times New Roman"/>
          <w:b/>
          <w:color w:val="auto"/>
          <w:sz w:val="21"/>
          <w:szCs w:val="21"/>
          <w:highlight w:val="none"/>
          <w:lang w:val="en-US" w:eastAsia="zh-CN"/>
        </w:rPr>
        <w:t>设备一览表</w:t>
      </w:r>
      <w:r>
        <w:rPr>
          <w:color w:val="auto"/>
          <w:highlight w:val="none"/>
        </w:rPr>
        <w:drawing>
          <wp:inline distT="0" distB="0" distL="114300" distR="114300">
            <wp:extent cx="5538470" cy="4844415"/>
            <wp:effectExtent l="0" t="0" r="5080" b="13335"/>
            <wp:docPr id="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pic:cNvPicPr>
                      <a:picLocks noChangeAspect="1"/>
                    </pic:cNvPicPr>
                  </pic:nvPicPr>
                  <pic:blipFill>
                    <a:blip r:embed="rId38"/>
                    <a:stretch>
                      <a:fillRect/>
                    </a:stretch>
                  </pic:blipFill>
                  <pic:spPr>
                    <a:xfrm>
                      <a:off x="0" y="0"/>
                      <a:ext cx="5538470" cy="4844415"/>
                    </a:xfrm>
                    <a:prstGeom prst="rect">
                      <a:avLst/>
                    </a:prstGeom>
                    <a:noFill/>
                    <a:ln>
                      <a:noFill/>
                    </a:ln>
                  </pic:spPr>
                </pic:pic>
              </a:graphicData>
            </a:graphic>
          </wp:inline>
        </w:drawing>
      </w:r>
    </w:p>
    <w:p w14:paraId="3E7C7915">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原有</w:t>
      </w:r>
      <w:r>
        <w:rPr>
          <w:rFonts w:hint="eastAsia" w:cs="Times New Roman"/>
          <w:color w:val="auto"/>
          <w:highlight w:val="none"/>
          <w:lang w:val="en-US" w:eastAsia="zh-CN"/>
        </w:rPr>
        <w:t>工程</w:t>
      </w:r>
      <w:r>
        <w:rPr>
          <w:rFonts w:hint="default" w:ascii="Times New Roman" w:hAnsi="Times New Roman" w:cs="Times New Roman"/>
          <w:color w:val="auto"/>
          <w:highlight w:val="none"/>
          <w:lang w:val="en-US" w:eastAsia="zh-CN"/>
        </w:rPr>
        <w:t>公用工程</w:t>
      </w:r>
    </w:p>
    <w:p w14:paraId="1A6D83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供水</w:t>
      </w:r>
    </w:p>
    <w:p w14:paraId="510F00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原有工程</w:t>
      </w:r>
      <w:r>
        <w:rPr>
          <w:rFonts w:hint="default" w:ascii="Times New Roman" w:hAnsi="Times New Roman" w:eastAsia="宋体" w:cs="Times New Roman"/>
          <w:color w:val="auto"/>
          <w:sz w:val="24"/>
          <w:szCs w:val="24"/>
          <w:highlight w:val="none"/>
        </w:rPr>
        <w:t>生产和生活用水采用厂内的井水</w:t>
      </w:r>
      <w:r>
        <w:rPr>
          <w:rFonts w:hint="eastAsia" w:ascii="Times New Roman" w:hAnsi="Times New Roman" w:eastAsia="宋体" w:cs="Times New Roman"/>
          <w:color w:val="auto"/>
          <w:sz w:val="24"/>
          <w:szCs w:val="24"/>
          <w:highlight w:val="none"/>
          <w:lang w:eastAsia="zh-CN"/>
        </w:rPr>
        <w:t>作为</w:t>
      </w:r>
      <w:r>
        <w:rPr>
          <w:rFonts w:hint="default" w:ascii="Times New Roman" w:hAnsi="Times New Roman" w:eastAsia="宋体" w:cs="Times New Roman"/>
          <w:color w:val="auto"/>
          <w:sz w:val="24"/>
          <w:szCs w:val="24"/>
          <w:highlight w:val="none"/>
        </w:rPr>
        <w:t>供水水源。选矿生产天数以300天计，用水总量为31.</w:t>
      </w:r>
      <w:r>
        <w:rPr>
          <w:rFonts w:hint="eastAsia" w:cs="Times New Roman"/>
          <w:color w:val="auto"/>
          <w:sz w:val="24"/>
          <w:szCs w:val="24"/>
          <w:highlight w:val="none"/>
          <w:lang w:val="en-US" w:eastAsia="zh-CN"/>
        </w:rPr>
        <w:t>848</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/a，其中新鲜用水量为12.52万m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/a，回用水量为18.38万m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生活用水总量为2280m</w:t>
      </w:r>
      <w:r>
        <w:rPr>
          <w:rFonts w:hint="eastAsia"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绿化用水总量为7200m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p>
    <w:p w14:paraId="5D5F8E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供电</w:t>
      </w:r>
    </w:p>
    <w:p w14:paraId="084DC4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矿厂用电全部依托电网统一供电。</w:t>
      </w:r>
    </w:p>
    <w:p w14:paraId="453C3C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供热</w:t>
      </w:r>
    </w:p>
    <w:p w14:paraId="315F35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lang w:val="en-US" w:eastAsia="zh-CN"/>
        </w:rPr>
      </w:pPr>
      <w:r>
        <w:rPr>
          <w:rFonts w:hint="eastAsia" w:cs="Times New Roman"/>
          <w:color w:val="auto"/>
          <w:sz w:val="24"/>
          <w:szCs w:val="24"/>
          <w:highlight w:val="none"/>
          <w:lang w:val="en-US" w:eastAsia="zh-CN"/>
        </w:rPr>
        <w:t>原有工程</w:t>
      </w:r>
      <w:r>
        <w:rPr>
          <w:rFonts w:hint="default" w:ascii="Times New Roman" w:hAnsi="Times New Roman" w:eastAsia="宋体" w:cs="Times New Roman"/>
          <w:color w:val="auto"/>
          <w:sz w:val="24"/>
          <w:szCs w:val="24"/>
          <w:highlight w:val="none"/>
        </w:rPr>
        <w:t>全年生产天数为300天。</w:t>
      </w:r>
      <w:r>
        <w:rPr>
          <w:rFonts w:hint="eastAsia" w:cs="Times New Roman"/>
          <w:color w:val="auto"/>
          <w:sz w:val="24"/>
          <w:szCs w:val="24"/>
          <w:highlight w:val="none"/>
          <w:lang w:val="en-US" w:eastAsia="zh-CN"/>
        </w:rPr>
        <w:t>冬季</w:t>
      </w:r>
      <w:r>
        <w:rPr>
          <w:rFonts w:hint="eastAsia"/>
          <w:color w:val="auto"/>
          <w:highlight w:val="none"/>
          <w:lang w:val="en-US" w:eastAsia="zh-CN"/>
        </w:rPr>
        <w:t>由电锅炉供暖</w:t>
      </w:r>
      <w:r>
        <w:rPr>
          <w:rFonts w:hint="default" w:ascii="Times New Roman" w:hAnsi="Times New Roman" w:eastAsia="宋体" w:cs="Times New Roman"/>
          <w:color w:val="auto"/>
          <w:sz w:val="24"/>
          <w:szCs w:val="24"/>
          <w:highlight w:val="none"/>
        </w:rPr>
        <w:t>。</w:t>
      </w:r>
    </w:p>
    <w:p w14:paraId="585AF1D6">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原有</w:t>
      </w:r>
      <w:r>
        <w:rPr>
          <w:rFonts w:hint="eastAsia" w:cs="Times New Roman"/>
          <w:color w:val="auto"/>
          <w:highlight w:val="none"/>
          <w:lang w:val="en-US" w:eastAsia="zh-CN"/>
        </w:rPr>
        <w:t>工程</w:t>
      </w:r>
      <w:r>
        <w:rPr>
          <w:rFonts w:hint="default" w:ascii="Times New Roman" w:hAnsi="Times New Roman" w:cs="Times New Roman"/>
          <w:color w:val="auto"/>
          <w:highlight w:val="none"/>
        </w:rPr>
        <w:t>工艺流程</w:t>
      </w:r>
    </w:p>
    <w:p w14:paraId="31B812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矿山开采出</w:t>
      </w:r>
      <w:r>
        <w:rPr>
          <w:rFonts w:hint="eastAsia" w:cs="Times New Roman" w:eastAsiaTheme="minorEastAsia"/>
          <w:color w:val="auto"/>
          <w:highlight w:val="none"/>
          <w:lang w:val="en-US" w:eastAsia="zh-CN"/>
        </w:rPr>
        <w:t>的</w:t>
      </w:r>
      <w:r>
        <w:rPr>
          <w:rFonts w:hint="default" w:ascii="Times New Roman" w:hAnsi="Times New Roman" w:cs="Times New Roman" w:eastAsiaTheme="minorEastAsia"/>
          <w:color w:val="auto"/>
          <w:highlight w:val="none"/>
          <w:lang w:val="en-US" w:eastAsia="zh-CN"/>
        </w:rPr>
        <w:t>矿石块度在350mm左右，运送至该选矿厂后，经破碎机粗碎，粗碎产品经皮带运至细碎机进行进一步的破碎，细碎机出口处矿石的块径基本在 15mm 左右</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对破碎后的矿石进行筛分</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粒径小于15mm 的矿石进入粉矿仓</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粒径大于15mm的矿石</w:t>
      </w:r>
      <w:r>
        <w:rPr>
          <w:rFonts w:hint="eastAsia" w:cs="Times New Roman" w:eastAsiaTheme="minorEastAsia"/>
          <w:color w:val="auto"/>
          <w:highlight w:val="none"/>
          <w:lang w:val="en-US" w:eastAsia="zh-CN"/>
        </w:rPr>
        <w:t>被</w:t>
      </w:r>
      <w:r>
        <w:rPr>
          <w:rFonts w:hint="default" w:ascii="Times New Roman" w:hAnsi="Times New Roman" w:cs="Times New Roman" w:eastAsiaTheme="minorEastAsia"/>
          <w:color w:val="auto"/>
          <w:highlight w:val="none"/>
          <w:lang w:val="en-US" w:eastAsia="zh-CN"/>
        </w:rPr>
        <w:t>返回破碎机重新进行破碎，形成两段开路破碎流程。经破碎合格的矿石采用一段闭路磨矿，经球磨后的矿粉其磨细度要求达到-0.074mm占80%以上。</w:t>
      </w:r>
    </w:p>
    <w:p w14:paraId="1240C6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磨矿产品经自流至浮选作业搅拌槽，进入铜浮选作业，铜浮选采用二粗一扫一精流程，铜扫选尾矿采用一粗、一扫、一精流程，浮选铜精矿经沉淀池沉淀后转运至堆场自然晾晒后出售，浮选尾矿自流至尾矿坝。</w:t>
      </w:r>
    </w:p>
    <w:p w14:paraId="263987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原有工程</w:t>
      </w:r>
      <w:r>
        <w:rPr>
          <w:rFonts w:hint="default" w:ascii="Times New Roman" w:hAnsi="Times New Roman" w:cs="Times New Roman" w:eastAsiaTheme="minorEastAsia"/>
          <w:color w:val="auto"/>
          <w:highlight w:val="none"/>
          <w:lang w:val="en-US" w:eastAsia="zh-CN"/>
        </w:rPr>
        <w:t>主要污染源及污染物</w:t>
      </w:r>
      <w:r>
        <w:rPr>
          <w:rFonts w:hint="eastAsia" w:cs="Times New Roman" w:eastAsiaTheme="minorEastAsia"/>
          <w:color w:val="auto"/>
          <w:highlight w:val="none"/>
          <w:lang w:val="en-US" w:eastAsia="zh-CN"/>
        </w:rPr>
        <w:t>：</w:t>
      </w:r>
    </w:p>
    <w:p w14:paraId="77432D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①矿石堆放在原矿堆场内。主要污染物为粉尘，由于原矿块度较大，扬尘产生量较小。</w:t>
      </w:r>
    </w:p>
    <w:p w14:paraId="6B9E81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②</w:t>
      </w:r>
      <w:r>
        <w:rPr>
          <w:rFonts w:hint="default" w:ascii="Times New Roman" w:hAnsi="Times New Roman" w:cs="Times New Roman" w:eastAsiaTheme="minorEastAsia"/>
          <w:color w:val="auto"/>
          <w:highlight w:val="none"/>
          <w:lang w:val="en-US" w:eastAsia="zh-CN"/>
        </w:rPr>
        <w:t>矿石的运输和破碎</w:t>
      </w:r>
      <w:r>
        <w:rPr>
          <w:rFonts w:hint="eastAsia" w:cs="Times New Roman" w:eastAsiaTheme="minorEastAsia"/>
          <w:color w:val="auto"/>
          <w:highlight w:val="none"/>
          <w:lang w:val="en-US" w:eastAsia="zh-CN"/>
        </w:rPr>
        <w:t>筛分</w:t>
      </w:r>
      <w:r>
        <w:rPr>
          <w:rFonts w:hint="default" w:ascii="Times New Roman" w:hAnsi="Times New Roman" w:cs="Times New Roman" w:eastAsiaTheme="minorEastAsia"/>
          <w:color w:val="auto"/>
          <w:highlight w:val="none"/>
          <w:lang w:val="en-US" w:eastAsia="zh-CN"/>
        </w:rPr>
        <w:t>工段。主要污染物为破碎机破碎矿石</w:t>
      </w:r>
      <w:r>
        <w:rPr>
          <w:rFonts w:hint="eastAsia" w:cs="Times New Roman" w:eastAsiaTheme="minorEastAsia"/>
          <w:color w:val="auto"/>
          <w:highlight w:val="none"/>
          <w:lang w:val="en-US" w:eastAsia="zh-CN"/>
        </w:rPr>
        <w:t>及筛分</w:t>
      </w:r>
      <w:r>
        <w:rPr>
          <w:rFonts w:hint="default" w:ascii="Times New Roman" w:hAnsi="Times New Roman" w:cs="Times New Roman" w:eastAsiaTheme="minorEastAsia"/>
          <w:color w:val="auto"/>
          <w:highlight w:val="none"/>
          <w:lang w:val="en-US" w:eastAsia="zh-CN"/>
        </w:rPr>
        <w:t>产生的粉尘、胶带机运输矿石产生的粉尘和破碎筛分等设备产生的噪声。</w:t>
      </w:r>
    </w:p>
    <w:p w14:paraId="14483F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③在浮选、精选工段，主要污染物为废水、噪声。</w:t>
      </w:r>
    </w:p>
    <w:p w14:paraId="185302F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④在尾矿库中主要污染源为排入尾矿库的尾矿渣、废水和尾矿库堆放尾矿产生的扬尘。具体工艺流程及产污环节见图3.1-1。</w:t>
      </w:r>
    </w:p>
    <w:p w14:paraId="79CD6E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highlight w:val="none"/>
        </w:rPr>
      </w:pPr>
    </w:p>
    <w:p w14:paraId="657FAF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 xml:space="preserve">图3.1-1  </w:t>
      </w:r>
      <w:r>
        <w:rPr>
          <w:rFonts w:hint="eastAsia" w:ascii="Times New Roman" w:hAnsi="Times New Roman" w:cs="Times New Roman"/>
          <w:b/>
          <w:bCs/>
          <w:color w:val="auto"/>
          <w:highlight w:val="none"/>
          <w:lang w:val="en-US" w:eastAsia="zh-CN"/>
        </w:rPr>
        <w:t>原有工程选矿</w:t>
      </w:r>
      <w:r>
        <w:rPr>
          <w:rFonts w:hint="default" w:ascii="Times New Roman" w:hAnsi="Times New Roman" w:cs="Times New Roman"/>
          <w:b/>
          <w:bCs/>
          <w:color w:val="auto"/>
          <w:highlight w:val="none"/>
          <w:lang w:val="en-US" w:eastAsia="zh-CN"/>
        </w:rPr>
        <w:t>工艺流程</w:t>
      </w:r>
      <w:r>
        <w:rPr>
          <w:rFonts w:hint="eastAsia" w:cs="Times New Roman"/>
          <w:b/>
          <w:bCs/>
          <w:color w:val="auto"/>
          <w:highlight w:val="none"/>
          <w:lang w:val="en-US" w:eastAsia="zh-CN"/>
        </w:rPr>
        <w:t>图</w:t>
      </w:r>
    </w:p>
    <w:p w14:paraId="0CD7C3EC">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原有工程尾矿库</w:t>
      </w:r>
    </w:p>
    <w:p w14:paraId="5B5C2E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尾矿库建设内容在《鄯善县厚望铜矿有限责任公司铜选厂项目》中提及，该项目于</w:t>
      </w:r>
      <w:r>
        <w:rPr>
          <w:rFonts w:hint="default" w:ascii="Times New Roman" w:hAnsi="Times New Roman" w:cs="Times New Roman" w:eastAsiaTheme="minorEastAsia"/>
          <w:color w:val="auto"/>
          <w:highlight w:val="none"/>
          <w:lang w:val="en-US" w:eastAsia="zh-CN"/>
        </w:rPr>
        <w:t>2007年9月取得原鄯善县环境保护局《关于</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鄯善县厚望铜矿有限责任公司铜选厂项目环境影响报告书</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的审批意见》（鄯政环〔2007〕106号），该项目于2008年建成并投入试运营，于2008年11月通过鄯善县环保局对该项目的竣工环境保护验收，验收意见（环验〔2008〕34号）见附件3</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尾矿库总库容为93.67万m</w:t>
      </w:r>
      <w:r>
        <w:rPr>
          <w:rFonts w:hint="default" w:ascii="Times New Roman" w:hAnsi="Times New Roman" w:cs="Times New Roman" w:eastAsiaTheme="minorEastAsia"/>
          <w:color w:val="auto"/>
          <w:highlight w:val="none"/>
          <w:vertAlign w:val="superscript"/>
          <w:lang w:val="en-US" w:eastAsia="zh-CN"/>
        </w:rPr>
        <w:t>3</w:t>
      </w:r>
      <w:r>
        <w:rPr>
          <w:rFonts w:hint="default" w:ascii="Times New Roman" w:hAnsi="Times New Roman" w:cs="Times New Roman" w:eastAsiaTheme="minorEastAsia"/>
          <w:color w:val="auto"/>
          <w:highlight w:val="none"/>
          <w:lang w:val="en-US" w:eastAsia="zh-CN"/>
        </w:rPr>
        <w:t>，尾矿库挖深平均3.0</w:t>
      </w:r>
      <w:r>
        <w:rPr>
          <w:rFonts w:hint="eastAsia" w:cs="Times New Roman" w:eastAsiaTheme="minorEastAsia"/>
          <w:color w:val="auto"/>
          <w:highlight w:val="none"/>
          <w:lang w:val="en-US" w:eastAsia="zh-CN"/>
        </w:rPr>
        <w:t>m</w:t>
      </w:r>
      <w:r>
        <w:rPr>
          <w:rFonts w:hint="default" w:ascii="Times New Roman" w:hAnsi="Times New Roman" w:cs="Times New Roman" w:eastAsiaTheme="minorEastAsia"/>
          <w:color w:val="auto"/>
          <w:highlight w:val="none"/>
          <w:lang w:val="en-US" w:eastAsia="zh-CN"/>
        </w:rPr>
        <w:t>在地表筑坝高5.0m，最终坝轴线长746m，坝体内坡坡比1</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1.75，外坡坡比1</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2.0，坝顶宽5.0m。防渗：尾矿坝内坡采用500g/m</w:t>
      </w:r>
      <w:r>
        <w:rPr>
          <w:rFonts w:hint="default" w:ascii="Times New Roman" w:hAnsi="Times New Roman" w:cs="Times New Roman" w:eastAsiaTheme="minorEastAsia"/>
          <w:color w:val="auto"/>
          <w:highlight w:val="none"/>
          <w:vertAlign w:val="superscript"/>
          <w:lang w:val="en-US" w:eastAsia="zh-CN"/>
        </w:rPr>
        <w:t>2</w:t>
      </w:r>
      <w:r>
        <w:rPr>
          <w:rFonts w:hint="default" w:ascii="Times New Roman" w:hAnsi="Times New Roman" w:cs="Times New Roman" w:eastAsiaTheme="minorEastAsia"/>
          <w:color w:val="auto"/>
          <w:highlight w:val="none"/>
          <w:lang w:val="en-US" w:eastAsia="zh-CN"/>
        </w:rPr>
        <w:t>的土工布进行防渗处理，坝体内坡采用</w:t>
      </w:r>
      <w:r>
        <w:rPr>
          <w:rFonts w:hint="eastAsia" w:cs="Times New Roman" w:eastAsiaTheme="minorEastAsia"/>
          <w:color w:val="auto"/>
          <w:highlight w:val="none"/>
          <w:lang w:val="en-US" w:eastAsia="zh-CN"/>
        </w:rPr>
        <w:t>砂砾</w:t>
      </w:r>
      <w:r>
        <w:rPr>
          <w:rFonts w:hint="default" w:ascii="Times New Roman" w:hAnsi="Times New Roman" w:cs="Times New Roman" w:eastAsiaTheme="minorEastAsia"/>
          <w:color w:val="auto"/>
          <w:highlight w:val="none"/>
          <w:lang w:val="en-US" w:eastAsia="zh-CN"/>
        </w:rPr>
        <w:t>护坡，外坡根据当地生态环境管理部门的要求采用红砖或者喷浆护坡。回水：尾矿库回水采用囤船泵站，回水管用150mm的无缝钢管，回水泵选用两台水泵，</w:t>
      </w:r>
      <w:r>
        <w:rPr>
          <w:rFonts w:hint="eastAsia" w:cs="Times New Roman" w:eastAsiaTheme="minorEastAsia"/>
          <w:color w:val="auto"/>
          <w:highlight w:val="none"/>
          <w:lang w:val="en-US" w:eastAsia="zh-CN"/>
        </w:rPr>
        <w:t>扬程</w:t>
      </w:r>
      <w:r>
        <w:rPr>
          <w:rFonts w:hint="default" w:ascii="Times New Roman" w:hAnsi="Times New Roman" w:cs="Times New Roman" w:eastAsiaTheme="minorEastAsia"/>
          <w:color w:val="auto"/>
          <w:highlight w:val="none"/>
          <w:lang w:val="en-US" w:eastAsia="zh-CN"/>
        </w:rPr>
        <w:t>35m，库内回水采用囤船式泵站</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回水管</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回水储水池方案。</w:t>
      </w:r>
    </w:p>
    <w:p w14:paraId="6E3DC3E7">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r>
        <w:rPr>
          <w:rFonts w:hint="eastAsia" w:cs="Times New Roman"/>
          <w:color w:val="auto"/>
          <w:highlight w:val="none"/>
          <w:lang w:val="en-US" w:eastAsia="zh-CN"/>
        </w:rPr>
        <w:t>9</w:t>
      </w:r>
      <w:r>
        <w:rPr>
          <w:rFonts w:hint="default" w:ascii="Times New Roman" w:hAnsi="Times New Roman" w:cs="Times New Roman"/>
          <w:color w:val="auto"/>
          <w:highlight w:val="none"/>
          <w:lang w:val="en-US" w:eastAsia="zh-CN"/>
        </w:rPr>
        <w:t>原有工程</w:t>
      </w:r>
      <w:r>
        <w:rPr>
          <w:rFonts w:hint="default" w:ascii="Times New Roman" w:hAnsi="Times New Roman" w:cs="Times New Roman"/>
          <w:color w:val="auto"/>
          <w:highlight w:val="none"/>
        </w:rPr>
        <w:t>平面布置图</w:t>
      </w:r>
    </w:p>
    <w:p w14:paraId="4D87C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原有工程位于新疆鄯善县矿产加工区内。原矿堆场布置在选矿厂</w:t>
      </w:r>
      <w:r>
        <w:rPr>
          <w:rFonts w:hint="eastAsia" w:cs="Times New Roman" w:eastAsiaTheme="minorEastAsia"/>
          <w:color w:val="auto"/>
          <w:highlight w:val="none"/>
          <w:lang w:val="en-US" w:eastAsia="zh-CN"/>
        </w:rPr>
        <w:t xml:space="preserve"> </w:t>
      </w:r>
      <w:r>
        <w:rPr>
          <w:rFonts w:hint="default" w:ascii="Times New Roman" w:hAnsi="Times New Roman" w:cs="Times New Roman" w:eastAsiaTheme="minorEastAsia"/>
          <w:color w:val="auto"/>
          <w:highlight w:val="none"/>
          <w:lang w:val="en-US" w:eastAsia="zh-CN"/>
        </w:rPr>
        <w:t>的北侧；破碎、筛分</w:t>
      </w:r>
      <w:r>
        <w:rPr>
          <w:rFonts w:hint="eastAsia" w:cs="Times New Roman" w:eastAsiaTheme="minorEastAsia"/>
          <w:color w:val="auto"/>
          <w:highlight w:val="none"/>
          <w:lang w:val="en-US" w:eastAsia="zh-CN"/>
        </w:rPr>
        <w:t>装置</w:t>
      </w:r>
      <w:r>
        <w:rPr>
          <w:rFonts w:hint="default" w:ascii="Times New Roman" w:hAnsi="Times New Roman" w:cs="Times New Roman" w:eastAsiaTheme="minorEastAsia"/>
          <w:color w:val="auto"/>
          <w:highlight w:val="none"/>
          <w:lang w:val="en-US" w:eastAsia="zh-CN"/>
        </w:rPr>
        <w:t>布置在场地西侧，紧邻原矿堆场，为便于破碎后的矿石送往粉矿仓；过滤脱水机布置在主厂房的南侧；生活、办公区布置在选矿厂东北侧。尾矿库位于工业场地南侧。</w:t>
      </w:r>
    </w:p>
    <w:p w14:paraId="42617485">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3.1.10 污染防治措施及污染物排放</w:t>
      </w:r>
    </w:p>
    <w:p w14:paraId="446D35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2019年，自有矿源大平梁铜矿开采完毕后，选矿厂停产至今未生产，</w:t>
      </w:r>
      <w:r>
        <w:rPr>
          <w:rFonts w:hint="eastAsia" w:cs="Times New Roman" w:eastAsiaTheme="minorEastAsia"/>
          <w:color w:val="auto"/>
          <w:highlight w:val="none"/>
          <w:lang w:val="en-US" w:eastAsia="zh-CN"/>
        </w:rPr>
        <w:t>无污染物排放，</w:t>
      </w:r>
      <w:r>
        <w:rPr>
          <w:rFonts w:hint="default" w:ascii="Times New Roman" w:hAnsi="Times New Roman" w:cs="Times New Roman" w:eastAsiaTheme="minorEastAsia"/>
          <w:color w:val="auto"/>
          <w:highlight w:val="none"/>
          <w:lang w:val="en-US" w:eastAsia="zh-CN"/>
        </w:rPr>
        <w:t>没有进行例行监测。</w:t>
      </w:r>
    </w:p>
    <w:p w14:paraId="340B9B4D">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3.1.11 主要环境问题及整改要求</w:t>
      </w:r>
    </w:p>
    <w:p w14:paraId="568C92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鄯善县厚旺铜矿有限责任公司铜选厂</w:t>
      </w:r>
      <w:r>
        <w:rPr>
          <w:rFonts w:hint="eastAsia" w:cs="Times New Roman" w:eastAsiaTheme="minorEastAsia"/>
          <w:color w:val="auto"/>
          <w:highlight w:val="none"/>
          <w:lang w:val="en-US" w:eastAsia="zh-CN"/>
        </w:rPr>
        <w:t>自2019年起</w:t>
      </w:r>
      <w:r>
        <w:rPr>
          <w:rFonts w:hint="default" w:ascii="Times New Roman" w:hAnsi="Times New Roman" w:cs="Times New Roman" w:eastAsiaTheme="minorEastAsia"/>
          <w:color w:val="auto"/>
          <w:highlight w:val="none"/>
          <w:lang w:val="en-US" w:eastAsia="zh-CN"/>
        </w:rPr>
        <w:t>停产</w:t>
      </w:r>
      <w:r>
        <w:rPr>
          <w:rFonts w:hint="eastAsia" w:cs="Times New Roman" w:eastAsiaTheme="minorEastAsia"/>
          <w:color w:val="auto"/>
          <w:highlight w:val="none"/>
          <w:lang w:val="en-US" w:eastAsia="zh-CN"/>
        </w:rPr>
        <w:t>至今</w:t>
      </w:r>
      <w:r>
        <w:rPr>
          <w:rFonts w:hint="default" w:ascii="Times New Roman" w:hAnsi="Times New Roman" w:cs="Times New Roman" w:eastAsiaTheme="minorEastAsia"/>
          <w:color w:val="auto"/>
          <w:highlight w:val="none"/>
          <w:lang w:val="en-US" w:eastAsia="zh-CN"/>
        </w:rPr>
        <w:t>，依托及改造工程</w:t>
      </w:r>
      <w:r>
        <w:rPr>
          <w:rFonts w:hint="eastAsia" w:cs="Times New Roman" w:eastAsiaTheme="minorEastAsia"/>
          <w:color w:val="auto"/>
          <w:highlight w:val="none"/>
          <w:lang w:val="en-US" w:eastAsia="zh-CN"/>
        </w:rPr>
        <w:t>产排污情况</w:t>
      </w:r>
      <w:r>
        <w:rPr>
          <w:rFonts w:hint="default" w:ascii="Times New Roman" w:hAnsi="Times New Roman" w:cs="Times New Roman" w:eastAsiaTheme="minorEastAsia"/>
          <w:color w:val="auto"/>
          <w:highlight w:val="none"/>
          <w:lang w:val="en-US" w:eastAsia="zh-CN"/>
        </w:rPr>
        <w:t>纳入本</w:t>
      </w:r>
      <w:r>
        <w:rPr>
          <w:rFonts w:hint="eastAsia" w:cs="Times New Roman" w:eastAsiaTheme="minorEastAsia"/>
          <w:color w:val="auto"/>
          <w:highlight w:val="none"/>
          <w:lang w:val="en-US" w:eastAsia="zh-CN"/>
        </w:rPr>
        <w:t>次</w:t>
      </w:r>
      <w:r>
        <w:rPr>
          <w:rFonts w:hint="default" w:ascii="Times New Roman" w:hAnsi="Times New Roman" w:cs="Times New Roman" w:eastAsiaTheme="minorEastAsia"/>
          <w:color w:val="auto"/>
          <w:highlight w:val="none"/>
          <w:lang w:val="en-US" w:eastAsia="zh-CN"/>
        </w:rPr>
        <w:t>评价。</w:t>
      </w:r>
    </w:p>
    <w:p w14:paraId="75EFD2B7">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96" w:name="_Toc3159"/>
      <w:bookmarkStart w:id="97" w:name="_Toc18161"/>
      <w:bookmarkStart w:id="98" w:name="_Toc252826077"/>
      <w:bookmarkStart w:id="99" w:name="_Toc252885186"/>
      <w:bookmarkStart w:id="100" w:name="_Toc253135416"/>
      <w:bookmarkStart w:id="101" w:name="_Toc256151662"/>
      <w:r>
        <w:rPr>
          <w:rFonts w:hint="default" w:ascii="Times New Roman" w:hAnsi="Times New Roman" w:eastAsia="宋体" w:cs="Times New Roman"/>
          <w:color w:val="auto"/>
          <w:highlight w:val="none"/>
        </w:rPr>
        <w:t>3.2 建设项目概况</w:t>
      </w:r>
      <w:bookmarkEnd w:id="96"/>
      <w:bookmarkEnd w:id="97"/>
    </w:p>
    <w:p w14:paraId="39CF02B8">
      <w:pPr>
        <w:pStyle w:val="4"/>
        <w:pageBreakBefore w:val="0"/>
        <w:widowControl w:val="0"/>
        <w:kinsoku/>
        <w:wordWrap/>
        <w:overflowPunct/>
        <w:topLinePunct w:val="0"/>
        <w:autoSpaceDE/>
        <w:autoSpaceDN/>
        <w:bidi w:val="0"/>
        <w:adjustRightInd w:val="0"/>
        <w:snapToGrid w:val="0"/>
        <w:spacing w:line="360" w:lineRule="auto"/>
        <w:ind w:left="0" w:leftChars="0" w:right="0" w:firstLine="723" w:firstLineChars="3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3.2.1项目基本情况</w:t>
      </w:r>
    </w:p>
    <w:p w14:paraId="446EAE31">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lang w:eastAsia="zh-CN"/>
        </w:rPr>
        <w:t>鄯善县厚旺铜矿有限责任公司年产3000吨阴极铜技术改造项目</w:t>
      </w:r>
    </w:p>
    <w:p w14:paraId="1C63EFF6">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eastAsia="zh-CN"/>
        </w:rPr>
        <w:t>鄯善县厚旺铜矿有限责任公司</w:t>
      </w:r>
    </w:p>
    <w:p w14:paraId="245DB455">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建设性质：</w:t>
      </w:r>
      <w:r>
        <w:rPr>
          <w:rFonts w:hint="eastAsia" w:cs="Times New Roman"/>
          <w:color w:val="auto"/>
          <w:highlight w:val="none"/>
          <w:lang w:val="en-US" w:eastAsia="zh-CN"/>
        </w:rPr>
        <w:t>技改</w:t>
      </w:r>
    </w:p>
    <w:p w14:paraId="372FC85B">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行业类别：</w:t>
      </w:r>
      <w:r>
        <w:rPr>
          <w:rFonts w:hint="default" w:ascii="Times New Roman" w:hAnsi="Times New Roman" w:cs="Times New Roman"/>
          <w:color w:val="auto"/>
          <w:highlight w:val="none"/>
          <w:lang w:val="en-US" w:eastAsia="zh-CN"/>
        </w:rPr>
        <w:t>C3211铜冶炼</w:t>
      </w:r>
    </w:p>
    <w:p w14:paraId="3EFB41D1">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建设地点：项目位于</w:t>
      </w:r>
      <w:r>
        <w:rPr>
          <w:rFonts w:hint="default" w:ascii="Times New Roman" w:hAnsi="Times New Roman" w:cs="Times New Roman"/>
          <w:color w:val="auto"/>
          <w:highlight w:val="none"/>
          <w:lang w:eastAsia="zh-CN"/>
        </w:rPr>
        <w:t>鄯善县厚旺铜矿有限责任公司现有厂区内</w:t>
      </w:r>
      <w:r>
        <w:rPr>
          <w:rFonts w:hint="default" w:ascii="Times New Roman" w:hAnsi="Times New Roman" w:cs="Times New Roman"/>
          <w:color w:val="auto"/>
          <w:highlight w:val="none"/>
          <w:lang w:val="zh-CN"/>
        </w:rPr>
        <w:t>，地理位置中心坐标为：东经89°49′37.859″，北纬42°37′11.690″，</w:t>
      </w:r>
      <w:r>
        <w:rPr>
          <w:rFonts w:hint="default" w:ascii="Times New Roman" w:hAnsi="Times New Roman" w:cs="Times New Roman"/>
          <w:color w:val="auto"/>
          <w:highlight w:val="none"/>
        </w:rPr>
        <w:t>地理位置见</w:t>
      </w:r>
      <w:r>
        <w:rPr>
          <w:rFonts w:hint="default" w:ascii="Times New Roman" w:hAnsi="Times New Roman" w:cs="Times New Roman"/>
          <w:color w:val="auto"/>
          <w:highlight w:val="none"/>
          <w:lang w:val="en-US" w:eastAsia="zh-CN"/>
        </w:rPr>
        <w:t>附图3</w:t>
      </w:r>
      <w:r>
        <w:rPr>
          <w:rFonts w:hint="default" w:ascii="Times New Roman" w:hAnsi="Times New Roman" w:cs="Times New Roman"/>
          <w:color w:val="auto"/>
          <w:highlight w:val="none"/>
          <w:lang w:val="zh-CN"/>
        </w:rPr>
        <w:t>。项目北</w:t>
      </w:r>
      <w:r>
        <w:rPr>
          <w:rFonts w:hint="default" w:ascii="Times New Roman" w:hAnsi="Times New Roman" w:cs="Times New Roman"/>
          <w:color w:val="auto"/>
          <w:highlight w:val="none"/>
          <w:lang w:val="en-US" w:eastAsia="zh-CN"/>
        </w:rPr>
        <w:t>侧500m</w:t>
      </w:r>
      <w:r>
        <w:rPr>
          <w:rFonts w:hint="default" w:ascii="Times New Roman" w:hAnsi="Times New Roman" w:cs="Times New Roman"/>
          <w:color w:val="auto"/>
          <w:highlight w:val="none"/>
          <w:lang w:val="zh-CN"/>
        </w:rPr>
        <w:t>处为农田，</w:t>
      </w:r>
      <w:r>
        <w:rPr>
          <w:rFonts w:hint="default" w:ascii="Times New Roman" w:hAnsi="Times New Roman" w:cs="Times New Roman"/>
          <w:color w:val="auto"/>
          <w:highlight w:val="none"/>
          <w:lang w:val="en-US" w:eastAsia="zh-CN"/>
        </w:rPr>
        <w:t>东侧为新疆新华联凌云矿业有限公司，西侧</w:t>
      </w:r>
      <w:r>
        <w:rPr>
          <w:rFonts w:hint="default" w:ascii="Times New Roman" w:hAnsi="Times New Roman" w:cs="Times New Roman"/>
          <w:color w:val="auto"/>
          <w:highlight w:val="none"/>
          <w:lang w:val="zh-CN"/>
        </w:rPr>
        <w:t>和</w:t>
      </w:r>
      <w:r>
        <w:rPr>
          <w:rFonts w:hint="default" w:ascii="Times New Roman" w:hAnsi="Times New Roman" w:cs="Times New Roman"/>
          <w:color w:val="auto"/>
          <w:highlight w:val="none"/>
          <w:lang w:val="en-US" w:eastAsia="zh-CN"/>
        </w:rPr>
        <w:t>南侧</w:t>
      </w:r>
      <w:r>
        <w:rPr>
          <w:rFonts w:hint="default" w:ascii="Times New Roman" w:hAnsi="Times New Roman" w:cs="Times New Roman"/>
          <w:color w:val="auto"/>
          <w:highlight w:val="none"/>
          <w:lang w:val="zh-CN"/>
        </w:rPr>
        <w:t>均</w:t>
      </w:r>
      <w:r>
        <w:rPr>
          <w:rFonts w:hint="eastAsia" w:cs="Times New Roman"/>
          <w:color w:val="auto"/>
          <w:highlight w:val="none"/>
          <w:lang w:val="en-US" w:eastAsia="zh-CN"/>
        </w:rPr>
        <w:t>为</w:t>
      </w:r>
      <w:r>
        <w:rPr>
          <w:rFonts w:hint="default" w:ascii="Times New Roman" w:hAnsi="Times New Roman" w:cs="Times New Roman"/>
          <w:color w:val="auto"/>
          <w:highlight w:val="none"/>
          <w:lang w:val="zh-CN"/>
        </w:rPr>
        <w:t>戈壁滩和沙丘。</w:t>
      </w:r>
    </w:p>
    <w:p w14:paraId="3E510E0F">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w:t>
      </w:r>
      <w:r>
        <w:rPr>
          <w:rFonts w:hint="default" w:ascii="Times New Roman" w:hAnsi="Times New Roman" w:cs="Times New Roman"/>
          <w:color w:val="auto"/>
          <w:highlight w:val="none"/>
          <w:lang w:val="en-US" w:eastAsia="zh-CN"/>
        </w:rPr>
        <w:t>内容及</w:t>
      </w:r>
      <w:r>
        <w:rPr>
          <w:rFonts w:hint="default" w:ascii="Times New Roman" w:hAnsi="Times New Roman" w:cs="Times New Roman"/>
          <w:color w:val="auto"/>
          <w:highlight w:val="none"/>
        </w:rPr>
        <w:t>规模：利用厂区现有破碎筛分系统，将原1#车间改造为电积铜车间，新建浸出车间和萃铜车间，技改后项目年处理</w:t>
      </w:r>
      <w:r>
        <w:rPr>
          <w:rFonts w:hint="eastAsia" w:cs="Times New Roman"/>
          <w:color w:val="auto"/>
          <w:highlight w:val="none"/>
          <w:lang w:val="en-US" w:eastAsia="zh-CN"/>
        </w:rPr>
        <w:t>低品位</w:t>
      </w:r>
      <w:r>
        <w:rPr>
          <w:rFonts w:hint="default" w:ascii="Times New Roman" w:hAnsi="Times New Roman" w:cs="Times New Roman"/>
          <w:color w:val="auto"/>
          <w:highlight w:val="none"/>
        </w:rPr>
        <w:t>氧化铜矿石50万吨，产出阴极铜产品3000吨。</w:t>
      </w:r>
    </w:p>
    <w:p w14:paraId="74A99DD8">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项目总投资：总投资5000万元，其中环保投资为</w:t>
      </w:r>
      <w:r>
        <w:rPr>
          <w:rFonts w:hint="eastAsia" w:cs="Times New Roman"/>
          <w:color w:val="auto"/>
          <w:highlight w:val="none"/>
          <w:lang w:eastAsia="zh-CN"/>
        </w:rPr>
        <w:t>276万</w:t>
      </w:r>
      <w:r>
        <w:rPr>
          <w:rFonts w:hint="default" w:ascii="Times New Roman" w:hAnsi="Times New Roman" w:cs="Times New Roman"/>
          <w:color w:val="auto"/>
          <w:highlight w:val="none"/>
        </w:rPr>
        <w:t>元，占项目总投资的</w:t>
      </w:r>
      <w:r>
        <w:rPr>
          <w:rFonts w:hint="eastAsia" w:cs="Times New Roman"/>
          <w:color w:val="auto"/>
          <w:highlight w:val="none"/>
          <w:lang w:eastAsia="zh-CN"/>
        </w:rPr>
        <w:t>5.52%</w:t>
      </w:r>
      <w:r>
        <w:rPr>
          <w:rFonts w:hint="default" w:ascii="Times New Roman" w:hAnsi="Times New Roman" w:cs="Times New Roman"/>
          <w:color w:val="auto"/>
          <w:highlight w:val="none"/>
        </w:rPr>
        <w:t>。</w:t>
      </w:r>
    </w:p>
    <w:p w14:paraId="3A7B7F0F">
      <w:pPr>
        <w:pStyle w:val="9"/>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占地面积：</w:t>
      </w:r>
      <w:bookmarkStart w:id="102" w:name="_Hlk143199546"/>
      <w:r>
        <w:rPr>
          <w:rFonts w:hint="default" w:ascii="Times New Roman" w:hAnsi="Times New Roman" w:cs="Times New Roman"/>
          <w:color w:val="auto"/>
          <w:highlight w:val="none"/>
          <w:lang w:eastAsia="zh-CN"/>
        </w:rPr>
        <w:t>73333m</w:t>
      </w:r>
      <w:r>
        <w:rPr>
          <w:rFonts w:hint="default" w:ascii="Times New Roman" w:hAnsi="Times New Roman" w:cs="Times New Roman"/>
          <w:color w:val="auto"/>
          <w:highlight w:val="none"/>
          <w:vertAlign w:val="superscript"/>
        </w:rPr>
        <w:t>2</w:t>
      </w:r>
      <w:bookmarkEnd w:id="102"/>
      <w:r>
        <w:rPr>
          <w:rFonts w:hint="default" w:ascii="Times New Roman" w:hAnsi="Times New Roman" w:cs="Times New Roman"/>
          <w:color w:val="auto"/>
          <w:highlight w:val="none"/>
        </w:rPr>
        <w:t>。</w:t>
      </w:r>
    </w:p>
    <w:p w14:paraId="1BE9CCB3">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劳动员及工作制度：企业员工</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人，</w:t>
      </w:r>
      <w:r>
        <w:rPr>
          <w:rFonts w:hint="default" w:ascii="Times New Roman" w:hAnsi="Times New Roman" w:cs="Times New Roman"/>
          <w:color w:val="auto"/>
          <w:highlight w:val="none"/>
          <w:lang w:val="en-US" w:eastAsia="zh-CN"/>
        </w:rPr>
        <w:t>每日3班</w:t>
      </w:r>
      <w:r>
        <w:rPr>
          <w:rFonts w:hint="default" w:ascii="Times New Roman" w:hAnsi="Times New Roman" w:cs="Times New Roman"/>
          <w:color w:val="auto"/>
          <w:highlight w:val="none"/>
        </w:rPr>
        <w:t>，每班8小时，全年工作</w:t>
      </w:r>
      <w:r>
        <w:rPr>
          <w:rFonts w:hint="default" w:ascii="Times New Roman" w:hAnsi="Times New Roman" w:cs="Times New Roman"/>
          <w:color w:val="auto"/>
          <w:highlight w:val="none"/>
          <w:lang w:val="en-US" w:eastAsia="zh-CN"/>
        </w:rPr>
        <w:t>250</w:t>
      </w:r>
      <w:r>
        <w:rPr>
          <w:rFonts w:hint="default" w:ascii="Times New Roman" w:hAnsi="Times New Roman" w:cs="Times New Roman"/>
          <w:color w:val="auto"/>
          <w:highlight w:val="none"/>
        </w:rPr>
        <w:t>天，年运行时长</w:t>
      </w:r>
      <w:r>
        <w:rPr>
          <w:rFonts w:hint="default" w:ascii="Times New Roman" w:hAnsi="Times New Roman" w:cs="Times New Roman"/>
          <w:color w:val="auto"/>
          <w:highlight w:val="none"/>
          <w:lang w:val="en-US" w:eastAsia="zh-CN"/>
        </w:rPr>
        <w:t>6000</w:t>
      </w:r>
      <w:r>
        <w:rPr>
          <w:rFonts w:hint="default" w:ascii="Times New Roman" w:hAnsi="Times New Roman" w:cs="Times New Roman"/>
          <w:color w:val="auto"/>
          <w:highlight w:val="none"/>
        </w:rPr>
        <w:t>h，各生产装置为连续性生产。</w:t>
      </w:r>
    </w:p>
    <w:p w14:paraId="0EC70250">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3.2.2建设内容</w:t>
      </w:r>
    </w:p>
    <w:p w14:paraId="796203CF">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（1）工程组成</w:t>
      </w:r>
    </w:p>
    <w:p w14:paraId="068A9B25">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建设内容主要包括主体工程、储运工程、辅助工程、公用工程及环保工程。</w:t>
      </w:r>
      <w:r>
        <w:rPr>
          <w:rFonts w:hint="eastAsia" w:cs="Times New Roman"/>
          <w:color w:val="auto"/>
          <w:highlight w:val="none"/>
          <w:lang w:val="en-US" w:eastAsia="zh-CN"/>
        </w:rPr>
        <w:t>本</w:t>
      </w:r>
      <w:r>
        <w:rPr>
          <w:rFonts w:hint="default" w:ascii="Times New Roman" w:hAnsi="Times New Roman" w:cs="Times New Roman"/>
          <w:color w:val="auto"/>
          <w:highlight w:val="none"/>
        </w:rPr>
        <w:t>项目主要建设内容及规模详见表3.2-1。</w:t>
      </w:r>
    </w:p>
    <w:p w14:paraId="3CD9A0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表3.</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-1    主要建设内容一览表</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2"/>
        <w:gridCol w:w="945"/>
        <w:gridCol w:w="829"/>
        <w:gridCol w:w="4909"/>
        <w:gridCol w:w="768"/>
      </w:tblGrid>
      <w:tr w14:paraId="4AEA9C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tcBorders>
              <w:tl2br w:val="nil"/>
              <w:tr2bl w:val="nil"/>
            </w:tcBorders>
            <w:noWrap w:val="0"/>
            <w:vAlign w:val="center"/>
          </w:tcPr>
          <w:p w14:paraId="66B302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类别</w:t>
            </w:r>
          </w:p>
        </w:tc>
        <w:tc>
          <w:tcPr>
            <w:tcW w:w="569" w:type="pct"/>
            <w:tcBorders>
              <w:tl2br w:val="nil"/>
              <w:tr2bl w:val="nil"/>
            </w:tcBorders>
            <w:noWrap w:val="0"/>
            <w:vAlign w:val="center"/>
          </w:tcPr>
          <w:p w14:paraId="2475BB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名称</w:t>
            </w:r>
          </w:p>
        </w:tc>
        <w:tc>
          <w:tcPr>
            <w:tcW w:w="3454" w:type="pct"/>
            <w:gridSpan w:val="2"/>
            <w:tcBorders>
              <w:tl2br w:val="nil"/>
              <w:tr2bl w:val="nil"/>
            </w:tcBorders>
            <w:noWrap w:val="0"/>
            <w:vAlign w:val="center"/>
          </w:tcPr>
          <w:p w14:paraId="2BC312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建设内容</w:t>
            </w:r>
          </w:p>
        </w:tc>
        <w:tc>
          <w:tcPr>
            <w:tcW w:w="462" w:type="pct"/>
            <w:tcBorders>
              <w:tl2br w:val="nil"/>
              <w:tr2bl w:val="nil"/>
            </w:tcBorders>
            <w:noWrap w:val="0"/>
            <w:vAlign w:val="center"/>
          </w:tcPr>
          <w:p w14:paraId="7013AA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r>
      <w:tr w14:paraId="058D75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restart"/>
            <w:tcBorders>
              <w:tl2br w:val="nil"/>
              <w:tr2bl w:val="nil"/>
            </w:tcBorders>
            <w:noWrap w:val="0"/>
            <w:vAlign w:val="center"/>
          </w:tcPr>
          <w:p w14:paraId="0727D0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主体工程</w:t>
            </w:r>
          </w:p>
        </w:tc>
        <w:tc>
          <w:tcPr>
            <w:tcW w:w="569" w:type="pct"/>
            <w:vMerge w:val="restart"/>
            <w:tcBorders>
              <w:tl2br w:val="nil"/>
              <w:tr2bl w:val="nil"/>
            </w:tcBorders>
            <w:noWrap w:val="0"/>
            <w:vAlign w:val="center"/>
          </w:tcPr>
          <w:p w14:paraId="2894E2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浸出过滤萃取车间</w:t>
            </w:r>
          </w:p>
        </w:tc>
        <w:tc>
          <w:tcPr>
            <w:tcW w:w="499" w:type="pct"/>
            <w:tcBorders>
              <w:tl2br w:val="nil"/>
              <w:tr2bl w:val="nil"/>
            </w:tcBorders>
            <w:noWrap w:val="0"/>
            <w:vAlign w:val="center"/>
          </w:tcPr>
          <w:p w14:paraId="6EAE59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浸出间</w:t>
            </w:r>
          </w:p>
        </w:tc>
        <w:tc>
          <w:tcPr>
            <w:tcW w:w="2954" w:type="pct"/>
            <w:tcBorders>
              <w:tl2br w:val="nil"/>
              <w:tr2bl w:val="nil"/>
            </w:tcBorders>
            <w:noWrap w:val="0"/>
            <w:vAlign w:val="center"/>
          </w:tcPr>
          <w:p w14:paraId="5A037B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钢结构，</w:t>
            </w:r>
            <w:r>
              <w:rPr>
                <w:rFonts w:hint="default" w:ascii="Times New Roman" w:hAnsi="Times New Roman" w:eastAsia="宋体" w:cs="Times New Roman"/>
                <w:color w:val="auto"/>
                <w:sz w:val="21"/>
                <w:szCs w:val="21"/>
                <w:highlight w:val="none"/>
                <w:lang w:val="en-US" w:eastAsia="zh-CN"/>
              </w:rPr>
              <w:t>占地面积</w:t>
            </w:r>
            <w:r>
              <w:rPr>
                <w:rFonts w:hint="default" w:ascii="Times New Roman" w:hAnsi="Times New Roman" w:eastAsia="宋体" w:cs="Times New Roman"/>
                <w:color w:val="auto"/>
                <w:sz w:val="21"/>
                <w:szCs w:val="21"/>
                <w:highlight w:val="none"/>
                <w:lang w:eastAsia="zh-CN"/>
              </w:rPr>
              <w:t>432</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层，高</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eastAsia="zh-CN"/>
              </w:rPr>
              <w:t>12</w:t>
            </w:r>
            <w:r>
              <w:rPr>
                <w:rFonts w:hint="default" w:ascii="Times New Roman" w:hAnsi="Times New Roman" w:eastAsia="宋体" w:cs="Times New Roman"/>
                <w:color w:val="auto"/>
                <w:sz w:val="21"/>
                <w:szCs w:val="21"/>
                <w:highlight w:val="none"/>
                <w:lang w:val="en-US" w:eastAsia="zh-CN"/>
              </w:rPr>
              <w:t>m</w:t>
            </w:r>
          </w:p>
        </w:tc>
        <w:tc>
          <w:tcPr>
            <w:tcW w:w="462" w:type="pct"/>
            <w:vMerge w:val="restart"/>
            <w:tcBorders>
              <w:tl2br w:val="nil"/>
              <w:tr2bl w:val="nil"/>
            </w:tcBorders>
            <w:noWrap w:val="0"/>
            <w:vAlign w:val="center"/>
          </w:tcPr>
          <w:p w14:paraId="2B04E1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175746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513" w:type="pct"/>
            <w:vMerge w:val="continue"/>
            <w:tcBorders>
              <w:tl2br w:val="nil"/>
              <w:tr2bl w:val="nil"/>
            </w:tcBorders>
            <w:noWrap w:val="0"/>
            <w:vAlign w:val="center"/>
          </w:tcPr>
          <w:p w14:paraId="3270EB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vMerge w:val="continue"/>
            <w:tcBorders>
              <w:tl2br w:val="nil"/>
              <w:tr2bl w:val="nil"/>
            </w:tcBorders>
            <w:noWrap w:val="0"/>
            <w:vAlign w:val="center"/>
          </w:tcPr>
          <w:p w14:paraId="7BD4B1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99" w:type="pct"/>
            <w:tcBorders>
              <w:tl2br w:val="nil"/>
              <w:tr2bl w:val="nil"/>
            </w:tcBorders>
            <w:noWrap w:val="0"/>
            <w:vAlign w:val="center"/>
          </w:tcPr>
          <w:p w14:paraId="2ADB8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过滤间</w:t>
            </w:r>
          </w:p>
        </w:tc>
        <w:tc>
          <w:tcPr>
            <w:tcW w:w="2954" w:type="pct"/>
            <w:tcBorders>
              <w:tl2br w:val="nil"/>
              <w:tr2bl w:val="nil"/>
            </w:tcBorders>
            <w:noWrap w:val="0"/>
            <w:vAlign w:val="center"/>
          </w:tcPr>
          <w:p w14:paraId="33676A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钢结构，</w:t>
            </w:r>
            <w:r>
              <w:rPr>
                <w:rFonts w:hint="default" w:ascii="Times New Roman" w:hAnsi="Times New Roman" w:eastAsia="宋体" w:cs="Times New Roman"/>
                <w:color w:val="auto"/>
                <w:sz w:val="21"/>
                <w:szCs w:val="21"/>
                <w:highlight w:val="none"/>
                <w:lang w:val="en-US" w:eastAsia="zh-CN"/>
              </w:rPr>
              <w:t>占地面积648m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层，高7.5m</w:t>
            </w:r>
          </w:p>
        </w:tc>
        <w:tc>
          <w:tcPr>
            <w:tcW w:w="462" w:type="pct"/>
            <w:vMerge w:val="continue"/>
            <w:tcBorders>
              <w:tl2br w:val="nil"/>
              <w:tr2bl w:val="nil"/>
            </w:tcBorders>
            <w:noWrap w:val="0"/>
            <w:vAlign w:val="center"/>
          </w:tcPr>
          <w:p w14:paraId="67971B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14:paraId="5BD96B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513" w:type="pct"/>
            <w:vMerge w:val="continue"/>
            <w:tcBorders>
              <w:tl2br w:val="nil"/>
              <w:tr2bl w:val="nil"/>
            </w:tcBorders>
            <w:noWrap w:val="0"/>
            <w:vAlign w:val="center"/>
          </w:tcPr>
          <w:p w14:paraId="44746D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6B517F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99" w:type="pct"/>
            <w:tcBorders>
              <w:tl2br w:val="nil"/>
              <w:tr2bl w:val="nil"/>
            </w:tcBorders>
            <w:noWrap w:val="0"/>
            <w:vAlign w:val="center"/>
          </w:tcPr>
          <w:p w14:paraId="3CCB75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萃取间</w:t>
            </w:r>
          </w:p>
        </w:tc>
        <w:tc>
          <w:tcPr>
            <w:tcW w:w="2954" w:type="pct"/>
            <w:tcBorders>
              <w:tl2br w:val="nil"/>
              <w:tr2bl w:val="nil"/>
            </w:tcBorders>
            <w:noWrap w:val="0"/>
            <w:vAlign w:val="center"/>
          </w:tcPr>
          <w:p w14:paraId="525E0D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钢结构，</w:t>
            </w:r>
            <w:r>
              <w:rPr>
                <w:rFonts w:hint="default" w:ascii="Times New Roman" w:hAnsi="Times New Roman" w:eastAsia="宋体" w:cs="Times New Roman"/>
                <w:color w:val="auto"/>
                <w:sz w:val="21"/>
                <w:szCs w:val="21"/>
                <w:highlight w:val="none"/>
                <w:lang w:val="en-US" w:eastAsia="zh-CN"/>
              </w:rPr>
              <w:t>占地面积756</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层，高</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val="en-US" w:eastAsia="zh-CN"/>
              </w:rPr>
              <w:t>7.5m</w:t>
            </w:r>
          </w:p>
        </w:tc>
        <w:tc>
          <w:tcPr>
            <w:tcW w:w="462" w:type="pct"/>
            <w:vMerge w:val="continue"/>
            <w:tcBorders>
              <w:tl2br w:val="nil"/>
              <w:tr2bl w:val="nil"/>
            </w:tcBorders>
            <w:noWrap w:val="0"/>
            <w:vAlign w:val="center"/>
          </w:tcPr>
          <w:p w14:paraId="4CC717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14:paraId="70980E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4" w:hRule="atLeast"/>
          <w:jc w:val="center"/>
        </w:trPr>
        <w:tc>
          <w:tcPr>
            <w:tcW w:w="513" w:type="pct"/>
            <w:vMerge w:val="continue"/>
            <w:tcBorders>
              <w:tl2br w:val="nil"/>
              <w:tr2bl w:val="nil"/>
            </w:tcBorders>
            <w:noWrap w:val="0"/>
            <w:vAlign w:val="center"/>
          </w:tcPr>
          <w:p w14:paraId="0682E7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4A0877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电积车间</w:t>
            </w:r>
          </w:p>
        </w:tc>
        <w:tc>
          <w:tcPr>
            <w:tcW w:w="3454" w:type="pct"/>
            <w:gridSpan w:val="2"/>
            <w:tcBorders>
              <w:tl2br w:val="nil"/>
              <w:tr2bl w:val="nil"/>
            </w:tcBorders>
            <w:noWrap w:val="0"/>
            <w:vAlign w:val="center"/>
          </w:tcPr>
          <w:p w14:paraId="0CBE94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钢结构，</w:t>
            </w:r>
            <w:r>
              <w:rPr>
                <w:rFonts w:hint="default" w:ascii="Times New Roman" w:hAnsi="Times New Roman" w:eastAsia="宋体" w:cs="Times New Roman"/>
                <w:color w:val="auto"/>
                <w:sz w:val="21"/>
                <w:szCs w:val="21"/>
                <w:highlight w:val="none"/>
                <w:lang w:val="en-US" w:eastAsia="zh-CN"/>
              </w:rPr>
              <w:t>占地面积678m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层，高</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eastAsia="zh-CN"/>
              </w:rPr>
              <w:t>12</w:t>
            </w:r>
            <w:r>
              <w:rPr>
                <w:rFonts w:hint="default" w:ascii="Times New Roman" w:hAnsi="Times New Roman" w:eastAsia="宋体" w:cs="Times New Roman"/>
                <w:color w:val="auto"/>
                <w:sz w:val="21"/>
                <w:szCs w:val="21"/>
                <w:highlight w:val="none"/>
                <w:lang w:val="en-US" w:eastAsia="zh-CN"/>
              </w:rPr>
              <w:t>.5m，由原有1#车间改造</w:t>
            </w:r>
          </w:p>
        </w:tc>
        <w:tc>
          <w:tcPr>
            <w:tcW w:w="462" w:type="pct"/>
            <w:tcBorders>
              <w:tl2br w:val="nil"/>
              <w:tr2bl w:val="nil"/>
            </w:tcBorders>
            <w:noWrap w:val="0"/>
            <w:vAlign w:val="center"/>
          </w:tcPr>
          <w:p w14:paraId="7C1739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改造</w:t>
            </w:r>
          </w:p>
        </w:tc>
      </w:tr>
      <w:tr w14:paraId="0CC834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3" w:type="pct"/>
            <w:vMerge w:val="continue"/>
            <w:tcBorders>
              <w:tl2br w:val="nil"/>
              <w:tr2bl w:val="nil"/>
            </w:tcBorders>
            <w:noWrap w:val="0"/>
            <w:vAlign w:val="center"/>
          </w:tcPr>
          <w:p w14:paraId="1E513D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356ABF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球磨车间</w:t>
            </w:r>
          </w:p>
        </w:tc>
        <w:tc>
          <w:tcPr>
            <w:tcW w:w="3454" w:type="pct"/>
            <w:gridSpan w:val="2"/>
            <w:tcBorders>
              <w:tl2br w:val="nil"/>
              <w:tr2bl w:val="nil"/>
            </w:tcBorders>
            <w:noWrap w:val="0"/>
            <w:vAlign w:val="center"/>
          </w:tcPr>
          <w:p w14:paraId="07E306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钢结构</w:t>
            </w:r>
            <w:r>
              <w:rPr>
                <w:rFonts w:hint="eastAsia" w:cs="Times New Roman"/>
                <w:color w:val="auto"/>
                <w:sz w:val="21"/>
                <w:szCs w:val="21"/>
                <w:highlight w:val="none"/>
                <w:lang w:val="en-US" w:eastAsia="zh-CN"/>
              </w:rPr>
              <w:t>，占地面积</w:t>
            </w:r>
            <w:r>
              <w:rPr>
                <w:rFonts w:hint="default" w:ascii="Times New Roman" w:hAnsi="Times New Roman" w:eastAsia="宋体" w:cs="Times New Roman"/>
                <w:color w:val="auto"/>
                <w:sz w:val="21"/>
                <w:szCs w:val="21"/>
                <w:highlight w:val="none"/>
                <w:lang w:val="en-US" w:eastAsia="zh-CN"/>
              </w:rPr>
              <w:t>1000m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层，包含磨矿及浓密工序</w:t>
            </w:r>
          </w:p>
        </w:tc>
        <w:tc>
          <w:tcPr>
            <w:tcW w:w="462" w:type="pct"/>
            <w:tcBorders>
              <w:tl2br w:val="nil"/>
              <w:tr2bl w:val="nil"/>
            </w:tcBorders>
            <w:noWrap w:val="0"/>
            <w:vAlign w:val="center"/>
          </w:tcPr>
          <w:p w14:paraId="42A879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07CC64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3" w:type="pct"/>
            <w:vMerge w:val="continue"/>
            <w:tcBorders>
              <w:tl2br w:val="nil"/>
              <w:tr2bl w:val="nil"/>
            </w:tcBorders>
            <w:noWrap w:val="0"/>
            <w:vAlign w:val="center"/>
          </w:tcPr>
          <w:p w14:paraId="1C636D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3E4D3C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破碎</w:t>
            </w:r>
            <w:r>
              <w:rPr>
                <w:rFonts w:hint="eastAsia" w:cs="Times New Roman"/>
                <w:color w:val="auto"/>
                <w:sz w:val="21"/>
                <w:szCs w:val="21"/>
                <w:highlight w:val="none"/>
                <w:lang w:val="en-US" w:eastAsia="zh-CN"/>
              </w:rPr>
              <w:t>工序</w:t>
            </w:r>
          </w:p>
        </w:tc>
        <w:tc>
          <w:tcPr>
            <w:tcW w:w="3454" w:type="pct"/>
            <w:gridSpan w:val="2"/>
            <w:tcBorders>
              <w:tl2br w:val="nil"/>
              <w:tr2bl w:val="nil"/>
            </w:tcBorders>
            <w:noWrap w:val="0"/>
            <w:vAlign w:val="center"/>
          </w:tcPr>
          <w:p w14:paraId="7C040E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原矿堆场南侧，</w:t>
            </w:r>
            <w:r>
              <w:rPr>
                <w:rFonts w:hint="default" w:ascii="Times New Roman" w:hAnsi="Times New Roman" w:eastAsia="宋体" w:cs="Times New Roman"/>
                <w:color w:val="auto"/>
                <w:sz w:val="21"/>
                <w:szCs w:val="21"/>
                <w:highlight w:val="none"/>
                <w:lang w:val="en-US" w:eastAsia="zh-CN"/>
              </w:rPr>
              <w:t>钢结构，占地面积1000m</w:t>
            </w:r>
            <w:r>
              <w:rPr>
                <w:rFonts w:hint="default" w:ascii="Times New Roman" w:hAnsi="Times New Roman" w:eastAsia="宋体" w:cs="Times New Roman"/>
                <w:color w:val="auto"/>
                <w:sz w:val="21"/>
                <w:szCs w:val="21"/>
                <w:highlight w:val="none"/>
                <w:vertAlign w:val="superscript"/>
                <w:lang w:val="en-US" w:eastAsia="zh-CN"/>
              </w:rPr>
              <w:t>2</w:t>
            </w:r>
          </w:p>
        </w:tc>
        <w:tc>
          <w:tcPr>
            <w:tcW w:w="462" w:type="pct"/>
            <w:tcBorders>
              <w:tl2br w:val="nil"/>
              <w:tr2bl w:val="nil"/>
            </w:tcBorders>
            <w:noWrap w:val="0"/>
            <w:vAlign w:val="center"/>
          </w:tcPr>
          <w:p w14:paraId="6A40AC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w:t>
            </w:r>
          </w:p>
        </w:tc>
      </w:tr>
      <w:tr w14:paraId="5EA6B7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restart"/>
            <w:tcBorders>
              <w:tl2br w:val="nil"/>
              <w:tr2bl w:val="nil"/>
            </w:tcBorders>
            <w:noWrap w:val="0"/>
            <w:vAlign w:val="center"/>
          </w:tcPr>
          <w:p w14:paraId="0586FC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配套工程</w:t>
            </w:r>
          </w:p>
        </w:tc>
        <w:tc>
          <w:tcPr>
            <w:tcW w:w="569" w:type="pct"/>
            <w:tcBorders>
              <w:tl2br w:val="nil"/>
              <w:tr2bl w:val="nil"/>
            </w:tcBorders>
            <w:noWrap w:val="0"/>
            <w:vAlign w:val="center"/>
          </w:tcPr>
          <w:p w14:paraId="609A4D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警卫室</w:t>
            </w:r>
          </w:p>
        </w:tc>
        <w:tc>
          <w:tcPr>
            <w:tcW w:w="3454" w:type="pct"/>
            <w:gridSpan w:val="2"/>
            <w:tcBorders>
              <w:tl2br w:val="nil"/>
              <w:tr2bl w:val="nil"/>
            </w:tcBorders>
            <w:noWrap w:val="0"/>
            <w:vAlign w:val="center"/>
          </w:tcPr>
          <w:p w14:paraId="56D664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占地约22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p>
        </w:tc>
        <w:tc>
          <w:tcPr>
            <w:tcW w:w="462" w:type="pct"/>
            <w:tcBorders>
              <w:tl2br w:val="nil"/>
              <w:tr2bl w:val="nil"/>
            </w:tcBorders>
            <w:shd w:val="clear" w:color="auto" w:fill="auto"/>
            <w:noWrap w:val="0"/>
            <w:vAlign w:val="center"/>
          </w:tcPr>
          <w:p w14:paraId="25C9CA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依托</w:t>
            </w:r>
          </w:p>
        </w:tc>
      </w:tr>
      <w:tr w14:paraId="4750FA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7888EC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2DFB48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生活区</w:t>
            </w:r>
          </w:p>
        </w:tc>
        <w:tc>
          <w:tcPr>
            <w:tcW w:w="3454" w:type="pct"/>
            <w:gridSpan w:val="2"/>
            <w:tcBorders>
              <w:tl2br w:val="nil"/>
              <w:tr2bl w:val="nil"/>
            </w:tcBorders>
            <w:noWrap w:val="0"/>
            <w:vAlign w:val="center"/>
          </w:tcPr>
          <w:p w14:paraId="04F845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员工生活依托</w:t>
            </w:r>
            <w:r>
              <w:rPr>
                <w:rFonts w:hint="default" w:ascii="Times New Roman" w:hAnsi="Times New Roman" w:eastAsia="宋体" w:cs="Times New Roman"/>
                <w:color w:val="auto"/>
                <w:sz w:val="21"/>
                <w:szCs w:val="21"/>
                <w:highlight w:val="none"/>
                <w:lang w:val="en-US" w:eastAsia="zh-CN"/>
              </w:rPr>
              <w:t>现有</w:t>
            </w:r>
            <w:r>
              <w:rPr>
                <w:rFonts w:hint="default" w:ascii="Times New Roman" w:hAnsi="Times New Roman" w:eastAsia="宋体" w:cs="Times New Roman"/>
                <w:color w:val="auto"/>
                <w:sz w:val="21"/>
                <w:szCs w:val="21"/>
                <w:highlight w:val="none"/>
                <w:lang w:eastAsia="zh-CN"/>
              </w:rPr>
              <w:t>生活区</w:t>
            </w:r>
          </w:p>
        </w:tc>
        <w:tc>
          <w:tcPr>
            <w:tcW w:w="462" w:type="pct"/>
            <w:tcBorders>
              <w:tl2br w:val="nil"/>
              <w:tr2bl w:val="nil"/>
            </w:tcBorders>
            <w:shd w:val="clear" w:color="auto" w:fill="auto"/>
            <w:noWrap w:val="0"/>
            <w:vAlign w:val="center"/>
          </w:tcPr>
          <w:p w14:paraId="71A111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依托</w:t>
            </w:r>
          </w:p>
        </w:tc>
      </w:tr>
      <w:tr w14:paraId="5A0FFF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72C9BF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6F39C3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道路</w:t>
            </w:r>
          </w:p>
        </w:tc>
        <w:tc>
          <w:tcPr>
            <w:tcW w:w="3454" w:type="pct"/>
            <w:gridSpan w:val="2"/>
            <w:tcBorders>
              <w:tl2br w:val="nil"/>
              <w:tr2bl w:val="nil"/>
            </w:tcBorders>
            <w:noWrap w:val="0"/>
            <w:vAlign w:val="center"/>
          </w:tcPr>
          <w:p w14:paraId="378E65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项目物料拉运依托矿区现有道路进行</w:t>
            </w:r>
          </w:p>
        </w:tc>
        <w:tc>
          <w:tcPr>
            <w:tcW w:w="462" w:type="pct"/>
            <w:tcBorders>
              <w:tl2br w:val="nil"/>
              <w:tr2bl w:val="nil"/>
            </w:tcBorders>
            <w:noWrap w:val="0"/>
            <w:vAlign w:val="center"/>
          </w:tcPr>
          <w:p w14:paraId="2DB886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05DFB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restart"/>
            <w:tcBorders>
              <w:tl2br w:val="nil"/>
              <w:tr2bl w:val="nil"/>
            </w:tcBorders>
            <w:noWrap w:val="0"/>
            <w:vAlign w:val="center"/>
          </w:tcPr>
          <w:p w14:paraId="559279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储运工程</w:t>
            </w:r>
          </w:p>
        </w:tc>
        <w:tc>
          <w:tcPr>
            <w:tcW w:w="569" w:type="pct"/>
            <w:tcBorders>
              <w:tl2br w:val="nil"/>
              <w:tr2bl w:val="nil"/>
            </w:tcBorders>
            <w:noWrap w:val="0"/>
            <w:vAlign w:val="center"/>
          </w:tcPr>
          <w:p w14:paraId="062157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硫酸</w:t>
            </w:r>
            <w:r>
              <w:rPr>
                <w:rFonts w:hint="eastAsia" w:cs="Times New Roman"/>
                <w:color w:val="auto"/>
                <w:sz w:val="21"/>
                <w:szCs w:val="21"/>
                <w:highlight w:val="none"/>
                <w:lang w:val="en-US" w:eastAsia="zh-CN"/>
              </w:rPr>
              <w:t>罐区</w:t>
            </w:r>
          </w:p>
        </w:tc>
        <w:tc>
          <w:tcPr>
            <w:tcW w:w="3454" w:type="pct"/>
            <w:gridSpan w:val="2"/>
            <w:tcBorders>
              <w:tl2br w:val="nil"/>
              <w:tr2bl w:val="nil"/>
            </w:tcBorders>
            <w:noWrap w:val="0"/>
            <w:vAlign w:val="center"/>
          </w:tcPr>
          <w:p w14:paraId="17A2FA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bookmarkStart w:id="103" w:name="_Toc6314"/>
            <w:bookmarkStart w:id="104" w:name="_Toc25169"/>
            <w:r>
              <w:rPr>
                <w:rFonts w:hint="default" w:ascii="Times New Roman" w:hAnsi="Times New Roman" w:eastAsia="宋体" w:cs="Times New Roman"/>
                <w:color w:val="auto"/>
                <w:sz w:val="21"/>
                <w:szCs w:val="21"/>
                <w:highlight w:val="none"/>
                <w:lang w:val="en-US" w:eastAsia="zh-CN"/>
              </w:rPr>
              <w:t>硫酸罐区设置4</w:t>
            </w:r>
            <w:r>
              <w:rPr>
                <w:rFonts w:hint="eastAsia" w:cs="Times New Roman"/>
                <w:color w:val="auto"/>
                <w:sz w:val="21"/>
                <w:szCs w:val="21"/>
                <w:highlight w:val="none"/>
                <w:lang w:val="en-US" w:eastAsia="zh-CN"/>
              </w:rPr>
              <w:t>座</w:t>
            </w:r>
            <w:r>
              <w:rPr>
                <w:rFonts w:hint="default" w:ascii="Times New Roman" w:hAnsi="Times New Roman" w:eastAsia="宋体" w:cs="Times New Roman"/>
                <w:color w:val="auto"/>
                <w:sz w:val="21"/>
                <w:szCs w:val="21"/>
                <w:highlight w:val="none"/>
                <w:lang w:val="en-US" w:eastAsia="zh-CN"/>
              </w:rPr>
              <w:t>60m</w:t>
            </w:r>
            <w:r>
              <w:rPr>
                <w:rFonts w:hint="eastAsia"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（硫酸最大贮存量为</w:t>
            </w:r>
            <w:r>
              <w:rPr>
                <w:rFonts w:hint="eastAsia" w:ascii="Times New Roman" w:hAnsi="Times New Roman" w:eastAsia="宋体" w:cs="Times New Roman"/>
                <w:color w:val="auto"/>
                <w:sz w:val="21"/>
                <w:szCs w:val="21"/>
                <w:highlight w:val="none"/>
                <w:lang w:val="en-US" w:eastAsia="zh-CN"/>
              </w:rPr>
              <w:t>131t</w:t>
            </w:r>
            <w:r>
              <w:rPr>
                <w:rFonts w:hint="default" w:ascii="Times New Roman" w:hAnsi="Times New Roman" w:eastAsia="宋体" w:cs="Times New Roman"/>
                <w:color w:val="auto"/>
                <w:sz w:val="21"/>
                <w:szCs w:val="21"/>
                <w:highlight w:val="none"/>
                <w:lang w:val="en-US" w:eastAsia="zh-CN"/>
              </w:rPr>
              <w:t>）</w:t>
            </w:r>
            <w:bookmarkEnd w:id="103"/>
            <w:bookmarkEnd w:id="104"/>
          </w:p>
        </w:tc>
        <w:tc>
          <w:tcPr>
            <w:tcW w:w="462" w:type="pct"/>
            <w:tcBorders>
              <w:tl2br w:val="nil"/>
              <w:tr2bl w:val="nil"/>
            </w:tcBorders>
            <w:noWrap w:val="0"/>
            <w:vAlign w:val="center"/>
          </w:tcPr>
          <w:p w14:paraId="6F151B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61ECCF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continue"/>
            <w:tcBorders>
              <w:tl2br w:val="nil"/>
              <w:tr2bl w:val="nil"/>
            </w:tcBorders>
            <w:noWrap w:val="0"/>
            <w:vAlign w:val="center"/>
          </w:tcPr>
          <w:p w14:paraId="3C6AA3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6FF719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原料矿仓</w:t>
            </w:r>
          </w:p>
        </w:tc>
        <w:tc>
          <w:tcPr>
            <w:tcW w:w="3454" w:type="pct"/>
            <w:gridSpan w:val="2"/>
            <w:tcBorders>
              <w:tl2br w:val="nil"/>
              <w:tr2bl w:val="nil"/>
            </w:tcBorders>
            <w:noWrap w:val="0"/>
            <w:vAlign w:val="center"/>
          </w:tcPr>
          <w:p w14:paraId="71BBFB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1座，位于球磨车间西北角，</w:t>
            </w:r>
            <w:r>
              <w:rPr>
                <w:rFonts w:hint="default" w:ascii="Times New Roman" w:hAnsi="Times New Roman" w:eastAsia="宋体" w:cs="Times New Roman"/>
                <w:b w:val="0"/>
                <w:bCs w:val="0"/>
                <w:color w:val="auto"/>
                <w:spacing w:val="10"/>
                <w:sz w:val="21"/>
                <w:szCs w:val="21"/>
                <w:highlight w:val="none"/>
              </w:rPr>
              <w:t>直径8</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eastAsia="宋体" w:cs="Times New Roman"/>
                <w:b w:val="0"/>
                <w:bCs w:val="0"/>
                <w:color w:val="auto"/>
                <w:spacing w:val="10"/>
                <w:sz w:val="21"/>
                <w:szCs w:val="21"/>
                <w:highlight w:val="none"/>
              </w:rPr>
              <w:t>，高12</w:t>
            </w:r>
            <w:r>
              <w:rPr>
                <w:rFonts w:hint="eastAsia" w:ascii="Times New Roman" w:hAnsi="Times New Roman" w:cs="Times New Roman"/>
                <w:b w:val="0"/>
                <w:bCs w:val="0"/>
                <w:color w:val="auto"/>
                <w:spacing w:val="10"/>
                <w:sz w:val="21"/>
                <w:szCs w:val="21"/>
                <w:highlight w:val="none"/>
                <w:lang w:val="en-US" w:eastAsia="zh-CN"/>
              </w:rPr>
              <w:t>m</w:t>
            </w:r>
          </w:p>
        </w:tc>
        <w:tc>
          <w:tcPr>
            <w:tcW w:w="462" w:type="pct"/>
            <w:tcBorders>
              <w:tl2br w:val="nil"/>
              <w:tr2bl w:val="nil"/>
            </w:tcBorders>
            <w:noWrap w:val="0"/>
            <w:vAlign w:val="center"/>
          </w:tcPr>
          <w:p w14:paraId="255E50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13E462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continue"/>
            <w:tcBorders>
              <w:tl2br w:val="nil"/>
              <w:tr2bl w:val="nil"/>
            </w:tcBorders>
            <w:noWrap w:val="0"/>
            <w:vAlign w:val="center"/>
          </w:tcPr>
          <w:p w14:paraId="61BA80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325019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危废贮存库</w:t>
            </w:r>
          </w:p>
        </w:tc>
        <w:tc>
          <w:tcPr>
            <w:tcW w:w="3454" w:type="pct"/>
            <w:gridSpan w:val="2"/>
            <w:tcBorders>
              <w:tl2br w:val="nil"/>
              <w:tr2bl w:val="nil"/>
            </w:tcBorders>
            <w:noWrap w:val="0"/>
            <w:vAlign w:val="center"/>
          </w:tcPr>
          <w:p w14:paraId="00F667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位于厂区中部，占地面积3</w:t>
            </w:r>
            <w:r>
              <w:rPr>
                <w:rFonts w:hint="eastAsia" w:cs="Times New Roman"/>
                <w:color w:val="auto"/>
                <w:sz w:val="21"/>
                <w:szCs w:val="21"/>
                <w:highlight w:val="none"/>
                <w:lang w:val="en-US" w:eastAsia="zh-CN"/>
              </w:rPr>
              <w:t>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462" w:type="pct"/>
            <w:tcBorders>
              <w:tl2br w:val="nil"/>
              <w:tr2bl w:val="nil"/>
            </w:tcBorders>
            <w:noWrap w:val="0"/>
            <w:vAlign w:val="center"/>
          </w:tcPr>
          <w:p w14:paraId="03FBCE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798655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continue"/>
            <w:tcBorders>
              <w:tl2br w:val="nil"/>
              <w:tr2bl w:val="nil"/>
            </w:tcBorders>
            <w:noWrap w:val="0"/>
            <w:vAlign w:val="center"/>
          </w:tcPr>
          <w:p w14:paraId="1B41CA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5E80F9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原料堆场</w:t>
            </w:r>
          </w:p>
        </w:tc>
        <w:tc>
          <w:tcPr>
            <w:tcW w:w="3454" w:type="pct"/>
            <w:gridSpan w:val="2"/>
            <w:tcBorders>
              <w:tl2br w:val="nil"/>
              <w:tr2bl w:val="nil"/>
            </w:tcBorders>
            <w:noWrap w:val="0"/>
            <w:vAlign w:val="center"/>
          </w:tcPr>
          <w:p w14:paraId="4563A0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共</w:t>
            </w: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val="en-US" w:eastAsia="zh-CN"/>
              </w:rPr>
              <w:t>原料堆场</w:t>
            </w:r>
            <w:r>
              <w:rPr>
                <w:rFonts w:hint="default" w:ascii="Times New Roman" w:hAnsi="Times New Roman" w:eastAsia="宋体" w:cs="Times New Roman"/>
                <w:color w:val="auto"/>
                <w:sz w:val="21"/>
                <w:szCs w:val="21"/>
                <w:highlight w:val="none"/>
                <w:lang w:eastAsia="zh-CN"/>
              </w:rPr>
              <w:t>，其中1号堆场堆底尺寸为</w:t>
            </w:r>
            <w:r>
              <w:rPr>
                <w:rFonts w:hint="default" w:ascii="Times New Roman" w:hAnsi="Times New Roman" w:cs="Times New Roman"/>
                <w:color w:val="auto"/>
                <w:sz w:val="21"/>
                <w:szCs w:val="21"/>
                <w:highlight w:val="none"/>
                <w:lang w:val="en-US" w:eastAsia="zh-CN"/>
              </w:rPr>
              <w:t>90</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50</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，堆高设为</w:t>
            </w:r>
            <w:r>
              <w:rPr>
                <w:rFonts w:hint="default" w:ascii="Times New Roman" w:hAnsi="Times New Roman" w:cs="Times New Roman"/>
                <w:color w:val="auto"/>
                <w:sz w:val="21"/>
                <w:szCs w:val="21"/>
                <w:highlight w:val="none"/>
                <w:lang w:val="en-US" w:eastAsia="zh-CN"/>
              </w:rPr>
              <w:t>2.2</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；2号堆场堆底尺寸为</w:t>
            </w:r>
            <w:r>
              <w:rPr>
                <w:rFonts w:hint="default" w:ascii="Times New Roman" w:hAnsi="Times New Roman" w:cs="Times New Roman"/>
                <w:color w:val="auto"/>
                <w:sz w:val="21"/>
                <w:szCs w:val="21"/>
                <w:highlight w:val="none"/>
                <w:lang w:val="en-US" w:eastAsia="zh-CN"/>
              </w:rPr>
              <w:t>105</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50</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，堆高设为</w:t>
            </w:r>
            <w:r>
              <w:rPr>
                <w:rFonts w:hint="default" w:ascii="Times New Roman" w:hAnsi="Times New Roman" w:cs="Times New Roman"/>
                <w:color w:val="auto"/>
                <w:sz w:val="21"/>
                <w:szCs w:val="21"/>
                <w:highlight w:val="none"/>
                <w:lang w:val="en-US" w:eastAsia="zh-CN"/>
              </w:rPr>
              <w:t>2.2</w:t>
            </w:r>
            <w:r>
              <w:rPr>
                <w:rFonts w:hint="eastAsia" w:cs="Times New Roman"/>
                <w:color w:val="auto"/>
                <w:sz w:val="21"/>
                <w:szCs w:val="21"/>
                <w:highlight w:val="none"/>
                <w:lang w:val="en-US" w:eastAsia="zh-CN"/>
              </w:rPr>
              <w:t>m</w:t>
            </w:r>
          </w:p>
        </w:tc>
        <w:tc>
          <w:tcPr>
            <w:tcW w:w="462" w:type="pct"/>
            <w:tcBorders>
              <w:tl2br w:val="nil"/>
              <w:tr2bl w:val="nil"/>
            </w:tcBorders>
            <w:noWrap w:val="0"/>
            <w:vAlign w:val="center"/>
          </w:tcPr>
          <w:p w14:paraId="5D4C7A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w:t>
            </w:r>
          </w:p>
        </w:tc>
      </w:tr>
      <w:tr w14:paraId="2717B9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continue"/>
            <w:tcBorders>
              <w:tl2br w:val="nil"/>
              <w:tr2bl w:val="nil"/>
            </w:tcBorders>
            <w:noWrap w:val="0"/>
            <w:vAlign w:val="center"/>
          </w:tcPr>
          <w:p w14:paraId="16F40E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0047F8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尾矿库</w:t>
            </w:r>
          </w:p>
        </w:tc>
        <w:tc>
          <w:tcPr>
            <w:tcW w:w="3454" w:type="pct"/>
            <w:gridSpan w:val="2"/>
            <w:tcBorders>
              <w:tl2br w:val="nil"/>
              <w:tr2bl w:val="nil"/>
            </w:tcBorders>
            <w:noWrap w:val="0"/>
            <w:vAlign w:val="center"/>
          </w:tcPr>
          <w:p w14:paraId="08F672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尾矿库总库容为93.67万m³，根据库区地形条件，尾矿库深4m</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在地表筑坝高5m，最终坝轴线长746m，坝体内坡坡比1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1.75，外坡坡比1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2.0，坝顶宽5.0m。</w:t>
            </w:r>
          </w:p>
        </w:tc>
        <w:tc>
          <w:tcPr>
            <w:tcW w:w="462" w:type="pct"/>
            <w:tcBorders>
              <w:tl2br w:val="nil"/>
              <w:tr2bl w:val="nil"/>
            </w:tcBorders>
            <w:noWrap w:val="0"/>
            <w:vAlign w:val="center"/>
          </w:tcPr>
          <w:p w14:paraId="20A2AB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w:t>
            </w:r>
          </w:p>
        </w:tc>
      </w:tr>
      <w:tr w14:paraId="7C7BA4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restart"/>
            <w:tcBorders>
              <w:tl2br w:val="nil"/>
              <w:tr2bl w:val="nil"/>
            </w:tcBorders>
            <w:noWrap w:val="0"/>
            <w:vAlign w:val="center"/>
          </w:tcPr>
          <w:p w14:paraId="5ED809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公用工程</w:t>
            </w:r>
          </w:p>
        </w:tc>
        <w:tc>
          <w:tcPr>
            <w:tcW w:w="569" w:type="pct"/>
            <w:tcBorders>
              <w:tl2br w:val="nil"/>
              <w:tr2bl w:val="nil"/>
            </w:tcBorders>
            <w:noWrap w:val="0"/>
            <w:vAlign w:val="center"/>
          </w:tcPr>
          <w:p w14:paraId="589FC3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给水</w:t>
            </w:r>
          </w:p>
        </w:tc>
        <w:tc>
          <w:tcPr>
            <w:tcW w:w="3454" w:type="pct"/>
            <w:gridSpan w:val="2"/>
            <w:tcBorders>
              <w:tl2br w:val="nil"/>
              <w:tr2bl w:val="nil"/>
            </w:tcBorders>
            <w:noWrap w:val="0"/>
            <w:vAlign w:val="center"/>
          </w:tcPr>
          <w:p w14:paraId="2C3E7E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生活用水来自供水管网，供水主管管径DN50。生产</w:t>
            </w:r>
            <w:r>
              <w:rPr>
                <w:rFonts w:hint="eastAsia" w:cs="Times New Roman"/>
                <w:color w:val="auto"/>
                <w:sz w:val="21"/>
                <w:szCs w:val="21"/>
                <w:highlight w:val="none"/>
                <w:lang w:val="en-US" w:eastAsia="zh-CN"/>
              </w:rPr>
              <w:t>补</w:t>
            </w:r>
            <w:r>
              <w:rPr>
                <w:rFonts w:hint="default" w:ascii="Times New Roman" w:hAnsi="Times New Roman" w:eastAsia="宋体" w:cs="Times New Roman"/>
                <w:color w:val="auto"/>
                <w:sz w:val="21"/>
                <w:szCs w:val="21"/>
                <w:highlight w:val="none"/>
                <w:lang w:eastAsia="zh-CN"/>
              </w:rPr>
              <w:t>水来自自建井井水，水井总出水量为200m³/h。</w:t>
            </w:r>
          </w:p>
        </w:tc>
        <w:tc>
          <w:tcPr>
            <w:tcW w:w="462" w:type="pct"/>
            <w:tcBorders>
              <w:tl2br w:val="nil"/>
              <w:tr2bl w:val="nil"/>
            </w:tcBorders>
            <w:noWrap w:val="0"/>
            <w:vAlign w:val="center"/>
          </w:tcPr>
          <w:p w14:paraId="17BE58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098434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137565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1F75F5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排水</w:t>
            </w:r>
          </w:p>
        </w:tc>
        <w:tc>
          <w:tcPr>
            <w:tcW w:w="3454" w:type="pct"/>
            <w:gridSpan w:val="2"/>
            <w:tcBorders>
              <w:tl2br w:val="nil"/>
              <w:tr2bl w:val="nil"/>
            </w:tcBorders>
            <w:noWrap w:val="0"/>
            <w:vAlign w:val="center"/>
          </w:tcPr>
          <w:p w14:paraId="3E90EA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项目生产废水循环使用，无生产废水排放；生活污水依托生活区</w:t>
            </w:r>
            <w:r>
              <w:rPr>
                <w:rFonts w:hint="default" w:ascii="Times New Roman" w:hAnsi="Times New Roman" w:cs="Times New Roman"/>
                <w:color w:val="auto"/>
                <w:sz w:val="21"/>
                <w:szCs w:val="21"/>
                <w:highlight w:val="none"/>
                <w:lang w:val="en-US" w:eastAsia="zh-CN"/>
              </w:rPr>
              <w:t>化粪池，定期清掏拉运</w:t>
            </w:r>
          </w:p>
        </w:tc>
        <w:tc>
          <w:tcPr>
            <w:tcW w:w="462" w:type="pct"/>
            <w:tcBorders>
              <w:tl2br w:val="nil"/>
              <w:tr2bl w:val="nil"/>
            </w:tcBorders>
            <w:noWrap w:val="0"/>
            <w:vAlign w:val="center"/>
          </w:tcPr>
          <w:p w14:paraId="7A4448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4FA8E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6D42F9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24DBE7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供电</w:t>
            </w:r>
          </w:p>
        </w:tc>
        <w:tc>
          <w:tcPr>
            <w:tcW w:w="3454" w:type="pct"/>
            <w:gridSpan w:val="2"/>
            <w:tcBorders>
              <w:tl2br w:val="nil"/>
              <w:tr2bl w:val="nil"/>
            </w:tcBorders>
            <w:noWrap w:val="0"/>
            <w:vAlign w:val="center"/>
          </w:tcPr>
          <w:p w14:paraId="0C397E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项目供电接入</w:t>
            </w:r>
            <w:r>
              <w:rPr>
                <w:rFonts w:hint="default" w:ascii="Times New Roman" w:hAnsi="Times New Roman" w:eastAsia="宋体" w:cs="Times New Roman"/>
                <w:color w:val="auto"/>
                <w:sz w:val="21"/>
                <w:szCs w:val="21"/>
                <w:highlight w:val="none"/>
                <w:lang w:val="en-US" w:eastAsia="zh-CN"/>
              </w:rPr>
              <w:t>电网</w:t>
            </w:r>
          </w:p>
        </w:tc>
        <w:tc>
          <w:tcPr>
            <w:tcW w:w="462" w:type="pct"/>
            <w:tcBorders>
              <w:tl2br w:val="nil"/>
              <w:tr2bl w:val="nil"/>
            </w:tcBorders>
            <w:noWrap w:val="0"/>
            <w:vAlign w:val="center"/>
          </w:tcPr>
          <w:p w14:paraId="66DE74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281989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615100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03A4C4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供暖</w:t>
            </w:r>
          </w:p>
        </w:tc>
        <w:tc>
          <w:tcPr>
            <w:tcW w:w="3454" w:type="pct"/>
            <w:gridSpan w:val="2"/>
            <w:tcBorders>
              <w:tl2br w:val="nil"/>
              <w:tr2bl w:val="nil"/>
            </w:tcBorders>
            <w:noWrap w:val="0"/>
            <w:vAlign w:val="center"/>
          </w:tcPr>
          <w:p w14:paraId="0E6989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员工生活区采用电锅炉供暖</w:t>
            </w:r>
          </w:p>
        </w:tc>
        <w:tc>
          <w:tcPr>
            <w:tcW w:w="462" w:type="pct"/>
            <w:tcBorders>
              <w:tl2br w:val="nil"/>
              <w:tr2bl w:val="nil"/>
            </w:tcBorders>
            <w:noWrap w:val="0"/>
            <w:vAlign w:val="center"/>
          </w:tcPr>
          <w:p w14:paraId="16C9AB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3FBC1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restart"/>
            <w:tcBorders>
              <w:tl2br w:val="nil"/>
              <w:tr2bl w:val="nil"/>
            </w:tcBorders>
            <w:noWrap w:val="0"/>
            <w:vAlign w:val="center"/>
          </w:tcPr>
          <w:p w14:paraId="010C84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环保工程</w:t>
            </w:r>
          </w:p>
        </w:tc>
        <w:tc>
          <w:tcPr>
            <w:tcW w:w="569" w:type="pct"/>
            <w:vMerge w:val="restart"/>
            <w:tcBorders>
              <w:tl2br w:val="nil"/>
              <w:tr2bl w:val="nil"/>
            </w:tcBorders>
            <w:noWrap w:val="0"/>
            <w:vAlign w:val="center"/>
          </w:tcPr>
          <w:p w14:paraId="637C48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3454" w:type="pct"/>
            <w:gridSpan w:val="2"/>
            <w:tcBorders>
              <w:tl2br w:val="nil"/>
              <w:tr2bl w:val="nil"/>
            </w:tcBorders>
            <w:noWrap w:val="0"/>
            <w:vAlign w:val="center"/>
          </w:tcPr>
          <w:p w14:paraId="5F91FE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一、二级破碎</w:t>
            </w:r>
            <w:r>
              <w:rPr>
                <w:rFonts w:hint="default" w:ascii="Times New Roman" w:hAnsi="Times New Roman" w:eastAsia="宋体" w:cs="Times New Roman"/>
                <w:color w:val="auto"/>
                <w:sz w:val="21"/>
                <w:szCs w:val="21"/>
                <w:highlight w:val="none"/>
                <w:lang w:eastAsia="zh-CN"/>
              </w:rPr>
              <w:t>处</w:t>
            </w:r>
            <w:r>
              <w:rPr>
                <w:rFonts w:hint="eastAsia"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lang w:eastAsia="zh-CN"/>
              </w:rPr>
              <w:t>设置密闭集气罩+</w:t>
            </w:r>
            <w:r>
              <w:rPr>
                <w:rFonts w:hint="eastAsia" w:cs="Times New Roman"/>
                <w:color w:val="auto"/>
                <w:sz w:val="21"/>
                <w:szCs w:val="21"/>
                <w:highlight w:val="none"/>
                <w:lang w:eastAsia="zh-CN"/>
              </w:rPr>
              <w:t>脉冲袋式除尘器</w:t>
            </w:r>
            <w:r>
              <w:rPr>
                <w:rFonts w:hint="default" w:ascii="Times New Roman" w:hAnsi="Times New Roman" w:eastAsia="宋体" w:cs="Times New Roman"/>
                <w:color w:val="auto"/>
                <w:sz w:val="21"/>
                <w:szCs w:val="21"/>
                <w:highlight w:val="none"/>
                <w:lang w:eastAsia="zh-CN"/>
              </w:rPr>
              <w:t>+15m高排气</w:t>
            </w:r>
          </w:p>
        </w:tc>
        <w:tc>
          <w:tcPr>
            <w:tcW w:w="462" w:type="pct"/>
            <w:tcBorders>
              <w:tl2br w:val="nil"/>
              <w:tr2bl w:val="nil"/>
            </w:tcBorders>
            <w:noWrap w:val="0"/>
            <w:vAlign w:val="center"/>
          </w:tcPr>
          <w:p w14:paraId="3837DB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5BADF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1" w:hRule="atLeast"/>
          <w:jc w:val="center"/>
        </w:trPr>
        <w:tc>
          <w:tcPr>
            <w:tcW w:w="513" w:type="pct"/>
            <w:vMerge w:val="continue"/>
            <w:tcBorders>
              <w:tl2br w:val="nil"/>
              <w:tr2bl w:val="nil"/>
            </w:tcBorders>
            <w:noWrap w:val="0"/>
            <w:vAlign w:val="center"/>
          </w:tcPr>
          <w:p w14:paraId="673D20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6DCB3D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454" w:type="pct"/>
            <w:gridSpan w:val="2"/>
            <w:tcBorders>
              <w:tl2br w:val="nil"/>
              <w:tr2bl w:val="nil"/>
            </w:tcBorders>
            <w:noWrap w:val="0"/>
            <w:vAlign w:val="center"/>
          </w:tcPr>
          <w:p w14:paraId="4A5B5C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破碎</w:t>
            </w:r>
            <w:r>
              <w:rPr>
                <w:rFonts w:hint="eastAsia" w:cs="Times New Roman"/>
                <w:color w:val="auto"/>
                <w:sz w:val="21"/>
                <w:szCs w:val="21"/>
                <w:highlight w:val="none"/>
                <w:lang w:val="en-US" w:eastAsia="zh-CN"/>
              </w:rPr>
              <w:t>无组织</w:t>
            </w:r>
            <w:r>
              <w:rPr>
                <w:rFonts w:hint="default" w:ascii="Times New Roman" w:hAnsi="Times New Roman" w:cs="Times New Roman"/>
                <w:color w:val="auto"/>
                <w:sz w:val="21"/>
                <w:szCs w:val="21"/>
                <w:highlight w:val="none"/>
                <w:lang w:val="en-US" w:eastAsia="zh-CN"/>
              </w:rPr>
              <w:t>废气洒水降尘</w:t>
            </w:r>
          </w:p>
        </w:tc>
        <w:tc>
          <w:tcPr>
            <w:tcW w:w="462" w:type="pct"/>
            <w:tcBorders>
              <w:tl2br w:val="nil"/>
              <w:tr2bl w:val="nil"/>
            </w:tcBorders>
            <w:noWrap w:val="0"/>
            <w:vAlign w:val="center"/>
          </w:tcPr>
          <w:p w14:paraId="31EF88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608E8E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1" w:hRule="atLeast"/>
          <w:jc w:val="center"/>
        </w:trPr>
        <w:tc>
          <w:tcPr>
            <w:tcW w:w="513" w:type="pct"/>
            <w:vMerge w:val="continue"/>
            <w:tcBorders>
              <w:tl2br w:val="nil"/>
              <w:tr2bl w:val="nil"/>
            </w:tcBorders>
            <w:noWrap w:val="0"/>
            <w:vAlign w:val="center"/>
          </w:tcPr>
          <w:p w14:paraId="6EB6CE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vMerge w:val="continue"/>
            <w:tcBorders>
              <w:tl2br w:val="nil"/>
              <w:tr2bl w:val="nil"/>
            </w:tcBorders>
            <w:noWrap w:val="0"/>
            <w:vAlign w:val="center"/>
          </w:tcPr>
          <w:p w14:paraId="26E0DE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454" w:type="pct"/>
            <w:gridSpan w:val="2"/>
            <w:tcBorders>
              <w:tl2br w:val="nil"/>
              <w:tr2bl w:val="nil"/>
            </w:tcBorders>
            <w:shd w:val="clear" w:color="auto" w:fill="auto"/>
            <w:noWrap w:val="0"/>
            <w:vAlign w:val="center"/>
          </w:tcPr>
          <w:p w14:paraId="7DF7A5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湿化球磨</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球磨机</w:t>
            </w:r>
            <w:r>
              <w:rPr>
                <w:rFonts w:hint="default" w:ascii="Times New Roman" w:hAnsi="Times New Roman" w:eastAsia="宋体" w:cs="Times New Roman"/>
                <w:color w:val="auto"/>
                <w:sz w:val="21"/>
                <w:szCs w:val="21"/>
                <w:highlight w:val="none"/>
                <w:lang w:eastAsia="zh-CN"/>
              </w:rPr>
              <w:t>密闭</w:t>
            </w:r>
          </w:p>
        </w:tc>
        <w:tc>
          <w:tcPr>
            <w:tcW w:w="462" w:type="pct"/>
            <w:tcBorders>
              <w:tl2br w:val="nil"/>
              <w:tr2bl w:val="nil"/>
            </w:tcBorders>
            <w:shd w:val="clear" w:color="auto" w:fill="auto"/>
            <w:noWrap w:val="0"/>
            <w:vAlign w:val="center"/>
          </w:tcPr>
          <w:p w14:paraId="65529C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依托</w:t>
            </w:r>
          </w:p>
        </w:tc>
      </w:tr>
      <w:tr w14:paraId="55BFBF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15862F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restart"/>
            <w:tcBorders>
              <w:tl2br w:val="nil"/>
              <w:tr2bl w:val="nil"/>
            </w:tcBorders>
            <w:noWrap w:val="0"/>
            <w:vAlign w:val="center"/>
          </w:tcPr>
          <w:p w14:paraId="025939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3454" w:type="pct"/>
            <w:gridSpan w:val="2"/>
            <w:tcBorders>
              <w:tl2br w:val="nil"/>
              <w:tr2bl w:val="nil"/>
            </w:tcBorders>
            <w:noWrap w:val="0"/>
            <w:vAlign w:val="center"/>
          </w:tcPr>
          <w:p w14:paraId="7EEEC6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cs="Times New Roman"/>
                <w:color w:val="auto"/>
                <w:sz w:val="21"/>
                <w:szCs w:val="21"/>
                <w:highlight w:val="none"/>
                <w:lang w:val="en-US" w:eastAsia="zh-CN"/>
              </w:rPr>
              <w:t>排入化粪池</w:t>
            </w:r>
            <w:r>
              <w:rPr>
                <w:rFonts w:hint="eastAsia" w:cs="Times New Roman"/>
                <w:color w:val="auto"/>
                <w:sz w:val="21"/>
                <w:szCs w:val="21"/>
                <w:highlight w:val="none"/>
                <w:lang w:val="en-US" w:eastAsia="zh-CN"/>
              </w:rPr>
              <w:t>（30m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，定期清掏</w:t>
            </w:r>
          </w:p>
        </w:tc>
        <w:tc>
          <w:tcPr>
            <w:tcW w:w="462" w:type="pct"/>
            <w:tcBorders>
              <w:tl2br w:val="nil"/>
              <w:tr2bl w:val="nil"/>
            </w:tcBorders>
            <w:noWrap w:val="0"/>
            <w:vAlign w:val="center"/>
          </w:tcPr>
          <w:p w14:paraId="7CD9AD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50C207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14E248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56A2E9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454" w:type="pct"/>
            <w:gridSpan w:val="2"/>
            <w:tcBorders>
              <w:tl2br w:val="nil"/>
              <w:tr2bl w:val="nil"/>
            </w:tcBorders>
            <w:noWrap w:val="0"/>
            <w:vAlign w:val="center"/>
          </w:tcPr>
          <w:p w14:paraId="004964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cs="Times New Roman"/>
                <w:color w:val="auto"/>
                <w:sz w:val="21"/>
                <w:szCs w:val="21"/>
                <w:highlight w:val="none"/>
                <w:lang w:val="en-US" w:eastAsia="zh-CN"/>
              </w:rPr>
              <w:t>废水</w:t>
            </w:r>
            <w:r>
              <w:rPr>
                <w:rFonts w:hint="default" w:ascii="Times New Roman" w:hAnsi="Times New Roman" w:eastAsia="宋体" w:cs="Times New Roman"/>
                <w:color w:val="auto"/>
                <w:sz w:val="21"/>
                <w:szCs w:val="21"/>
                <w:highlight w:val="none"/>
                <w:lang w:eastAsia="zh-CN"/>
              </w:rPr>
              <w:t>循环使用</w:t>
            </w:r>
          </w:p>
        </w:tc>
        <w:tc>
          <w:tcPr>
            <w:tcW w:w="462" w:type="pct"/>
            <w:tcBorders>
              <w:tl2br w:val="nil"/>
              <w:tr2bl w:val="nil"/>
            </w:tcBorders>
            <w:noWrap w:val="0"/>
            <w:vAlign w:val="center"/>
          </w:tcPr>
          <w:p w14:paraId="4BCE44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1CDBF8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4D9BFD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20BEC8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c>
          <w:tcPr>
            <w:tcW w:w="3454" w:type="pct"/>
            <w:gridSpan w:val="2"/>
            <w:tcBorders>
              <w:tl2br w:val="nil"/>
              <w:tr2bl w:val="nil"/>
            </w:tcBorders>
            <w:noWrap w:val="0"/>
            <w:vAlign w:val="center"/>
          </w:tcPr>
          <w:p w14:paraId="4FC898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对主要产噪设备</w:t>
            </w:r>
            <w:r>
              <w:rPr>
                <w:rFonts w:hint="default" w:ascii="Times New Roman" w:hAnsi="Times New Roman" w:eastAsia="宋体" w:cs="Times New Roman"/>
                <w:color w:val="auto"/>
                <w:sz w:val="21"/>
                <w:szCs w:val="21"/>
                <w:highlight w:val="none"/>
                <w:lang w:val="en-US" w:eastAsia="zh-CN"/>
              </w:rPr>
              <w:t>采取</w:t>
            </w:r>
            <w:r>
              <w:rPr>
                <w:rFonts w:hint="default" w:ascii="Times New Roman" w:hAnsi="Times New Roman" w:eastAsia="宋体" w:cs="Times New Roman"/>
                <w:color w:val="auto"/>
                <w:sz w:val="21"/>
                <w:szCs w:val="21"/>
                <w:highlight w:val="none"/>
                <w:lang w:eastAsia="zh-CN"/>
              </w:rPr>
              <w:t>隔声、</w:t>
            </w:r>
            <w:r>
              <w:rPr>
                <w:rFonts w:hint="eastAsia" w:cs="Times New Roman"/>
                <w:color w:val="auto"/>
                <w:sz w:val="21"/>
                <w:szCs w:val="21"/>
                <w:highlight w:val="none"/>
                <w:lang w:eastAsia="zh-CN"/>
              </w:rPr>
              <w:t>减振</w:t>
            </w:r>
            <w:r>
              <w:rPr>
                <w:rFonts w:hint="default" w:ascii="Times New Roman" w:hAnsi="Times New Roman" w:eastAsia="宋体" w:cs="Times New Roman"/>
                <w:color w:val="auto"/>
                <w:sz w:val="21"/>
                <w:szCs w:val="21"/>
                <w:highlight w:val="none"/>
                <w:lang w:val="en-US" w:eastAsia="zh-CN"/>
              </w:rPr>
              <w:t>等</w:t>
            </w:r>
          </w:p>
        </w:tc>
        <w:tc>
          <w:tcPr>
            <w:tcW w:w="462" w:type="pct"/>
            <w:tcBorders>
              <w:tl2br w:val="nil"/>
              <w:tr2bl w:val="nil"/>
            </w:tcBorders>
            <w:noWrap w:val="0"/>
            <w:vAlign w:val="center"/>
          </w:tcPr>
          <w:p w14:paraId="39C2CA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依托+</w:t>
            </w:r>
            <w:r>
              <w:rPr>
                <w:rFonts w:hint="default" w:ascii="Times New Roman" w:hAnsi="Times New Roman" w:eastAsia="宋体" w:cs="Times New Roman"/>
                <w:color w:val="auto"/>
                <w:sz w:val="21"/>
                <w:szCs w:val="21"/>
                <w:highlight w:val="none"/>
                <w:lang w:eastAsia="zh-CN"/>
              </w:rPr>
              <w:t>新建</w:t>
            </w:r>
          </w:p>
        </w:tc>
      </w:tr>
      <w:tr w14:paraId="4E6962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327439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restart"/>
            <w:tcBorders>
              <w:tl2br w:val="nil"/>
              <w:tr2bl w:val="nil"/>
            </w:tcBorders>
            <w:noWrap w:val="0"/>
            <w:vAlign w:val="center"/>
          </w:tcPr>
          <w:p w14:paraId="127A72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固废</w:t>
            </w:r>
          </w:p>
        </w:tc>
        <w:tc>
          <w:tcPr>
            <w:tcW w:w="3454" w:type="pct"/>
            <w:gridSpan w:val="2"/>
            <w:tcBorders>
              <w:tl2br w:val="nil"/>
              <w:tr2bl w:val="nil"/>
            </w:tcBorders>
            <w:noWrap w:val="0"/>
            <w:vAlign w:val="center"/>
          </w:tcPr>
          <w:p w14:paraId="00F754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设置生活垃圾箱，分类收集生活垃圾定期清运至填埋场进行处置</w:t>
            </w:r>
          </w:p>
        </w:tc>
        <w:tc>
          <w:tcPr>
            <w:tcW w:w="462" w:type="pct"/>
            <w:tcBorders>
              <w:tl2br w:val="nil"/>
              <w:tr2bl w:val="nil"/>
            </w:tcBorders>
            <w:noWrap w:val="0"/>
            <w:vAlign w:val="center"/>
          </w:tcPr>
          <w:p w14:paraId="1124A3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依托</w:t>
            </w:r>
          </w:p>
        </w:tc>
      </w:tr>
      <w:tr w14:paraId="6244B2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6E1F20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54E135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454" w:type="pct"/>
            <w:gridSpan w:val="2"/>
            <w:tcBorders>
              <w:tl2br w:val="nil"/>
              <w:tr2bl w:val="nil"/>
            </w:tcBorders>
            <w:noWrap w:val="0"/>
            <w:vAlign w:val="center"/>
          </w:tcPr>
          <w:p w14:paraId="5F49BD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浸出渣</w:t>
            </w:r>
            <w:r>
              <w:rPr>
                <w:rFonts w:hint="default" w:ascii="Times New Roman" w:hAnsi="Times New Roman" w:cs="Times New Roman"/>
                <w:color w:val="auto"/>
                <w:sz w:val="21"/>
                <w:szCs w:val="21"/>
                <w:highlight w:val="none"/>
                <w:lang w:val="en-US" w:eastAsia="zh-CN"/>
              </w:rPr>
              <w:t>外售下游企业，</w:t>
            </w:r>
            <w:r>
              <w:rPr>
                <w:rFonts w:hint="eastAsia" w:cs="Times New Roman"/>
                <w:color w:val="auto"/>
                <w:sz w:val="21"/>
                <w:szCs w:val="21"/>
                <w:highlight w:val="none"/>
                <w:lang w:val="en-US" w:eastAsia="zh-CN"/>
              </w:rPr>
              <w:t>未</w:t>
            </w:r>
            <w:r>
              <w:rPr>
                <w:rFonts w:hint="default" w:ascii="Times New Roman" w:hAnsi="Times New Roman" w:cs="Times New Roman"/>
                <w:color w:val="auto"/>
                <w:sz w:val="21"/>
                <w:szCs w:val="21"/>
                <w:highlight w:val="none"/>
                <w:lang w:val="en-US" w:eastAsia="zh-CN"/>
              </w:rPr>
              <w:t>利用时尾矿库堆放</w:t>
            </w:r>
          </w:p>
        </w:tc>
        <w:tc>
          <w:tcPr>
            <w:tcW w:w="462" w:type="pct"/>
            <w:tcBorders>
              <w:tl2br w:val="nil"/>
              <w:tr2bl w:val="nil"/>
            </w:tcBorders>
            <w:noWrap w:val="0"/>
            <w:vAlign w:val="center"/>
          </w:tcPr>
          <w:p w14:paraId="4B1EBB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依托</w:t>
            </w:r>
          </w:p>
        </w:tc>
      </w:tr>
      <w:tr w14:paraId="0C1E78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6" w:hRule="atLeast"/>
          <w:jc w:val="center"/>
        </w:trPr>
        <w:tc>
          <w:tcPr>
            <w:tcW w:w="513" w:type="pct"/>
            <w:vMerge w:val="continue"/>
            <w:tcBorders>
              <w:tl2br w:val="nil"/>
              <w:tr2bl w:val="nil"/>
            </w:tcBorders>
            <w:noWrap w:val="0"/>
            <w:vAlign w:val="center"/>
          </w:tcPr>
          <w:p w14:paraId="615DA6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67CCBF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454" w:type="pct"/>
            <w:gridSpan w:val="2"/>
            <w:tcBorders>
              <w:tl2br w:val="nil"/>
              <w:tr2bl w:val="nil"/>
            </w:tcBorders>
            <w:noWrap w:val="0"/>
            <w:vAlign w:val="center"/>
          </w:tcPr>
          <w:p w14:paraId="029564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废机油、</w:t>
            </w:r>
            <w:r>
              <w:rPr>
                <w:rFonts w:hint="eastAsia" w:cs="Times New Roman"/>
                <w:color w:val="auto"/>
                <w:sz w:val="21"/>
                <w:szCs w:val="21"/>
                <w:highlight w:val="none"/>
                <w:lang w:eastAsia="zh-CN"/>
              </w:rPr>
              <w:t>空油桶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氢氧化钠包装袋及</w:t>
            </w:r>
            <w:r>
              <w:rPr>
                <w:rFonts w:hint="eastAsia" w:cs="Times New Roman"/>
                <w:color w:val="auto"/>
                <w:sz w:val="21"/>
                <w:szCs w:val="21"/>
                <w:highlight w:val="none"/>
                <w:lang w:val="en-US" w:eastAsia="zh-CN"/>
              </w:rPr>
              <w:t>废布袋</w:t>
            </w:r>
            <w:r>
              <w:rPr>
                <w:rFonts w:hint="default" w:ascii="Times New Roman" w:hAnsi="Times New Roman" w:eastAsia="宋体" w:cs="Times New Roman"/>
                <w:color w:val="auto"/>
                <w:sz w:val="21"/>
                <w:szCs w:val="21"/>
                <w:highlight w:val="none"/>
                <w:lang w:eastAsia="zh-CN"/>
              </w:rPr>
              <w:t>暂存于危险废物</w:t>
            </w:r>
            <w:r>
              <w:rPr>
                <w:rFonts w:hint="eastAsia" w:cs="Times New Roman"/>
                <w:color w:val="auto"/>
                <w:sz w:val="21"/>
                <w:szCs w:val="21"/>
                <w:highlight w:val="none"/>
                <w:lang w:val="en-US" w:eastAsia="zh-CN"/>
              </w:rPr>
              <w:t>贮存点</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定期</w:t>
            </w:r>
            <w:r>
              <w:rPr>
                <w:rFonts w:hint="default" w:ascii="Times New Roman" w:hAnsi="Times New Roman" w:eastAsia="宋体" w:cs="Times New Roman"/>
                <w:color w:val="auto"/>
                <w:sz w:val="21"/>
                <w:szCs w:val="21"/>
                <w:highlight w:val="none"/>
                <w:lang w:val="en-US" w:eastAsia="zh-CN"/>
              </w:rPr>
              <w:t>交由有</w:t>
            </w:r>
            <w:r>
              <w:rPr>
                <w:rFonts w:hint="default" w:ascii="Times New Roman" w:hAnsi="Times New Roman" w:eastAsia="宋体" w:cs="Times New Roman"/>
                <w:color w:val="auto"/>
                <w:sz w:val="21"/>
                <w:szCs w:val="21"/>
                <w:highlight w:val="none"/>
                <w:lang w:eastAsia="zh-CN"/>
              </w:rPr>
              <w:t>资质单位处置</w:t>
            </w:r>
          </w:p>
        </w:tc>
        <w:tc>
          <w:tcPr>
            <w:tcW w:w="462" w:type="pct"/>
            <w:tcBorders>
              <w:tl2br w:val="nil"/>
              <w:tr2bl w:val="nil"/>
            </w:tcBorders>
            <w:noWrap w:val="0"/>
            <w:vAlign w:val="center"/>
          </w:tcPr>
          <w:p w14:paraId="4FF44A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新建</w:t>
            </w:r>
          </w:p>
        </w:tc>
      </w:tr>
      <w:tr w14:paraId="0B59E7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4A72E2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2E6532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环境风险</w:t>
            </w:r>
          </w:p>
        </w:tc>
        <w:tc>
          <w:tcPr>
            <w:tcW w:w="3454" w:type="pct"/>
            <w:gridSpan w:val="2"/>
            <w:tcBorders>
              <w:tl2br w:val="nil"/>
              <w:tr2bl w:val="nil"/>
            </w:tcBorders>
            <w:noWrap w:val="0"/>
            <w:vAlign w:val="center"/>
          </w:tcPr>
          <w:p w14:paraId="2CB9C4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硫酸</w:t>
            </w:r>
            <w:r>
              <w:rPr>
                <w:rFonts w:hint="eastAsia" w:cs="Times New Roman"/>
                <w:color w:val="auto"/>
                <w:sz w:val="21"/>
                <w:szCs w:val="21"/>
                <w:highlight w:val="none"/>
                <w:lang w:val="en-US" w:eastAsia="zh-CN"/>
              </w:rPr>
              <w:t>罐区围堰</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事故应急池</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500m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eastAsia="zh-CN"/>
              </w:rPr>
              <w:t>）</w:t>
            </w:r>
          </w:p>
        </w:tc>
        <w:tc>
          <w:tcPr>
            <w:tcW w:w="462" w:type="pct"/>
            <w:tcBorders>
              <w:tl2br w:val="nil"/>
              <w:tr2bl w:val="nil"/>
            </w:tcBorders>
            <w:noWrap w:val="0"/>
            <w:vAlign w:val="center"/>
          </w:tcPr>
          <w:p w14:paraId="39CBDD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1C0191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5FAA02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799925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土壤、地下水防控措施</w:t>
            </w:r>
          </w:p>
        </w:tc>
        <w:tc>
          <w:tcPr>
            <w:tcW w:w="3454" w:type="pct"/>
            <w:gridSpan w:val="2"/>
            <w:tcBorders>
              <w:tl2br w:val="nil"/>
              <w:tr2bl w:val="nil"/>
            </w:tcBorders>
            <w:noWrap w:val="0"/>
            <w:vAlign w:val="center"/>
          </w:tcPr>
          <w:p w14:paraId="18E3B8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萃取-</w:t>
            </w:r>
            <w:r>
              <w:rPr>
                <w:rFonts w:hint="default" w:ascii="Times New Roman" w:hAnsi="Times New Roman" w:eastAsia="宋体" w:cs="Times New Roman"/>
                <w:color w:val="auto"/>
                <w:sz w:val="21"/>
                <w:szCs w:val="21"/>
                <w:highlight w:val="none"/>
                <w:lang w:eastAsia="zh-CN"/>
              </w:rPr>
              <w:t>电积反应场所、硫酸</w:t>
            </w:r>
            <w:r>
              <w:rPr>
                <w:rFonts w:hint="eastAsia" w:cs="Times New Roman"/>
                <w:color w:val="auto"/>
                <w:sz w:val="21"/>
                <w:szCs w:val="21"/>
                <w:highlight w:val="none"/>
                <w:lang w:val="en-US" w:eastAsia="zh-CN"/>
              </w:rPr>
              <w:t>罐区围堰</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事故应急池</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500m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采取重点防渗，防渗材料采用2</w:t>
            </w:r>
            <w:r>
              <w:rPr>
                <w:rFonts w:hint="eastAsia" w:cs="Times New Roman"/>
                <w:color w:val="auto"/>
                <w:sz w:val="21"/>
                <w:szCs w:val="21"/>
                <w:highlight w:val="none"/>
                <w:lang w:val="en-US" w:eastAsia="zh-CN"/>
              </w:rPr>
              <w:t>mm</w:t>
            </w:r>
            <w:r>
              <w:rPr>
                <w:rFonts w:hint="default" w:ascii="Times New Roman" w:hAnsi="Times New Roman" w:eastAsia="宋体" w:cs="Times New Roman"/>
                <w:color w:val="auto"/>
                <w:sz w:val="21"/>
                <w:szCs w:val="21"/>
                <w:highlight w:val="none"/>
                <w:lang w:val="en-US" w:eastAsia="zh-CN"/>
              </w:rPr>
              <w:t>厚HDPE防渗膜，防渗系数不大于1.0×10</w:t>
            </w:r>
            <w:r>
              <w:rPr>
                <w:rFonts w:hint="default" w:ascii="Times New Roman" w:hAnsi="Times New Roman" w:eastAsia="宋体" w:cs="Times New Roman"/>
                <w:color w:val="auto"/>
                <w:sz w:val="21"/>
                <w:szCs w:val="21"/>
                <w:highlight w:val="none"/>
                <w:vertAlign w:val="superscript"/>
                <w:lang w:val="en-US" w:eastAsia="zh-CN"/>
              </w:rPr>
              <w:t>-7</w:t>
            </w:r>
            <w:r>
              <w:rPr>
                <w:rFonts w:hint="eastAsia" w:cs="Times New Roman"/>
                <w:color w:val="auto"/>
                <w:sz w:val="21"/>
                <w:szCs w:val="21"/>
                <w:highlight w:val="none"/>
                <w:lang w:val="en-US" w:eastAsia="zh-CN"/>
              </w:rPr>
              <w:t>cm</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s</w:t>
            </w:r>
          </w:p>
        </w:tc>
        <w:tc>
          <w:tcPr>
            <w:tcW w:w="462" w:type="pct"/>
            <w:tcBorders>
              <w:tl2br w:val="nil"/>
              <w:tr2bl w:val="nil"/>
            </w:tcBorders>
            <w:noWrap w:val="0"/>
            <w:vAlign w:val="center"/>
          </w:tcPr>
          <w:p w14:paraId="1ADEA4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bl>
    <w:p w14:paraId="4CEE177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3.2.3总平面布置</w:t>
      </w:r>
    </w:p>
    <w:p w14:paraId="45BC5D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1</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总图布置</w:t>
      </w:r>
    </w:p>
    <w:p w14:paraId="25BEC6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本项目位于</w:t>
      </w:r>
      <w:r>
        <w:rPr>
          <w:rFonts w:hint="default" w:ascii="Times New Roman" w:hAnsi="Times New Roman" w:eastAsia="宋体" w:cs="Times New Roman"/>
          <w:color w:val="auto"/>
          <w:szCs w:val="24"/>
          <w:highlight w:val="none"/>
          <w:lang w:eastAsia="zh-CN"/>
        </w:rPr>
        <w:t>鄯善县厚旺铜矿有限责任公司现有厂区内</w:t>
      </w:r>
      <w:r>
        <w:rPr>
          <w:rFonts w:hint="default" w:ascii="Times New Roman" w:hAnsi="Times New Roman" w:eastAsia="宋体" w:cs="Times New Roman"/>
          <w:color w:val="auto"/>
          <w:szCs w:val="24"/>
          <w:highlight w:val="none"/>
        </w:rPr>
        <w:t>，项目建设用地约</w:t>
      </w:r>
      <w:r>
        <w:rPr>
          <w:rFonts w:hint="default" w:ascii="Times New Roman" w:hAnsi="Times New Roman" w:cs="Times New Roman"/>
          <w:color w:val="auto"/>
          <w:szCs w:val="24"/>
          <w:highlight w:val="none"/>
          <w:lang w:eastAsia="zh-CN"/>
        </w:rPr>
        <w:t>73333m</w:t>
      </w:r>
      <w:r>
        <w:rPr>
          <w:rFonts w:hint="default" w:ascii="Times New Roman" w:hAnsi="Times New Roman" w:eastAsia="宋体" w:cs="Times New Roman"/>
          <w:color w:val="auto"/>
          <w:szCs w:val="24"/>
          <w:highlight w:val="none"/>
          <w:vertAlign w:val="superscript"/>
        </w:rPr>
        <w:t>2</w:t>
      </w:r>
      <w:r>
        <w:rPr>
          <w:rFonts w:hint="default" w:ascii="Times New Roman" w:hAnsi="Times New Roman" w:eastAsia="宋体" w:cs="Times New Roman"/>
          <w:color w:val="auto"/>
          <w:szCs w:val="24"/>
          <w:highlight w:val="none"/>
        </w:rPr>
        <w:t>。新建厂房位于</w:t>
      </w:r>
      <w:r>
        <w:rPr>
          <w:rFonts w:hint="eastAsia" w:cs="Times New Roman"/>
          <w:color w:val="auto"/>
          <w:szCs w:val="24"/>
          <w:highlight w:val="none"/>
          <w:lang w:val="en-US" w:eastAsia="zh-CN"/>
        </w:rPr>
        <w:t>厂区</w:t>
      </w:r>
      <w:r>
        <w:rPr>
          <w:rFonts w:hint="default" w:ascii="Times New Roman" w:hAnsi="Times New Roman" w:eastAsia="宋体" w:cs="Times New Roman"/>
          <w:color w:val="auto"/>
          <w:szCs w:val="24"/>
          <w:highlight w:val="none"/>
          <w:lang w:val="en-US" w:eastAsia="zh-CN"/>
        </w:rPr>
        <w:t>南侧</w:t>
      </w:r>
      <w:r>
        <w:rPr>
          <w:rFonts w:hint="default" w:ascii="Times New Roman" w:hAnsi="Times New Roman" w:eastAsia="宋体" w:cs="Times New Roman"/>
          <w:color w:val="auto"/>
          <w:szCs w:val="24"/>
          <w:highlight w:val="none"/>
        </w:rPr>
        <w:t>，分为浸出车间</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过滤车间</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萃取车间三个部分。新建厂房</w:t>
      </w:r>
      <w:r>
        <w:rPr>
          <w:rFonts w:hint="default" w:ascii="Times New Roman" w:hAnsi="Times New Roman" w:eastAsia="宋体" w:cs="Times New Roman"/>
          <w:color w:val="auto"/>
          <w:szCs w:val="24"/>
          <w:highlight w:val="none"/>
          <w:lang w:val="en-US" w:eastAsia="zh-CN"/>
        </w:rPr>
        <w:t>北</w:t>
      </w:r>
      <w:r>
        <w:rPr>
          <w:rFonts w:hint="default" w:ascii="Times New Roman" w:hAnsi="Times New Roman" w:eastAsia="宋体" w:cs="Times New Roman"/>
          <w:color w:val="auto"/>
          <w:szCs w:val="24"/>
          <w:highlight w:val="none"/>
        </w:rPr>
        <w:t>侧为</w:t>
      </w:r>
      <w:r>
        <w:rPr>
          <w:rFonts w:hint="default" w:ascii="Times New Roman" w:hAnsi="Times New Roman" w:eastAsia="宋体" w:cs="Times New Roman"/>
          <w:color w:val="auto"/>
          <w:szCs w:val="24"/>
          <w:highlight w:val="none"/>
          <w:lang w:val="en-US" w:eastAsia="zh-CN"/>
        </w:rPr>
        <w:t>电积车间</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由1#车间改造而成</w:t>
      </w:r>
      <w:r>
        <w:rPr>
          <w:rFonts w:hint="default" w:ascii="Times New Roman" w:hAnsi="Times New Roman" w:eastAsia="宋体" w:cs="Times New Roman"/>
          <w:color w:val="auto"/>
          <w:szCs w:val="24"/>
          <w:highlight w:val="none"/>
        </w:rPr>
        <w:t>；</w:t>
      </w:r>
      <w:r>
        <w:rPr>
          <w:rFonts w:hint="eastAsia" w:cs="Times New Roman"/>
          <w:color w:val="auto"/>
          <w:szCs w:val="24"/>
          <w:highlight w:val="none"/>
          <w:lang w:val="en-US" w:eastAsia="zh-CN"/>
        </w:rPr>
        <w:t>球磨</w:t>
      </w:r>
      <w:r>
        <w:rPr>
          <w:rFonts w:hint="default" w:ascii="Times New Roman" w:hAnsi="Times New Roman" w:eastAsia="宋体" w:cs="Times New Roman"/>
          <w:color w:val="auto"/>
          <w:szCs w:val="24"/>
          <w:highlight w:val="none"/>
          <w:lang w:val="en-US" w:eastAsia="zh-CN"/>
        </w:rPr>
        <w:t>车间位于厂区东侧</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堆场均设置在厂区中部及北部</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厂区</w:t>
      </w:r>
      <w:r>
        <w:rPr>
          <w:rFonts w:hint="default" w:ascii="Times New Roman" w:hAnsi="Times New Roman" w:eastAsia="宋体" w:cs="Times New Roman"/>
          <w:color w:val="auto"/>
          <w:szCs w:val="24"/>
          <w:highlight w:val="none"/>
          <w:lang w:val="en-US" w:eastAsia="zh-CN"/>
        </w:rPr>
        <w:t>东北</w:t>
      </w:r>
      <w:r>
        <w:rPr>
          <w:rFonts w:hint="default" w:ascii="Times New Roman" w:hAnsi="Times New Roman" w:eastAsia="宋体" w:cs="Times New Roman"/>
          <w:color w:val="auto"/>
          <w:szCs w:val="24"/>
          <w:highlight w:val="none"/>
        </w:rPr>
        <w:t>侧为已建办公室</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项目区</w:t>
      </w:r>
      <w:r>
        <w:rPr>
          <w:rFonts w:hint="default" w:ascii="Times New Roman" w:hAnsi="Times New Roman" w:eastAsia="宋体" w:cs="Times New Roman"/>
          <w:color w:val="auto"/>
          <w:szCs w:val="24"/>
          <w:highlight w:val="none"/>
        </w:rPr>
        <w:t>平面布置图见</w:t>
      </w:r>
      <w:r>
        <w:rPr>
          <w:rFonts w:hint="default" w:ascii="Times New Roman" w:hAnsi="Times New Roman" w:cs="Times New Roman"/>
          <w:color w:val="auto"/>
          <w:szCs w:val="24"/>
          <w:highlight w:val="none"/>
          <w:lang w:val="en-US" w:eastAsia="zh-CN"/>
        </w:rPr>
        <w:t>附图4</w:t>
      </w:r>
      <w:r>
        <w:rPr>
          <w:rFonts w:hint="default" w:ascii="Times New Roman" w:hAnsi="Times New Roman" w:eastAsia="宋体" w:cs="Times New Roman"/>
          <w:color w:val="auto"/>
          <w:szCs w:val="24"/>
          <w:highlight w:val="none"/>
        </w:rPr>
        <w:t>。</w:t>
      </w:r>
    </w:p>
    <w:p w14:paraId="533FF7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2）总平面布置合理性分析</w:t>
      </w:r>
    </w:p>
    <w:p w14:paraId="43A91D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本项目总图布置设计规整，功能区划清楚，各功能区间物流顺畅，符合</w:t>
      </w:r>
      <w:bookmarkStart w:id="105" w:name="OLE_LINK13"/>
      <w:r>
        <w:rPr>
          <w:rFonts w:hint="default" w:ascii="Times New Roman" w:hAnsi="Times New Roman" w:eastAsia="宋体" w:cs="Times New Roman"/>
          <w:color w:val="auto"/>
          <w:szCs w:val="24"/>
          <w:highlight w:val="none"/>
        </w:rPr>
        <w:t>《工业企业总平面设计规范》（GB50187</w:t>
      </w:r>
      <w:bookmarkEnd w:id="105"/>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2012</w:t>
      </w:r>
      <w:r>
        <w:rPr>
          <w:rFonts w:hint="default" w:ascii="Times New Roman" w:hAnsi="Times New Roman" w:eastAsia="宋体" w:cs="Times New Roman"/>
          <w:color w:val="auto"/>
          <w:szCs w:val="24"/>
          <w:highlight w:val="none"/>
        </w:rPr>
        <w:t>）的要求。同时，厂内各</w:t>
      </w:r>
      <w:r>
        <w:rPr>
          <w:rFonts w:hint="eastAsia"/>
          <w:color w:val="auto"/>
          <w:highlight w:val="none"/>
          <w:lang w:val="en-US" w:eastAsia="zh-CN"/>
        </w:rPr>
        <w:t>建</w:t>
      </w:r>
      <w:r>
        <w:rPr>
          <w:rFonts w:hint="default" w:ascii="Times New Roman" w:hAnsi="Times New Roman" w:eastAsia="宋体" w:cs="Times New Roman"/>
          <w:color w:val="auto"/>
          <w:szCs w:val="24"/>
          <w:highlight w:val="none"/>
        </w:rPr>
        <w:t>构筑物间分布合理，可实现人流物流分离，利于厂内秩序和安全生产要求，各功能区间由道路间隔同时形成</w:t>
      </w:r>
      <w:r>
        <w:rPr>
          <w:rFonts w:hint="default" w:ascii="Times New Roman" w:hAnsi="Times New Roman" w:eastAsia="宋体" w:cs="Times New Roman"/>
          <w:color w:val="auto"/>
          <w:szCs w:val="24"/>
          <w:highlight w:val="none"/>
          <w:lang w:eastAsia="zh-CN"/>
        </w:rPr>
        <w:t>厂</w:t>
      </w:r>
      <w:r>
        <w:rPr>
          <w:rFonts w:hint="default" w:ascii="Times New Roman" w:hAnsi="Times New Roman" w:eastAsia="宋体" w:cs="Times New Roman"/>
          <w:color w:val="auto"/>
          <w:szCs w:val="24"/>
          <w:highlight w:val="none"/>
        </w:rPr>
        <w:t>内道路网，各建筑之间留有足够的安全防护间距，便于检修和人员活动，一旦发生危险时利于消防、安全疏散。</w:t>
      </w:r>
    </w:p>
    <w:p w14:paraId="7ABDC8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因此，厂区平面布置较为合理。</w:t>
      </w:r>
    </w:p>
    <w:p w14:paraId="2430EE85">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bookmarkStart w:id="106" w:name="_Hlk151405642"/>
      <w:r>
        <w:rPr>
          <w:rFonts w:hint="default" w:ascii="Times New Roman" w:hAnsi="Times New Roman" w:cs="Times New Roman"/>
          <w:color w:val="auto"/>
          <w:highlight w:val="none"/>
        </w:rPr>
        <w:t>3.2.4产品方案</w:t>
      </w:r>
    </w:p>
    <w:bookmarkEnd w:id="106"/>
    <w:p w14:paraId="592500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本项目</w:t>
      </w:r>
      <w:r>
        <w:rPr>
          <w:rFonts w:hint="eastAsia" w:ascii="Times New Roman" w:hAnsi="Times New Roman" w:eastAsia="宋体" w:cs="Times New Roman"/>
          <w:color w:val="auto"/>
          <w:szCs w:val="24"/>
          <w:highlight w:val="none"/>
          <w:lang w:val="zh-CN" w:eastAsia="zh-CN"/>
        </w:rPr>
        <w:t>年产3000吨阴极铜，</w:t>
      </w:r>
      <w:r>
        <w:rPr>
          <w:rFonts w:hint="eastAsia" w:ascii="Times New Roman" w:hAnsi="Times New Roman" w:eastAsia="宋体" w:cs="Times New Roman"/>
          <w:color w:val="auto"/>
          <w:szCs w:val="24"/>
          <w:highlight w:val="none"/>
          <w:lang w:val="en-US" w:eastAsia="zh-CN"/>
        </w:rPr>
        <w:t>阴极铜严格遵循国标GB/T467-2010中高纯阴极铜（Cu-CATH-1）标准。</w:t>
      </w:r>
    </w:p>
    <w:p w14:paraId="6D923F45">
      <w:pPr>
        <w:pStyle w:val="242"/>
        <w:keepNext w:val="0"/>
        <w:keepLines w:val="0"/>
        <w:pageBreakBefore w:val="0"/>
        <w:widowControl/>
        <w:kinsoku/>
        <w:wordWrap/>
        <w:overflowPunct/>
        <w:topLinePunct w:val="0"/>
        <w:autoSpaceDE/>
        <w:autoSpaceDN/>
        <w:bidi w:val="0"/>
        <w:adjustRightInd w:val="0"/>
        <w:snapToGrid/>
        <w:spacing w:before="0" w:after="0" w:line="240" w:lineRule="auto"/>
        <w:ind w:firstLine="0" w:firstLineChars="0"/>
        <w:jc w:val="center"/>
        <w:textAlignment w:val="baseline"/>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3.2-2</w:t>
      </w:r>
      <w:r>
        <w:rPr>
          <w:rFonts w:hint="default" w:ascii="Times New Roman" w:hAnsi="Times New Roman" w:eastAsia="宋体" w:cs="Times New Roman"/>
          <w:b/>
          <w:bCs/>
          <w:color w:val="auto"/>
          <w:sz w:val="21"/>
          <w:szCs w:val="21"/>
          <w:lang w:val="zh-CN" w:eastAsia="zh-CN"/>
        </w:rPr>
        <w:t xml:space="preserve">  A级铜(Cu-CATH</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zh-CN" w:eastAsia="zh-CN"/>
        </w:rPr>
        <w:t>1)化学成分（质量分数）</w:t>
      </w:r>
    </w:p>
    <w:tbl>
      <w:tblPr>
        <w:tblStyle w:val="33"/>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51" w:type="dxa"/>
          <w:bottom w:w="0" w:type="dxa"/>
          <w:right w:w="51" w:type="dxa"/>
        </w:tblCellMar>
      </w:tblPr>
      <w:tblGrid>
        <w:gridCol w:w="1680"/>
        <w:gridCol w:w="1680"/>
        <w:gridCol w:w="1680"/>
        <w:gridCol w:w="1680"/>
        <w:gridCol w:w="1680"/>
      </w:tblGrid>
      <w:tr w14:paraId="1EDBF6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461" w:hRule="atLeast"/>
          <w:jc w:val="center"/>
        </w:trPr>
        <w:tc>
          <w:tcPr>
            <w:tcW w:w="1000" w:type="pct"/>
            <w:tcBorders>
              <w:tl2br w:val="nil"/>
              <w:tr2bl w:val="nil"/>
            </w:tcBorders>
            <w:noWrap w:val="0"/>
            <w:vAlign w:val="center"/>
          </w:tcPr>
          <w:p w14:paraId="3775DA6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元素组</w:t>
            </w:r>
          </w:p>
        </w:tc>
        <w:tc>
          <w:tcPr>
            <w:tcW w:w="1000" w:type="pct"/>
            <w:tcBorders>
              <w:tl2br w:val="nil"/>
              <w:tr2bl w:val="nil"/>
            </w:tcBorders>
            <w:noWrap w:val="0"/>
            <w:vAlign w:val="center"/>
          </w:tcPr>
          <w:p w14:paraId="73DAB3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杂质元素</w:t>
            </w:r>
          </w:p>
        </w:tc>
        <w:tc>
          <w:tcPr>
            <w:tcW w:w="1000" w:type="pct"/>
            <w:tcBorders>
              <w:tl2br w:val="nil"/>
              <w:tr2bl w:val="nil"/>
            </w:tcBorders>
            <w:noWrap w:val="0"/>
            <w:vAlign w:val="center"/>
          </w:tcPr>
          <w:p w14:paraId="253F39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含量，不大于</w:t>
            </w:r>
          </w:p>
        </w:tc>
        <w:tc>
          <w:tcPr>
            <w:tcW w:w="2000" w:type="pct"/>
            <w:gridSpan w:val="2"/>
            <w:tcBorders>
              <w:tl2br w:val="nil"/>
              <w:tr2bl w:val="nil"/>
            </w:tcBorders>
            <w:noWrap w:val="0"/>
            <w:vAlign w:val="center"/>
          </w:tcPr>
          <w:p w14:paraId="738398C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元素组总含量，不大于</w:t>
            </w:r>
          </w:p>
        </w:tc>
      </w:tr>
      <w:tr w14:paraId="10B1F9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422" w:hRule="atLeast"/>
          <w:jc w:val="center"/>
        </w:trPr>
        <w:tc>
          <w:tcPr>
            <w:tcW w:w="1000" w:type="pct"/>
            <w:vMerge w:val="restart"/>
            <w:tcBorders>
              <w:tl2br w:val="nil"/>
              <w:tr2bl w:val="nil"/>
            </w:tcBorders>
            <w:shd w:val="clear" w:color="auto" w:fill="auto"/>
            <w:noWrap w:val="0"/>
            <w:vAlign w:val="center"/>
          </w:tcPr>
          <w:p w14:paraId="4089A0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00" w:type="pct"/>
            <w:tcBorders>
              <w:tl2br w:val="nil"/>
              <w:tr2bl w:val="nil"/>
            </w:tcBorders>
            <w:shd w:val="clear" w:color="auto" w:fill="auto"/>
            <w:noWrap w:val="0"/>
            <w:vAlign w:val="center"/>
          </w:tcPr>
          <w:p w14:paraId="6D77754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Se </w:t>
            </w:r>
          </w:p>
        </w:tc>
        <w:tc>
          <w:tcPr>
            <w:tcW w:w="1000" w:type="pct"/>
            <w:tcBorders>
              <w:tl2br w:val="nil"/>
              <w:tr2bl w:val="nil"/>
            </w:tcBorders>
            <w:shd w:val="clear" w:color="auto" w:fill="auto"/>
            <w:noWrap w:val="0"/>
            <w:vAlign w:val="center"/>
          </w:tcPr>
          <w:p w14:paraId="1CA91FD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0.00020</w:t>
            </w:r>
          </w:p>
        </w:tc>
        <w:tc>
          <w:tcPr>
            <w:tcW w:w="1000" w:type="pct"/>
            <w:vMerge w:val="restart"/>
            <w:tcBorders>
              <w:tl2br w:val="nil"/>
              <w:tr2bl w:val="nil"/>
            </w:tcBorders>
            <w:shd w:val="clear" w:color="auto" w:fill="auto"/>
            <w:noWrap w:val="0"/>
            <w:vAlign w:val="center"/>
          </w:tcPr>
          <w:p w14:paraId="582780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p>
        </w:tc>
        <w:tc>
          <w:tcPr>
            <w:tcW w:w="1000" w:type="pct"/>
            <w:vMerge w:val="restart"/>
            <w:tcBorders>
              <w:tl2br w:val="nil"/>
              <w:tr2bl w:val="nil"/>
            </w:tcBorders>
            <w:shd w:val="clear" w:color="auto" w:fill="auto"/>
            <w:noWrap w:val="0"/>
            <w:vAlign w:val="center"/>
          </w:tcPr>
          <w:p w14:paraId="5FCB2D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p>
        </w:tc>
      </w:tr>
      <w:tr w14:paraId="786F24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427" w:hRule="atLeast"/>
          <w:jc w:val="center"/>
        </w:trPr>
        <w:tc>
          <w:tcPr>
            <w:tcW w:w="1000" w:type="pct"/>
            <w:vMerge w:val="continue"/>
            <w:tcBorders>
              <w:tl2br w:val="nil"/>
              <w:tr2bl w:val="nil"/>
            </w:tcBorders>
            <w:shd w:val="clear" w:color="auto" w:fill="auto"/>
            <w:noWrap w:val="0"/>
            <w:vAlign w:val="center"/>
          </w:tcPr>
          <w:p w14:paraId="6E27AE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tcBorders>
              <w:tl2br w:val="nil"/>
              <w:tr2bl w:val="nil"/>
            </w:tcBorders>
            <w:noWrap w:val="0"/>
            <w:vAlign w:val="center"/>
          </w:tcPr>
          <w:p w14:paraId="58EDCA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Te</w:t>
            </w:r>
          </w:p>
        </w:tc>
        <w:tc>
          <w:tcPr>
            <w:tcW w:w="1000" w:type="pct"/>
            <w:tcBorders>
              <w:tl2br w:val="nil"/>
              <w:tr2bl w:val="nil"/>
            </w:tcBorders>
            <w:noWrap w:val="0"/>
            <w:vAlign w:val="center"/>
          </w:tcPr>
          <w:p w14:paraId="193DF2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0.00020</w:t>
            </w:r>
          </w:p>
        </w:tc>
        <w:tc>
          <w:tcPr>
            <w:tcW w:w="1000" w:type="pct"/>
            <w:vMerge w:val="continue"/>
            <w:tcBorders>
              <w:tl2br w:val="nil"/>
              <w:tr2bl w:val="nil"/>
            </w:tcBorders>
            <w:noWrap w:val="0"/>
            <w:vAlign w:val="center"/>
          </w:tcPr>
          <w:p w14:paraId="6540AB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vMerge w:val="continue"/>
            <w:tcBorders>
              <w:tl2br w:val="nil"/>
              <w:tr2bl w:val="nil"/>
            </w:tcBorders>
            <w:noWrap w:val="0"/>
            <w:vAlign w:val="center"/>
          </w:tcPr>
          <w:p w14:paraId="7AA9DD5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1B8628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406" w:hRule="atLeast"/>
          <w:jc w:val="center"/>
        </w:trPr>
        <w:tc>
          <w:tcPr>
            <w:tcW w:w="1000" w:type="pct"/>
            <w:vMerge w:val="continue"/>
            <w:tcBorders>
              <w:tl2br w:val="nil"/>
              <w:tr2bl w:val="nil"/>
            </w:tcBorders>
            <w:shd w:val="clear" w:color="auto" w:fill="auto"/>
            <w:noWrap w:val="0"/>
            <w:vAlign w:val="center"/>
          </w:tcPr>
          <w:p w14:paraId="5E76C08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tcBorders>
              <w:tl2br w:val="nil"/>
              <w:tr2bl w:val="nil"/>
            </w:tcBorders>
            <w:noWrap w:val="0"/>
            <w:vAlign w:val="center"/>
          </w:tcPr>
          <w:p w14:paraId="3E01371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Bi</w:t>
            </w:r>
          </w:p>
        </w:tc>
        <w:tc>
          <w:tcPr>
            <w:tcW w:w="1000" w:type="pct"/>
            <w:tcBorders>
              <w:tl2br w:val="nil"/>
              <w:tr2bl w:val="nil"/>
            </w:tcBorders>
            <w:noWrap w:val="0"/>
            <w:vAlign w:val="center"/>
          </w:tcPr>
          <w:p w14:paraId="2968CB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0.00020</w:t>
            </w:r>
          </w:p>
        </w:tc>
        <w:tc>
          <w:tcPr>
            <w:tcW w:w="1000" w:type="pct"/>
            <w:tcBorders>
              <w:tl2br w:val="nil"/>
              <w:tr2bl w:val="nil"/>
            </w:tcBorders>
            <w:noWrap w:val="0"/>
            <w:vAlign w:val="center"/>
          </w:tcPr>
          <w:p w14:paraId="301C3E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vMerge w:val="continue"/>
            <w:tcBorders>
              <w:tl2br w:val="nil"/>
              <w:tr2bl w:val="nil"/>
            </w:tcBorders>
            <w:noWrap w:val="0"/>
            <w:vAlign w:val="center"/>
          </w:tcPr>
          <w:p w14:paraId="2B6491F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4DA25D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58" w:hRule="atLeast"/>
          <w:jc w:val="center"/>
        </w:trPr>
        <w:tc>
          <w:tcPr>
            <w:tcW w:w="1000" w:type="pct"/>
            <w:vMerge w:val="restart"/>
            <w:tcBorders>
              <w:tl2br w:val="nil"/>
              <w:tr2bl w:val="nil"/>
            </w:tcBorders>
            <w:shd w:val="clear" w:color="auto" w:fill="auto"/>
            <w:noWrap w:val="0"/>
            <w:vAlign w:val="center"/>
          </w:tcPr>
          <w:p w14:paraId="0EDFC6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00" w:type="pct"/>
            <w:tcBorders>
              <w:tl2br w:val="nil"/>
              <w:tr2bl w:val="nil"/>
            </w:tcBorders>
            <w:noWrap w:val="0"/>
            <w:vAlign w:val="center"/>
          </w:tcPr>
          <w:p w14:paraId="6BB318C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Cr   </w:t>
            </w:r>
          </w:p>
        </w:tc>
        <w:tc>
          <w:tcPr>
            <w:tcW w:w="1000" w:type="pct"/>
            <w:tcBorders>
              <w:tl2br w:val="nil"/>
              <w:tr2bl w:val="nil"/>
            </w:tcBorders>
            <w:noWrap w:val="0"/>
            <w:vAlign w:val="center"/>
          </w:tcPr>
          <w:p w14:paraId="7324D3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restart"/>
            <w:tcBorders>
              <w:tl2br w:val="nil"/>
              <w:tr2bl w:val="nil"/>
            </w:tcBorders>
            <w:noWrap w:val="0"/>
            <w:vAlign w:val="center"/>
          </w:tcPr>
          <w:p w14:paraId="41FAAE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0.0015</w:t>
            </w:r>
          </w:p>
        </w:tc>
      </w:tr>
      <w:tr w14:paraId="132433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19" w:hRule="atLeast"/>
          <w:jc w:val="center"/>
        </w:trPr>
        <w:tc>
          <w:tcPr>
            <w:tcW w:w="1000" w:type="pct"/>
            <w:vMerge w:val="continue"/>
            <w:tcBorders>
              <w:tl2br w:val="nil"/>
              <w:tr2bl w:val="nil"/>
            </w:tcBorders>
            <w:shd w:val="clear" w:color="auto" w:fill="auto"/>
            <w:noWrap w:val="0"/>
            <w:vAlign w:val="center"/>
          </w:tcPr>
          <w:p w14:paraId="79F72D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tcBorders>
              <w:tl2br w:val="nil"/>
              <w:tr2bl w:val="nil"/>
            </w:tcBorders>
            <w:noWrap w:val="0"/>
            <w:vAlign w:val="center"/>
          </w:tcPr>
          <w:p w14:paraId="4C55AF5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 xml:space="preserve">Mn </w:t>
            </w:r>
          </w:p>
        </w:tc>
        <w:tc>
          <w:tcPr>
            <w:tcW w:w="1000" w:type="pct"/>
            <w:tcBorders>
              <w:tl2br w:val="nil"/>
              <w:tr2bl w:val="nil"/>
            </w:tcBorders>
            <w:shd w:val="clear" w:color="auto" w:fill="auto"/>
            <w:noWrap w:val="0"/>
            <w:vAlign w:val="center"/>
          </w:tcPr>
          <w:p w14:paraId="56E2301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00" w:type="pct"/>
            <w:gridSpan w:val="2"/>
            <w:vMerge w:val="continue"/>
            <w:tcBorders>
              <w:tl2br w:val="nil"/>
              <w:tr2bl w:val="nil"/>
            </w:tcBorders>
            <w:shd w:val="clear" w:color="auto" w:fill="auto"/>
            <w:noWrap w:val="0"/>
            <w:vAlign w:val="center"/>
          </w:tcPr>
          <w:p w14:paraId="3B1869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6D9E1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4A4A8C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0828CBC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Sb</w:t>
            </w:r>
          </w:p>
        </w:tc>
        <w:tc>
          <w:tcPr>
            <w:tcW w:w="1000" w:type="pct"/>
            <w:tcBorders>
              <w:tl2br w:val="nil"/>
              <w:tr2bl w:val="nil"/>
            </w:tcBorders>
            <w:noWrap w:val="0"/>
            <w:vAlign w:val="center"/>
          </w:tcPr>
          <w:p w14:paraId="40E942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0.0004</w:t>
            </w:r>
          </w:p>
        </w:tc>
        <w:tc>
          <w:tcPr>
            <w:tcW w:w="2000" w:type="pct"/>
            <w:gridSpan w:val="2"/>
            <w:vMerge w:val="continue"/>
            <w:tcBorders>
              <w:tl2br w:val="nil"/>
              <w:tr2bl w:val="nil"/>
            </w:tcBorders>
            <w:noWrap w:val="0"/>
            <w:vAlign w:val="center"/>
          </w:tcPr>
          <w:p w14:paraId="7E2D486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2CEA2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72671E2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30351D3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Cd</w:t>
            </w:r>
          </w:p>
        </w:tc>
        <w:tc>
          <w:tcPr>
            <w:tcW w:w="1000" w:type="pct"/>
            <w:tcBorders>
              <w:tl2br w:val="nil"/>
              <w:tr2bl w:val="nil"/>
            </w:tcBorders>
            <w:noWrap w:val="0"/>
            <w:vAlign w:val="center"/>
          </w:tcPr>
          <w:p w14:paraId="0391E40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09182A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99F2E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5B10FFF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6EEF92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As</w:t>
            </w:r>
          </w:p>
        </w:tc>
        <w:tc>
          <w:tcPr>
            <w:tcW w:w="1000" w:type="pct"/>
            <w:tcBorders>
              <w:tl2br w:val="nil"/>
              <w:tr2bl w:val="nil"/>
            </w:tcBorders>
            <w:noWrap w:val="0"/>
            <w:vAlign w:val="center"/>
          </w:tcPr>
          <w:p w14:paraId="0562BE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0.0005</w:t>
            </w:r>
          </w:p>
        </w:tc>
        <w:tc>
          <w:tcPr>
            <w:tcW w:w="2000" w:type="pct"/>
            <w:gridSpan w:val="2"/>
            <w:vMerge w:val="continue"/>
            <w:tcBorders>
              <w:tl2br w:val="nil"/>
              <w:tr2bl w:val="nil"/>
            </w:tcBorders>
            <w:noWrap w:val="0"/>
            <w:vAlign w:val="center"/>
          </w:tcPr>
          <w:p w14:paraId="4DE3F4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1A406B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6FE2F3C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7554CA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P</w:t>
            </w:r>
          </w:p>
        </w:tc>
        <w:tc>
          <w:tcPr>
            <w:tcW w:w="1000" w:type="pct"/>
            <w:tcBorders>
              <w:tl2br w:val="nil"/>
              <w:tr2bl w:val="nil"/>
            </w:tcBorders>
            <w:noWrap w:val="0"/>
            <w:vAlign w:val="center"/>
          </w:tcPr>
          <w:p w14:paraId="123596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7E388C4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22053D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tcBorders>
              <w:tl2br w:val="nil"/>
              <w:tr2bl w:val="nil"/>
            </w:tcBorders>
            <w:shd w:val="clear" w:color="auto" w:fill="auto"/>
            <w:noWrap w:val="0"/>
            <w:vAlign w:val="center"/>
          </w:tcPr>
          <w:p w14:paraId="33D47D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000" w:type="pct"/>
            <w:tcBorders>
              <w:tl2br w:val="nil"/>
              <w:tr2bl w:val="nil"/>
            </w:tcBorders>
            <w:noWrap w:val="0"/>
            <w:vAlign w:val="center"/>
          </w:tcPr>
          <w:p w14:paraId="271544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Pb </w:t>
            </w:r>
          </w:p>
        </w:tc>
        <w:tc>
          <w:tcPr>
            <w:tcW w:w="1000" w:type="pct"/>
            <w:tcBorders>
              <w:tl2br w:val="nil"/>
              <w:tr2bl w:val="nil"/>
            </w:tcBorders>
            <w:noWrap w:val="0"/>
            <w:vAlign w:val="center"/>
          </w:tcPr>
          <w:p w14:paraId="3AC305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0.0005</w:t>
            </w:r>
          </w:p>
        </w:tc>
        <w:tc>
          <w:tcPr>
            <w:tcW w:w="2000" w:type="pct"/>
            <w:gridSpan w:val="2"/>
            <w:vMerge w:val="continue"/>
            <w:tcBorders>
              <w:tl2br w:val="nil"/>
              <w:tr2bl w:val="nil"/>
            </w:tcBorders>
            <w:noWrap w:val="0"/>
            <w:vAlign w:val="center"/>
          </w:tcPr>
          <w:p w14:paraId="33BD586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A3884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tcBorders>
              <w:tl2br w:val="nil"/>
              <w:tr2bl w:val="nil"/>
            </w:tcBorders>
            <w:shd w:val="clear" w:color="auto" w:fill="auto"/>
            <w:noWrap w:val="0"/>
            <w:vAlign w:val="center"/>
          </w:tcPr>
          <w:p w14:paraId="143DBC6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000" w:type="pct"/>
            <w:tcBorders>
              <w:tl2br w:val="nil"/>
              <w:tr2bl w:val="nil"/>
            </w:tcBorders>
            <w:noWrap w:val="0"/>
            <w:vAlign w:val="center"/>
          </w:tcPr>
          <w:p w14:paraId="087EDD3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00" w:type="pct"/>
            <w:tcBorders>
              <w:tl2br w:val="nil"/>
              <w:tr2bl w:val="nil"/>
            </w:tcBorders>
            <w:noWrap w:val="0"/>
            <w:vAlign w:val="center"/>
          </w:tcPr>
          <w:p w14:paraId="38944E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0.0015</w:t>
            </w:r>
          </w:p>
        </w:tc>
        <w:tc>
          <w:tcPr>
            <w:tcW w:w="2000" w:type="pct"/>
            <w:gridSpan w:val="2"/>
            <w:vMerge w:val="restart"/>
            <w:tcBorders>
              <w:tl2br w:val="nil"/>
              <w:tr2bl w:val="nil"/>
            </w:tcBorders>
            <w:noWrap w:val="0"/>
            <w:vAlign w:val="center"/>
          </w:tcPr>
          <w:p w14:paraId="67F9B89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0.0020</w:t>
            </w:r>
          </w:p>
        </w:tc>
      </w:tr>
      <w:tr w14:paraId="3906C4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restart"/>
            <w:tcBorders>
              <w:tl2br w:val="nil"/>
              <w:tr2bl w:val="nil"/>
            </w:tcBorders>
            <w:shd w:val="clear" w:color="auto" w:fill="auto"/>
            <w:noWrap w:val="0"/>
            <w:vAlign w:val="center"/>
          </w:tcPr>
          <w:p w14:paraId="170996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000" w:type="pct"/>
            <w:tcBorders>
              <w:tl2br w:val="nil"/>
              <w:tr2bl w:val="nil"/>
            </w:tcBorders>
            <w:noWrap w:val="0"/>
            <w:vAlign w:val="center"/>
          </w:tcPr>
          <w:p w14:paraId="159C86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Sn  </w:t>
            </w:r>
          </w:p>
        </w:tc>
        <w:tc>
          <w:tcPr>
            <w:tcW w:w="1000" w:type="pct"/>
            <w:tcBorders>
              <w:tl2br w:val="nil"/>
              <w:tr2bl w:val="nil"/>
            </w:tcBorders>
            <w:noWrap w:val="0"/>
            <w:vAlign w:val="center"/>
          </w:tcPr>
          <w:p w14:paraId="3463E3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38B63C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4193E8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786537D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51D3DFF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Ni </w:t>
            </w:r>
          </w:p>
        </w:tc>
        <w:tc>
          <w:tcPr>
            <w:tcW w:w="1000" w:type="pct"/>
            <w:tcBorders>
              <w:tl2br w:val="nil"/>
              <w:tr2bl w:val="nil"/>
            </w:tcBorders>
            <w:noWrap w:val="0"/>
            <w:vAlign w:val="center"/>
          </w:tcPr>
          <w:p w14:paraId="1FA1C07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3FE9F5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134279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33A42B4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5B060F7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Fe </w:t>
            </w:r>
          </w:p>
        </w:tc>
        <w:tc>
          <w:tcPr>
            <w:tcW w:w="1000" w:type="pct"/>
            <w:tcBorders>
              <w:tl2br w:val="nil"/>
              <w:tr2bl w:val="nil"/>
            </w:tcBorders>
            <w:noWrap w:val="0"/>
            <w:vAlign w:val="center"/>
          </w:tcPr>
          <w:p w14:paraId="0A0E9B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0.0010</w:t>
            </w:r>
          </w:p>
        </w:tc>
        <w:tc>
          <w:tcPr>
            <w:tcW w:w="2000" w:type="pct"/>
            <w:gridSpan w:val="2"/>
            <w:vMerge w:val="continue"/>
            <w:tcBorders>
              <w:tl2br w:val="nil"/>
              <w:tr2bl w:val="nil"/>
            </w:tcBorders>
            <w:noWrap w:val="0"/>
            <w:vAlign w:val="center"/>
          </w:tcPr>
          <w:p w14:paraId="2DD3CD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B43E4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16823D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070F4F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Si</w:t>
            </w:r>
          </w:p>
        </w:tc>
        <w:tc>
          <w:tcPr>
            <w:tcW w:w="1000" w:type="pct"/>
            <w:tcBorders>
              <w:tl2br w:val="nil"/>
              <w:tr2bl w:val="nil"/>
            </w:tcBorders>
            <w:noWrap w:val="0"/>
            <w:vAlign w:val="center"/>
          </w:tcPr>
          <w:p w14:paraId="7911B1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607AC5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1F887B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0F92D2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38D21D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Zn</w:t>
            </w:r>
          </w:p>
        </w:tc>
        <w:tc>
          <w:tcPr>
            <w:tcW w:w="1000" w:type="pct"/>
            <w:tcBorders>
              <w:tl2br w:val="nil"/>
              <w:tr2bl w:val="nil"/>
            </w:tcBorders>
            <w:noWrap w:val="0"/>
            <w:vAlign w:val="center"/>
          </w:tcPr>
          <w:p w14:paraId="54CFF0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4F0F139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338B2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5C120E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730A23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Co</w:t>
            </w:r>
          </w:p>
        </w:tc>
        <w:tc>
          <w:tcPr>
            <w:tcW w:w="1000" w:type="pct"/>
            <w:tcBorders>
              <w:tl2br w:val="nil"/>
              <w:tr2bl w:val="nil"/>
            </w:tcBorders>
            <w:noWrap w:val="0"/>
            <w:vAlign w:val="center"/>
          </w:tcPr>
          <w:p w14:paraId="4058DD3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1A3672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60B7BD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tcBorders>
              <w:tl2br w:val="nil"/>
              <w:tr2bl w:val="nil"/>
            </w:tcBorders>
            <w:shd w:val="clear" w:color="auto" w:fill="auto"/>
            <w:noWrap w:val="0"/>
            <w:vAlign w:val="center"/>
          </w:tcPr>
          <w:p w14:paraId="702F72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1000" w:type="pct"/>
            <w:tcBorders>
              <w:tl2br w:val="nil"/>
              <w:tr2bl w:val="nil"/>
            </w:tcBorders>
            <w:noWrap w:val="0"/>
            <w:vAlign w:val="center"/>
          </w:tcPr>
          <w:p w14:paraId="3A8080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Ag </w:t>
            </w:r>
          </w:p>
        </w:tc>
        <w:tc>
          <w:tcPr>
            <w:tcW w:w="1000" w:type="pct"/>
            <w:tcBorders>
              <w:tl2br w:val="nil"/>
              <w:tr2bl w:val="nil"/>
            </w:tcBorders>
            <w:noWrap w:val="0"/>
            <w:vAlign w:val="center"/>
          </w:tcPr>
          <w:p w14:paraId="141CB90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0.0025</w:t>
            </w:r>
          </w:p>
        </w:tc>
        <w:tc>
          <w:tcPr>
            <w:tcW w:w="2000" w:type="pct"/>
            <w:gridSpan w:val="2"/>
            <w:tcBorders>
              <w:tl2br w:val="nil"/>
              <w:tr2bl w:val="nil"/>
            </w:tcBorders>
            <w:noWrap w:val="0"/>
            <w:vAlign w:val="center"/>
          </w:tcPr>
          <w:p w14:paraId="79C746C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0.0025</w:t>
            </w:r>
          </w:p>
        </w:tc>
      </w:tr>
      <w:tr w14:paraId="61280C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2000" w:type="pct"/>
            <w:gridSpan w:val="2"/>
            <w:tcBorders>
              <w:tl2br w:val="nil"/>
              <w:tr2bl w:val="nil"/>
            </w:tcBorders>
            <w:shd w:val="clear" w:color="auto" w:fill="auto"/>
            <w:noWrap w:val="0"/>
            <w:vAlign w:val="center"/>
          </w:tcPr>
          <w:p w14:paraId="02D8C5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表中所列杂质元素总含量 </w:t>
            </w:r>
          </w:p>
        </w:tc>
        <w:tc>
          <w:tcPr>
            <w:tcW w:w="3000" w:type="pct"/>
            <w:gridSpan w:val="3"/>
            <w:tcBorders>
              <w:tl2br w:val="nil"/>
              <w:tr2bl w:val="nil"/>
            </w:tcBorders>
            <w:noWrap w:val="0"/>
            <w:vAlign w:val="center"/>
          </w:tcPr>
          <w:p w14:paraId="6668F2B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0.0065</w:t>
            </w:r>
          </w:p>
        </w:tc>
      </w:tr>
    </w:tbl>
    <w:p w14:paraId="1AA050FE">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3.2.5原辅材料及能源消耗</w:t>
      </w:r>
    </w:p>
    <w:p w14:paraId="3492DA5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lang w:val="en-US" w:eastAsia="zh-CN"/>
        </w:rPr>
      </w:pPr>
      <w:bookmarkStart w:id="107" w:name="_Hlk151405719"/>
      <w:r>
        <w:rPr>
          <w:rFonts w:hint="default" w:ascii="Times New Roman" w:hAnsi="Times New Roman" w:cs="Times New Roman"/>
          <w:color w:val="auto"/>
          <w:kern w:val="0"/>
          <w:szCs w:val="28"/>
          <w:highlight w:val="none"/>
          <w:lang w:val="en-US" w:eastAsia="zh-CN"/>
        </w:rPr>
        <w:t>本项目原辅材料及能耗情况见表3.2-3</w:t>
      </w:r>
      <w:r>
        <w:rPr>
          <w:rFonts w:hint="eastAsia" w:cs="Times New Roman"/>
          <w:color w:val="auto"/>
          <w:kern w:val="0"/>
          <w:szCs w:val="28"/>
          <w:highlight w:val="none"/>
          <w:lang w:val="en-US" w:eastAsia="zh-CN"/>
        </w:rPr>
        <w:t>。</w:t>
      </w:r>
    </w:p>
    <w:p w14:paraId="1DBDDB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表3.2-</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主要辅材使用情况表</w:t>
      </w:r>
    </w:p>
    <w:bookmarkEnd w:id="107"/>
    <w:tbl>
      <w:tblPr>
        <w:tblStyle w:val="3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5"/>
        <w:gridCol w:w="2844"/>
        <w:gridCol w:w="1442"/>
        <w:gridCol w:w="1739"/>
        <w:gridCol w:w="1094"/>
        <w:gridCol w:w="953"/>
      </w:tblGrid>
      <w:tr w14:paraId="3165BA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75CB52A7">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序号</w:t>
            </w:r>
          </w:p>
        </w:tc>
        <w:tc>
          <w:tcPr>
            <w:tcW w:w="1669" w:type="pct"/>
            <w:tcBorders>
              <w:tl2br w:val="nil"/>
              <w:tr2bl w:val="nil"/>
            </w:tcBorders>
            <w:noWrap w:val="0"/>
            <w:vAlign w:val="center"/>
          </w:tcPr>
          <w:p w14:paraId="4109A61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原料名称</w:t>
            </w:r>
          </w:p>
        </w:tc>
        <w:tc>
          <w:tcPr>
            <w:tcW w:w="846" w:type="pct"/>
            <w:tcBorders>
              <w:tl2br w:val="nil"/>
              <w:tr2bl w:val="nil"/>
            </w:tcBorders>
            <w:noWrap w:val="0"/>
            <w:vAlign w:val="center"/>
          </w:tcPr>
          <w:p w14:paraId="03F7E2C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val="en-US" w:eastAsia="zh-CN"/>
              </w:rPr>
              <w:t>用量</w:t>
            </w:r>
          </w:p>
        </w:tc>
        <w:tc>
          <w:tcPr>
            <w:tcW w:w="1020" w:type="pct"/>
            <w:tcBorders>
              <w:tl2br w:val="nil"/>
              <w:tr2bl w:val="nil"/>
            </w:tcBorders>
            <w:noWrap w:val="0"/>
            <w:vAlign w:val="center"/>
          </w:tcPr>
          <w:p w14:paraId="21F8FA0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储存方式及存放场所</w:t>
            </w:r>
          </w:p>
        </w:tc>
        <w:tc>
          <w:tcPr>
            <w:tcW w:w="642" w:type="pct"/>
            <w:tcBorders>
              <w:tl2br w:val="nil"/>
              <w:tr2bl w:val="nil"/>
            </w:tcBorders>
            <w:noWrap w:val="0"/>
            <w:vAlign w:val="center"/>
          </w:tcPr>
          <w:p w14:paraId="50E9B77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厂外运输</w:t>
            </w:r>
          </w:p>
        </w:tc>
        <w:tc>
          <w:tcPr>
            <w:tcW w:w="559" w:type="pct"/>
            <w:tcBorders>
              <w:tl2br w:val="nil"/>
              <w:tr2bl w:val="nil"/>
            </w:tcBorders>
            <w:noWrap w:val="0"/>
            <w:vAlign w:val="center"/>
          </w:tcPr>
          <w:p w14:paraId="285EEA3F">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来源</w:t>
            </w:r>
          </w:p>
        </w:tc>
      </w:tr>
      <w:tr w14:paraId="30A2F2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5F9DC01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1</w:t>
            </w:r>
          </w:p>
        </w:tc>
        <w:tc>
          <w:tcPr>
            <w:tcW w:w="1669" w:type="pct"/>
            <w:tcBorders>
              <w:tl2br w:val="nil"/>
              <w:tr2bl w:val="nil"/>
            </w:tcBorders>
            <w:noWrap w:val="0"/>
            <w:vAlign w:val="center"/>
          </w:tcPr>
          <w:p w14:paraId="49776CCA">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eastAsia="zh-Hans"/>
              </w:rPr>
              <w:t>氧化铜矿石</w:t>
            </w:r>
            <w:r>
              <w:rPr>
                <w:rFonts w:hint="default" w:ascii="Times New Roman" w:hAnsi="Times New Roman" w:eastAsia="宋体" w:cs="Times New Roman"/>
                <w:b w:val="0"/>
                <w:bCs w:val="0"/>
                <w:color w:val="auto"/>
                <w:spacing w:val="10"/>
                <w:sz w:val="21"/>
                <w:szCs w:val="21"/>
                <w:highlight w:val="none"/>
              </w:rPr>
              <w:t>（含铜＞</w:t>
            </w:r>
            <w:r>
              <w:rPr>
                <w:rFonts w:hint="default" w:ascii="Times New Roman" w:hAnsi="Times New Roman" w:eastAsia="宋体" w:cs="Times New Roman"/>
                <w:b w:val="0"/>
                <w:bCs w:val="0"/>
                <w:color w:val="auto"/>
                <w:spacing w:val="10"/>
                <w:sz w:val="21"/>
                <w:szCs w:val="21"/>
                <w:highlight w:val="none"/>
                <w:lang w:eastAsia="zh-Hans"/>
              </w:rPr>
              <w:t>0.</w:t>
            </w:r>
            <w:r>
              <w:rPr>
                <w:rFonts w:hint="default" w:ascii="Times New Roman" w:hAnsi="Times New Roman" w:eastAsia="宋体" w:cs="Times New Roman"/>
                <w:b w:val="0"/>
                <w:bCs w:val="0"/>
                <w:color w:val="auto"/>
                <w:spacing w:val="10"/>
                <w:sz w:val="21"/>
                <w:szCs w:val="21"/>
                <w:highlight w:val="none"/>
              </w:rPr>
              <w:t>8</w:t>
            </w:r>
            <w:r>
              <w:rPr>
                <w:rFonts w:hint="default" w:ascii="Times New Roman" w:hAnsi="Times New Roman" w:eastAsia="宋体" w:cs="Times New Roman"/>
                <w:b w:val="0"/>
                <w:bCs w:val="0"/>
                <w:color w:val="auto"/>
                <w:spacing w:val="10"/>
                <w:sz w:val="21"/>
                <w:szCs w:val="21"/>
                <w:highlight w:val="none"/>
                <w:lang w:eastAsia="zh-Hans"/>
              </w:rPr>
              <w:t>%</w:t>
            </w:r>
            <w:r>
              <w:rPr>
                <w:rFonts w:hint="default" w:ascii="Times New Roman" w:hAnsi="Times New Roman" w:eastAsia="宋体" w:cs="Times New Roman"/>
                <w:b w:val="0"/>
                <w:bCs w:val="0"/>
                <w:color w:val="auto"/>
                <w:spacing w:val="10"/>
                <w:sz w:val="21"/>
                <w:szCs w:val="21"/>
                <w:highlight w:val="none"/>
              </w:rPr>
              <w:t>）</w:t>
            </w:r>
          </w:p>
        </w:tc>
        <w:tc>
          <w:tcPr>
            <w:tcW w:w="846" w:type="pct"/>
            <w:tcBorders>
              <w:tl2br w:val="nil"/>
              <w:tr2bl w:val="nil"/>
            </w:tcBorders>
            <w:noWrap w:val="0"/>
            <w:vAlign w:val="center"/>
          </w:tcPr>
          <w:p w14:paraId="4808100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500000t/a</w:t>
            </w:r>
          </w:p>
        </w:tc>
        <w:tc>
          <w:tcPr>
            <w:tcW w:w="1020" w:type="pct"/>
            <w:tcBorders>
              <w:tl2br w:val="nil"/>
              <w:tr2bl w:val="nil"/>
            </w:tcBorders>
            <w:noWrap w:val="0"/>
            <w:vAlign w:val="center"/>
          </w:tcPr>
          <w:p w14:paraId="3BF6648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堆场堆存</w:t>
            </w:r>
          </w:p>
        </w:tc>
        <w:tc>
          <w:tcPr>
            <w:tcW w:w="642" w:type="pct"/>
            <w:tcBorders>
              <w:tl2br w:val="nil"/>
              <w:tr2bl w:val="nil"/>
            </w:tcBorders>
            <w:noWrap w:val="0"/>
            <w:vAlign w:val="center"/>
          </w:tcPr>
          <w:p w14:paraId="120E8EB6">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30DBB77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1937B8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1827765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2</w:t>
            </w:r>
          </w:p>
        </w:tc>
        <w:tc>
          <w:tcPr>
            <w:tcW w:w="1669" w:type="pct"/>
            <w:tcBorders>
              <w:tl2br w:val="nil"/>
              <w:tr2bl w:val="nil"/>
            </w:tcBorders>
            <w:noWrap w:val="0"/>
            <w:vAlign w:val="center"/>
          </w:tcPr>
          <w:p w14:paraId="3DF18E5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eastAsia="zh-Hans"/>
              </w:rPr>
              <w:t>硫酸</w:t>
            </w:r>
            <w:r>
              <w:rPr>
                <w:rFonts w:hint="default" w:ascii="Times New Roman" w:hAnsi="Times New Roman" w:eastAsia="宋体" w:cs="Times New Roman"/>
                <w:b w:val="0"/>
                <w:bCs w:val="0"/>
                <w:color w:val="auto"/>
                <w:spacing w:val="10"/>
                <w:sz w:val="21"/>
                <w:szCs w:val="21"/>
                <w:highlight w:val="none"/>
              </w:rPr>
              <w:t>（98%）</w:t>
            </w:r>
          </w:p>
        </w:tc>
        <w:tc>
          <w:tcPr>
            <w:tcW w:w="846" w:type="pct"/>
            <w:tcBorders>
              <w:tl2br w:val="nil"/>
              <w:tr2bl w:val="nil"/>
            </w:tcBorders>
            <w:noWrap w:val="0"/>
            <w:vAlign w:val="center"/>
          </w:tcPr>
          <w:p w14:paraId="1FDA695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450t/a</w:t>
            </w:r>
          </w:p>
        </w:tc>
        <w:tc>
          <w:tcPr>
            <w:tcW w:w="1020" w:type="pct"/>
            <w:tcBorders>
              <w:tl2br w:val="nil"/>
              <w:tr2bl w:val="nil"/>
            </w:tcBorders>
            <w:noWrap w:val="0"/>
            <w:vAlign w:val="center"/>
          </w:tcPr>
          <w:p w14:paraId="3AE9D59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储罐</w:t>
            </w:r>
          </w:p>
        </w:tc>
        <w:tc>
          <w:tcPr>
            <w:tcW w:w="642" w:type="pct"/>
            <w:tcBorders>
              <w:tl2br w:val="nil"/>
              <w:tr2bl w:val="nil"/>
            </w:tcBorders>
            <w:noWrap w:val="0"/>
            <w:vAlign w:val="center"/>
          </w:tcPr>
          <w:p w14:paraId="79518ED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专用硫酸罐车运输</w:t>
            </w:r>
          </w:p>
        </w:tc>
        <w:tc>
          <w:tcPr>
            <w:tcW w:w="559" w:type="pct"/>
            <w:tcBorders>
              <w:tl2br w:val="nil"/>
              <w:tr2bl w:val="nil"/>
            </w:tcBorders>
            <w:noWrap w:val="0"/>
            <w:vAlign w:val="center"/>
          </w:tcPr>
          <w:p w14:paraId="08D39C4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4B9555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49414A2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3</w:t>
            </w:r>
          </w:p>
        </w:tc>
        <w:tc>
          <w:tcPr>
            <w:tcW w:w="1669" w:type="pct"/>
            <w:tcBorders>
              <w:tl2br w:val="nil"/>
              <w:tr2bl w:val="nil"/>
            </w:tcBorders>
            <w:noWrap w:val="0"/>
            <w:vAlign w:val="center"/>
          </w:tcPr>
          <w:p w14:paraId="5C734AB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氢氧化钠（片碱）</w:t>
            </w:r>
          </w:p>
        </w:tc>
        <w:tc>
          <w:tcPr>
            <w:tcW w:w="846" w:type="pct"/>
            <w:tcBorders>
              <w:tl2br w:val="nil"/>
              <w:tr2bl w:val="nil"/>
            </w:tcBorders>
            <w:noWrap w:val="0"/>
            <w:vAlign w:val="center"/>
          </w:tcPr>
          <w:p w14:paraId="2EA4849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568t/a</w:t>
            </w:r>
          </w:p>
        </w:tc>
        <w:tc>
          <w:tcPr>
            <w:tcW w:w="1020" w:type="pct"/>
            <w:tcBorders>
              <w:tl2br w:val="nil"/>
              <w:tr2bl w:val="nil"/>
            </w:tcBorders>
            <w:noWrap w:val="0"/>
            <w:vAlign w:val="center"/>
          </w:tcPr>
          <w:p w14:paraId="2824EB1F">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库房</w:t>
            </w:r>
          </w:p>
        </w:tc>
        <w:tc>
          <w:tcPr>
            <w:tcW w:w="642" w:type="pct"/>
            <w:tcBorders>
              <w:tl2br w:val="nil"/>
              <w:tr2bl w:val="nil"/>
            </w:tcBorders>
            <w:noWrap w:val="0"/>
            <w:vAlign w:val="center"/>
          </w:tcPr>
          <w:p w14:paraId="492905F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0F56DE7C">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16C617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6E7B15EF">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4</w:t>
            </w:r>
          </w:p>
        </w:tc>
        <w:tc>
          <w:tcPr>
            <w:tcW w:w="1669" w:type="pct"/>
            <w:tcBorders>
              <w:tl2br w:val="nil"/>
              <w:tr2bl w:val="nil"/>
            </w:tcBorders>
            <w:noWrap w:val="0"/>
            <w:vAlign w:val="center"/>
          </w:tcPr>
          <w:p w14:paraId="2401FEB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eastAsia="zh-Hans"/>
              </w:rPr>
              <w:t>260</w:t>
            </w:r>
            <w:r>
              <w:rPr>
                <w:rFonts w:hint="default" w:ascii="Times New Roman" w:hAnsi="Times New Roman" w:cs="Times New Roman"/>
                <w:b w:val="0"/>
                <w:bCs w:val="0"/>
                <w:color w:val="auto"/>
                <w:spacing w:val="10"/>
                <w:sz w:val="21"/>
                <w:szCs w:val="21"/>
                <w:highlight w:val="none"/>
                <w:lang w:val="en-US" w:eastAsia="zh-CN"/>
              </w:rPr>
              <w:t>#</w:t>
            </w:r>
            <w:r>
              <w:rPr>
                <w:rFonts w:hint="default" w:ascii="Times New Roman" w:hAnsi="Times New Roman" w:eastAsia="宋体" w:cs="Times New Roman"/>
                <w:b w:val="0"/>
                <w:bCs w:val="0"/>
                <w:color w:val="auto"/>
                <w:spacing w:val="10"/>
                <w:sz w:val="21"/>
                <w:szCs w:val="21"/>
                <w:highlight w:val="none"/>
                <w:lang w:eastAsia="zh-Hans"/>
              </w:rPr>
              <w:t>溶剂油</w:t>
            </w:r>
          </w:p>
        </w:tc>
        <w:tc>
          <w:tcPr>
            <w:tcW w:w="846" w:type="pct"/>
            <w:tcBorders>
              <w:tl2br w:val="nil"/>
              <w:tr2bl w:val="nil"/>
            </w:tcBorders>
            <w:noWrap w:val="0"/>
            <w:vAlign w:val="center"/>
          </w:tcPr>
          <w:p w14:paraId="7A4A1EE7">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lang w:val="en-US" w:eastAsia="zh-CN"/>
              </w:rPr>
              <w:t>150</w:t>
            </w:r>
            <w:r>
              <w:rPr>
                <w:rFonts w:hint="default" w:ascii="Times New Roman" w:hAnsi="Times New Roman" w:eastAsia="宋体" w:cs="Times New Roman"/>
                <w:b w:val="0"/>
                <w:bCs w:val="0"/>
                <w:color w:val="auto"/>
                <w:spacing w:val="10"/>
                <w:sz w:val="21"/>
                <w:szCs w:val="21"/>
                <w:highlight w:val="none"/>
              </w:rPr>
              <w:t>t/a</w:t>
            </w:r>
          </w:p>
        </w:tc>
        <w:tc>
          <w:tcPr>
            <w:tcW w:w="1020" w:type="pct"/>
            <w:tcBorders>
              <w:tl2br w:val="nil"/>
              <w:tr2bl w:val="nil"/>
            </w:tcBorders>
            <w:noWrap w:val="0"/>
            <w:vAlign w:val="center"/>
          </w:tcPr>
          <w:p w14:paraId="5E16A15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642" w:type="pct"/>
            <w:tcBorders>
              <w:tl2br w:val="nil"/>
              <w:tr2bl w:val="nil"/>
            </w:tcBorders>
            <w:noWrap w:val="0"/>
            <w:vAlign w:val="center"/>
          </w:tcPr>
          <w:p w14:paraId="0D676F6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7693EDF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3DFAC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2092601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5</w:t>
            </w:r>
          </w:p>
        </w:tc>
        <w:tc>
          <w:tcPr>
            <w:tcW w:w="1669" w:type="pct"/>
            <w:tcBorders>
              <w:tl2br w:val="nil"/>
              <w:tr2bl w:val="nil"/>
            </w:tcBorders>
            <w:noWrap w:val="0"/>
            <w:vAlign w:val="center"/>
          </w:tcPr>
          <w:p w14:paraId="7E729C4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铜萃取剂</w:t>
            </w:r>
          </w:p>
        </w:tc>
        <w:tc>
          <w:tcPr>
            <w:tcW w:w="846" w:type="pct"/>
            <w:tcBorders>
              <w:tl2br w:val="nil"/>
              <w:tr2bl w:val="nil"/>
            </w:tcBorders>
            <w:noWrap w:val="0"/>
            <w:vAlign w:val="center"/>
          </w:tcPr>
          <w:p w14:paraId="535E1E2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15</w:t>
            </w:r>
            <w:r>
              <w:rPr>
                <w:rFonts w:hint="default" w:ascii="Times New Roman" w:hAnsi="Times New Roman" w:eastAsia="宋体" w:cs="Times New Roman"/>
                <w:b w:val="0"/>
                <w:bCs w:val="0"/>
                <w:color w:val="auto"/>
                <w:spacing w:val="10"/>
                <w:sz w:val="21"/>
                <w:szCs w:val="21"/>
                <w:highlight w:val="none"/>
              </w:rPr>
              <w:t>t/a</w:t>
            </w:r>
          </w:p>
        </w:tc>
        <w:tc>
          <w:tcPr>
            <w:tcW w:w="1020" w:type="pct"/>
            <w:tcBorders>
              <w:tl2br w:val="nil"/>
              <w:tr2bl w:val="nil"/>
            </w:tcBorders>
            <w:noWrap w:val="0"/>
            <w:vAlign w:val="center"/>
          </w:tcPr>
          <w:p w14:paraId="08DB0E1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642" w:type="pct"/>
            <w:tcBorders>
              <w:tl2br w:val="nil"/>
              <w:tr2bl w:val="nil"/>
            </w:tcBorders>
            <w:noWrap w:val="0"/>
            <w:vAlign w:val="center"/>
          </w:tcPr>
          <w:p w14:paraId="4B4BF1F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63411E2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7AEDA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58D64347">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6</w:t>
            </w:r>
          </w:p>
        </w:tc>
        <w:tc>
          <w:tcPr>
            <w:tcW w:w="1669" w:type="pct"/>
            <w:tcBorders>
              <w:tl2br w:val="nil"/>
              <w:tr2bl w:val="nil"/>
            </w:tcBorders>
            <w:shd w:val="clear" w:color="auto" w:fill="auto"/>
            <w:noWrap w:val="0"/>
            <w:vAlign w:val="top"/>
          </w:tcPr>
          <w:p w14:paraId="42C16DF7">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lang w:eastAsia="zh-CN"/>
              </w:rPr>
              <w:t>酸雾抑制剂</w:t>
            </w:r>
          </w:p>
        </w:tc>
        <w:tc>
          <w:tcPr>
            <w:tcW w:w="846" w:type="pct"/>
            <w:tcBorders>
              <w:tl2br w:val="nil"/>
              <w:tr2bl w:val="nil"/>
            </w:tcBorders>
            <w:shd w:val="clear" w:color="auto" w:fill="auto"/>
            <w:noWrap w:val="0"/>
            <w:vAlign w:val="top"/>
          </w:tcPr>
          <w:p w14:paraId="2B23118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lang w:eastAsia="zh-CN"/>
              </w:rPr>
              <w:t>50kg</w:t>
            </w:r>
            <w:r>
              <w:rPr>
                <w:rFonts w:hint="eastAsia" w:ascii="Times New Roman" w:hAnsi="Times New Roman" w:cs="Times New Roman"/>
                <w:b w:val="0"/>
                <w:bCs w:val="0"/>
                <w:color w:val="auto"/>
                <w:spacing w:val="10"/>
                <w:sz w:val="21"/>
                <w:szCs w:val="21"/>
                <w:highlight w:val="none"/>
                <w:lang w:val="en-US" w:eastAsia="zh-CN"/>
              </w:rPr>
              <w:t>/a</w:t>
            </w:r>
          </w:p>
        </w:tc>
        <w:tc>
          <w:tcPr>
            <w:tcW w:w="1020" w:type="pct"/>
            <w:tcBorders>
              <w:tl2br w:val="nil"/>
              <w:tr2bl w:val="nil"/>
            </w:tcBorders>
            <w:noWrap w:val="0"/>
            <w:vAlign w:val="center"/>
          </w:tcPr>
          <w:p w14:paraId="39DBE7E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库房</w:t>
            </w:r>
          </w:p>
        </w:tc>
        <w:tc>
          <w:tcPr>
            <w:tcW w:w="642" w:type="pct"/>
            <w:tcBorders>
              <w:tl2br w:val="nil"/>
              <w:tr2bl w:val="nil"/>
            </w:tcBorders>
            <w:noWrap w:val="0"/>
            <w:vAlign w:val="center"/>
          </w:tcPr>
          <w:p w14:paraId="5DD8609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30574C0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278449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2099674A">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7</w:t>
            </w:r>
          </w:p>
        </w:tc>
        <w:tc>
          <w:tcPr>
            <w:tcW w:w="1669" w:type="pct"/>
            <w:tcBorders>
              <w:tl2br w:val="nil"/>
              <w:tr2bl w:val="nil"/>
            </w:tcBorders>
            <w:noWrap w:val="0"/>
            <w:vAlign w:val="center"/>
          </w:tcPr>
          <w:p w14:paraId="1F4531A1">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水</w:t>
            </w:r>
          </w:p>
        </w:tc>
        <w:tc>
          <w:tcPr>
            <w:tcW w:w="846" w:type="pct"/>
            <w:tcBorders>
              <w:tl2br w:val="nil"/>
              <w:tr2bl w:val="nil"/>
            </w:tcBorders>
            <w:noWrap w:val="0"/>
            <w:vAlign w:val="center"/>
          </w:tcPr>
          <w:p w14:paraId="795E608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3362.4m</w:t>
            </w:r>
            <w:r>
              <w:rPr>
                <w:rFonts w:hint="eastAsia" w:ascii="Times New Roman" w:hAnsi="Times New Roman" w:cs="Times New Roman"/>
                <w:b w:val="0"/>
                <w:bCs w:val="0"/>
                <w:color w:val="auto"/>
                <w:spacing w:val="10"/>
                <w:sz w:val="21"/>
                <w:szCs w:val="21"/>
                <w:highlight w:val="none"/>
                <w:vertAlign w:val="superscript"/>
                <w:lang w:val="en-US" w:eastAsia="zh-CN"/>
              </w:rPr>
              <w:t>3</w:t>
            </w:r>
            <w:r>
              <w:rPr>
                <w:rFonts w:hint="default" w:ascii="Times New Roman" w:hAnsi="Times New Roman" w:eastAsia="宋体" w:cs="Times New Roman"/>
                <w:b w:val="0"/>
                <w:bCs w:val="0"/>
                <w:color w:val="auto"/>
                <w:spacing w:val="10"/>
                <w:sz w:val="21"/>
                <w:szCs w:val="21"/>
                <w:highlight w:val="none"/>
              </w:rPr>
              <w:t>/a</w:t>
            </w:r>
          </w:p>
        </w:tc>
        <w:tc>
          <w:tcPr>
            <w:tcW w:w="1020" w:type="pct"/>
            <w:tcBorders>
              <w:tl2br w:val="nil"/>
              <w:tr2bl w:val="nil"/>
            </w:tcBorders>
            <w:noWrap w:val="0"/>
            <w:vAlign w:val="center"/>
          </w:tcPr>
          <w:p w14:paraId="774D6ED6">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642" w:type="pct"/>
            <w:tcBorders>
              <w:tl2br w:val="nil"/>
              <w:tr2bl w:val="nil"/>
            </w:tcBorders>
            <w:noWrap w:val="0"/>
            <w:vAlign w:val="center"/>
          </w:tcPr>
          <w:p w14:paraId="6781D10C">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559" w:type="pct"/>
            <w:tcBorders>
              <w:tl2br w:val="nil"/>
              <w:tr2bl w:val="nil"/>
            </w:tcBorders>
            <w:noWrap w:val="0"/>
            <w:vAlign w:val="center"/>
          </w:tcPr>
          <w:p w14:paraId="0B4CEF5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val="en-US" w:eastAsia="zh-CN"/>
              </w:rPr>
              <w:t>管网</w:t>
            </w:r>
          </w:p>
        </w:tc>
      </w:tr>
      <w:tr w14:paraId="7A0BBC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685AE9A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8</w:t>
            </w:r>
          </w:p>
        </w:tc>
        <w:tc>
          <w:tcPr>
            <w:tcW w:w="1669" w:type="pct"/>
            <w:tcBorders>
              <w:tl2br w:val="nil"/>
              <w:tr2bl w:val="nil"/>
            </w:tcBorders>
            <w:noWrap w:val="0"/>
            <w:vAlign w:val="center"/>
          </w:tcPr>
          <w:p w14:paraId="1D3C0AC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电</w:t>
            </w:r>
          </w:p>
        </w:tc>
        <w:tc>
          <w:tcPr>
            <w:tcW w:w="846" w:type="pct"/>
            <w:tcBorders>
              <w:tl2br w:val="nil"/>
              <w:tr2bl w:val="nil"/>
            </w:tcBorders>
            <w:noWrap w:val="0"/>
            <w:vAlign w:val="center"/>
          </w:tcPr>
          <w:p w14:paraId="3AEBB86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snapToGrid/>
                <w:color w:val="auto"/>
                <w:kern w:val="2"/>
                <w:sz w:val="21"/>
                <w:szCs w:val="21"/>
                <w:highlight w:val="none"/>
                <w:lang w:eastAsia="zh-CN"/>
              </w:rPr>
              <w:t>10.5万</w:t>
            </w:r>
            <w:r>
              <w:rPr>
                <w:rFonts w:hint="eastAsia" w:ascii="Times New Roman" w:hAnsi="Times New Roman" w:cs="Times New Roman"/>
                <w:b w:val="0"/>
                <w:bCs w:val="0"/>
                <w:snapToGrid/>
                <w:color w:val="auto"/>
                <w:kern w:val="2"/>
                <w:sz w:val="21"/>
                <w:szCs w:val="21"/>
                <w:highlight w:val="none"/>
                <w:lang w:eastAsia="zh-CN"/>
              </w:rPr>
              <w:t>kW</w:t>
            </w:r>
            <w:r>
              <w:rPr>
                <w:rFonts w:hint="default" w:ascii="Times New Roman" w:hAnsi="Times New Roman" w:eastAsia="宋体" w:cs="Times New Roman"/>
                <w:b w:val="0"/>
                <w:bCs w:val="0"/>
                <w:snapToGrid/>
                <w:color w:val="auto"/>
                <w:kern w:val="2"/>
                <w:sz w:val="21"/>
                <w:szCs w:val="21"/>
                <w:highlight w:val="none"/>
                <w:lang w:eastAsia="zh-CN"/>
              </w:rPr>
              <w:t>·h</w:t>
            </w:r>
          </w:p>
        </w:tc>
        <w:tc>
          <w:tcPr>
            <w:tcW w:w="1020" w:type="pct"/>
            <w:tcBorders>
              <w:tl2br w:val="nil"/>
              <w:tr2bl w:val="nil"/>
            </w:tcBorders>
            <w:noWrap w:val="0"/>
            <w:vAlign w:val="center"/>
          </w:tcPr>
          <w:p w14:paraId="1EA1A7E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642" w:type="pct"/>
            <w:tcBorders>
              <w:tl2br w:val="nil"/>
              <w:tr2bl w:val="nil"/>
            </w:tcBorders>
            <w:noWrap w:val="0"/>
            <w:vAlign w:val="center"/>
          </w:tcPr>
          <w:p w14:paraId="4821252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559" w:type="pct"/>
            <w:tcBorders>
              <w:tl2br w:val="nil"/>
              <w:tr2bl w:val="nil"/>
            </w:tcBorders>
            <w:noWrap w:val="0"/>
            <w:vAlign w:val="center"/>
          </w:tcPr>
          <w:p w14:paraId="6CB81C6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电网</w:t>
            </w:r>
          </w:p>
        </w:tc>
      </w:tr>
    </w:tbl>
    <w:p w14:paraId="65AB1A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表3.2-</w:t>
      </w: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氧化矿</w:t>
      </w:r>
      <w:r>
        <w:rPr>
          <w:rFonts w:hint="default" w:ascii="Times New Roman" w:hAnsi="Times New Roman" w:eastAsia="宋体" w:cs="Times New Roman"/>
          <w:b/>
          <w:color w:val="auto"/>
          <w:sz w:val="21"/>
          <w:szCs w:val="21"/>
          <w:highlight w:val="none"/>
        </w:rPr>
        <w:t>原矿多元素化学分析结果</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467"/>
        <w:gridCol w:w="646"/>
        <w:gridCol w:w="748"/>
        <w:gridCol w:w="646"/>
        <w:gridCol w:w="646"/>
        <w:gridCol w:w="748"/>
        <w:gridCol w:w="624"/>
        <w:gridCol w:w="748"/>
        <w:gridCol w:w="748"/>
        <w:gridCol w:w="748"/>
        <w:gridCol w:w="625"/>
      </w:tblGrid>
      <w:tr w14:paraId="1D9E1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0" w:type="pct"/>
            <w:tcBorders>
              <w:tl2br w:val="nil"/>
              <w:tr2bl w:val="nil"/>
            </w:tcBorders>
            <w:vAlign w:val="center"/>
          </w:tcPr>
          <w:p w14:paraId="5BED29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元素名称</w:t>
            </w:r>
          </w:p>
        </w:tc>
        <w:tc>
          <w:tcPr>
            <w:tcW w:w="274" w:type="pct"/>
            <w:tcBorders>
              <w:tl2br w:val="nil"/>
              <w:tr2bl w:val="nil"/>
            </w:tcBorders>
            <w:vAlign w:val="center"/>
          </w:tcPr>
          <w:p w14:paraId="308F1B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Pb</w:t>
            </w:r>
          </w:p>
        </w:tc>
        <w:tc>
          <w:tcPr>
            <w:tcW w:w="379" w:type="pct"/>
            <w:tcBorders>
              <w:tl2br w:val="nil"/>
              <w:tr2bl w:val="nil"/>
            </w:tcBorders>
            <w:vAlign w:val="center"/>
          </w:tcPr>
          <w:p w14:paraId="29D56E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Zn</w:t>
            </w:r>
          </w:p>
        </w:tc>
        <w:tc>
          <w:tcPr>
            <w:tcW w:w="439" w:type="pct"/>
            <w:tcBorders>
              <w:tl2br w:val="nil"/>
              <w:tr2bl w:val="nil"/>
            </w:tcBorders>
            <w:vAlign w:val="center"/>
          </w:tcPr>
          <w:p w14:paraId="38381E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Ni</w:t>
            </w:r>
          </w:p>
        </w:tc>
        <w:tc>
          <w:tcPr>
            <w:tcW w:w="379" w:type="pct"/>
            <w:tcBorders>
              <w:tl2br w:val="nil"/>
              <w:tr2bl w:val="nil"/>
            </w:tcBorders>
            <w:vAlign w:val="center"/>
          </w:tcPr>
          <w:p w14:paraId="34037C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Cu</w:t>
            </w:r>
          </w:p>
        </w:tc>
        <w:tc>
          <w:tcPr>
            <w:tcW w:w="379" w:type="pct"/>
            <w:tcBorders>
              <w:tl2br w:val="nil"/>
              <w:tr2bl w:val="nil"/>
            </w:tcBorders>
          </w:tcPr>
          <w:p w14:paraId="12E372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Hg</w:t>
            </w:r>
          </w:p>
        </w:tc>
        <w:tc>
          <w:tcPr>
            <w:tcW w:w="439" w:type="pct"/>
            <w:tcBorders>
              <w:tl2br w:val="nil"/>
              <w:tr2bl w:val="nil"/>
            </w:tcBorders>
          </w:tcPr>
          <w:p w14:paraId="5F88EA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Co</w:t>
            </w:r>
          </w:p>
        </w:tc>
        <w:tc>
          <w:tcPr>
            <w:tcW w:w="366" w:type="pct"/>
            <w:tcBorders>
              <w:tl2br w:val="nil"/>
              <w:tr2bl w:val="nil"/>
            </w:tcBorders>
          </w:tcPr>
          <w:p w14:paraId="49AE20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Ca</w:t>
            </w:r>
          </w:p>
        </w:tc>
        <w:tc>
          <w:tcPr>
            <w:tcW w:w="439" w:type="pct"/>
            <w:tcBorders>
              <w:tl2br w:val="nil"/>
              <w:tr2bl w:val="nil"/>
            </w:tcBorders>
            <w:vAlign w:val="center"/>
          </w:tcPr>
          <w:p w14:paraId="5EF0E9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Mn</w:t>
            </w:r>
          </w:p>
        </w:tc>
        <w:tc>
          <w:tcPr>
            <w:tcW w:w="439" w:type="pct"/>
            <w:tcBorders>
              <w:tl2br w:val="nil"/>
              <w:tr2bl w:val="nil"/>
            </w:tcBorders>
            <w:vAlign w:val="center"/>
          </w:tcPr>
          <w:p w14:paraId="51EB2B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Si</w:t>
            </w:r>
          </w:p>
        </w:tc>
        <w:tc>
          <w:tcPr>
            <w:tcW w:w="439" w:type="pct"/>
            <w:tcBorders>
              <w:tl2br w:val="nil"/>
              <w:tr2bl w:val="nil"/>
            </w:tcBorders>
            <w:vAlign w:val="center"/>
          </w:tcPr>
          <w:p w14:paraId="237E15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AS</w:t>
            </w:r>
          </w:p>
        </w:tc>
        <w:tc>
          <w:tcPr>
            <w:tcW w:w="366" w:type="pct"/>
            <w:tcBorders>
              <w:tl2br w:val="nil"/>
              <w:tr2bl w:val="nil"/>
            </w:tcBorders>
            <w:vAlign w:val="center"/>
          </w:tcPr>
          <w:p w14:paraId="1C9F51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Al</w:t>
            </w:r>
          </w:p>
        </w:tc>
      </w:tr>
      <w:tr w14:paraId="62FA4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0" w:type="pct"/>
            <w:tcBorders>
              <w:tl2br w:val="nil"/>
              <w:tr2bl w:val="nil"/>
            </w:tcBorders>
            <w:vAlign w:val="center"/>
          </w:tcPr>
          <w:p w14:paraId="4FF433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color w:val="auto"/>
                <w:spacing w:val="10"/>
                <w:kern w:val="2"/>
                <w:sz w:val="21"/>
                <w:szCs w:val="21"/>
                <w:highlight w:val="none"/>
                <w:lang w:val="en-US" w:eastAsia="en-US" w:bidi="ar-SA"/>
              </w:rPr>
            </w:pPr>
            <w:r>
              <w:rPr>
                <w:rFonts w:hint="default" w:ascii="Times New Roman" w:hAnsi="Times New Roman" w:eastAsia="宋体" w:cs="Times New Roman"/>
                <w:b/>
                <w:bCs w:val="0"/>
                <w:color w:val="auto"/>
                <w:spacing w:val="10"/>
                <w:kern w:val="2"/>
                <w:sz w:val="21"/>
                <w:szCs w:val="21"/>
                <w:highlight w:val="none"/>
                <w:lang w:val="en-US" w:eastAsia="en-US" w:bidi="ar-SA"/>
              </w:rPr>
              <w:t>含量（%）</w:t>
            </w:r>
          </w:p>
        </w:tc>
        <w:tc>
          <w:tcPr>
            <w:tcW w:w="274" w:type="pct"/>
            <w:tcBorders>
              <w:tl2br w:val="nil"/>
              <w:tr2bl w:val="nil"/>
            </w:tcBorders>
            <w:vAlign w:val="center"/>
          </w:tcPr>
          <w:p w14:paraId="0590BC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0.08</w:t>
            </w:r>
          </w:p>
        </w:tc>
        <w:tc>
          <w:tcPr>
            <w:tcW w:w="379" w:type="pct"/>
            <w:tcBorders>
              <w:tl2br w:val="nil"/>
              <w:tr2bl w:val="nil"/>
            </w:tcBorders>
            <w:vAlign w:val="center"/>
          </w:tcPr>
          <w:p w14:paraId="39208E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0.05</w:t>
            </w:r>
          </w:p>
        </w:tc>
        <w:tc>
          <w:tcPr>
            <w:tcW w:w="439" w:type="pct"/>
            <w:tcBorders>
              <w:tl2br w:val="nil"/>
              <w:tr2bl w:val="nil"/>
            </w:tcBorders>
            <w:vAlign w:val="center"/>
          </w:tcPr>
          <w:p w14:paraId="7886F5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0.012</w:t>
            </w:r>
          </w:p>
        </w:tc>
        <w:tc>
          <w:tcPr>
            <w:tcW w:w="379" w:type="pct"/>
            <w:tcBorders>
              <w:tl2br w:val="nil"/>
              <w:tr2bl w:val="nil"/>
            </w:tcBorders>
            <w:vAlign w:val="center"/>
          </w:tcPr>
          <w:p w14:paraId="125E8D4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1.04</w:t>
            </w:r>
          </w:p>
        </w:tc>
        <w:tc>
          <w:tcPr>
            <w:tcW w:w="379" w:type="pct"/>
            <w:tcBorders>
              <w:tl2br w:val="nil"/>
              <w:tr2bl w:val="nil"/>
            </w:tcBorders>
            <w:vAlign w:val="center"/>
          </w:tcPr>
          <w:p w14:paraId="7ECAD7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0.04</w:t>
            </w:r>
          </w:p>
        </w:tc>
        <w:tc>
          <w:tcPr>
            <w:tcW w:w="439" w:type="pct"/>
            <w:tcBorders>
              <w:tl2br w:val="nil"/>
              <w:tr2bl w:val="nil"/>
            </w:tcBorders>
            <w:vAlign w:val="center"/>
          </w:tcPr>
          <w:p w14:paraId="31503B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0.029</w:t>
            </w:r>
          </w:p>
        </w:tc>
        <w:tc>
          <w:tcPr>
            <w:tcW w:w="366" w:type="pct"/>
            <w:tcBorders>
              <w:tl2br w:val="nil"/>
              <w:tr2bl w:val="nil"/>
            </w:tcBorders>
            <w:vAlign w:val="center"/>
          </w:tcPr>
          <w:p w14:paraId="5D12A4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3.66</w:t>
            </w:r>
          </w:p>
        </w:tc>
        <w:tc>
          <w:tcPr>
            <w:tcW w:w="439" w:type="pct"/>
            <w:tcBorders>
              <w:tl2br w:val="nil"/>
              <w:tr2bl w:val="nil"/>
            </w:tcBorders>
            <w:vAlign w:val="center"/>
          </w:tcPr>
          <w:p w14:paraId="4240A3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0.131</w:t>
            </w:r>
          </w:p>
        </w:tc>
        <w:tc>
          <w:tcPr>
            <w:tcW w:w="439" w:type="pct"/>
            <w:tcBorders>
              <w:tl2br w:val="nil"/>
              <w:tr2bl w:val="nil"/>
            </w:tcBorders>
            <w:vAlign w:val="center"/>
          </w:tcPr>
          <w:p w14:paraId="0FA1E6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18.82</w:t>
            </w:r>
          </w:p>
        </w:tc>
        <w:tc>
          <w:tcPr>
            <w:tcW w:w="439" w:type="pct"/>
            <w:tcBorders>
              <w:tl2br w:val="nil"/>
              <w:tr2bl w:val="nil"/>
            </w:tcBorders>
            <w:vAlign w:val="center"/>
          </w:tcPr>
          <w:p w14:paraId="73014F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0.101</w:t>
            </w:r>
          </w:p>
        </w:tc>
        <w:tc>
          <w:tcPr>
            <w:tcW w:w="366" w:type="pct"/>
            <w:tcBorders>
              <w:tl2br w:val="nil"/>
              <w:tr2bl w:val="nil"/>
            </w:tcBorders>
            <w:vAlign w:val="center"/>
          </w:tcPr>
          <w:p w14:paraId="458872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1.95</w:t>
            </w:r>
          </w:p>
        </w:tc>
      </w:tr>
    </w:tbl>
    <w:p w14:paraId="0CF852F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val="en-US" w:eastAsia="zh-CN"/>
        </w:rPr>
        <w:t>项目</w:t>
      </w:r>
      <w:r>
        <w:rPr>
          <w:rFonts w:hint="eastAsia" w:ascii="Times New Roman" w:hAnsi="Times New Roman" w:cs="Times New Roman"/>
          <w:color w:val="auto"/>
          <w:kern w:val="0"/>
          <w:szCs w:val="28"/>
          <w:highlight w:val="none"/>
          <w:lang w:val="en-US" w:eastAsia="zh-CN"/>
        </w:rPr>
        <w:t>原</w:t>
      </w:r>
      <w:r>
        <w:rPr>
          <w:rFonts w:hint="default" w:ascii="Times New Roman" w:hAnsi="Times New Roman" w:cs="Times New Roman"/>
          <w:color w:val="auto"/>
          <w:kern w:val="0"/>
          <w:szCs w:val="28"/>
          <w:highlight w:val="none"/>
          <w:lang w:val="en-US" w:eastAsia="zh-CN"/>
        </w:rPr>
        <w:t>辅材</w:t>
      </w:r>
      <w:r>
        <w:rPr>
          <w:rFonts w:hint="eastAsia" w:ascii="Times New Roman" w:hAnsi="Times New Roman" w:cs="Times New Roman"/>
          <w:color w:val="auto"/>
          <w:kern w:val="0"/>
          <w:szCs w:val="28"/>
          <w:highlight w:val="none"/>
          <w:lang w:val="en-US" w:eastAsia="zh-CN"/>
        </w:rPr>
        <w:t>料主要理化性质</w:t>
      </w:r>
      <w:r>
        <w:rPr>
          <w:rFonts w:hint="default" w:ascii="Times New Roman" w:hAnsi="Times New Roman" w:cs="Times New Roman"/>
          <w:color w:val="auto"/>
          <w:kern w:val="0"/>
          <w:szCs w:val="28"/>
          <w:highlight w:val="none"/>
          <w:lang w:val="en-US" w:eastAsia="zh-CN"/>
        </w:rPr>
        <w:t>见下表。</w:t>
      </w:r>
    </w:p>
    <w:p w14:paraId="2A583A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ascii="Times New Roman" w:hAnsi="Times New Roman" w:eastAsia="宋体" w:cs="Times New Roman"/>
          <w:b/>
          <w:color w:val="auto"/>
          <w:sz w:val="21"/>
          <w:szCs w:val="21"/>
          <w:highlight w:val="none"/>
        </w:rPr>
        <w:t>表3.2-</w:t>
      </w:r>
      <w:r>
        <w:rPr>
          <w:rFonts w:hint="eastAsia" w:cs="Times New Roman"/>
          <w:b/>
          <w:color w:val="auto"/>
          <w:sz w:val="21"/>
          <w:szCs w:val="21"/>
          <w:highlight w:val="none"/>
          <w:lang w:val="en-US" w:eastAsia="zh-CN"/>
        </w:rPr>
        <w:t>5</w:t>
      </w:r>
      <w:r>
        <w:rPr>
          <w:rFonts w:ascii="Times New Roman" w:hAnsi="Times New Roman" w:eastAsia="宋体" w:cs="Times New Roman"/>
          <w:b/>
          <w:color w:val="auto"/>
          <w:sz w:val="21"/>
          <w:szCs w:val="21"/>
          <w:highlight w:val="none"/>
        </w:rPr>
        <w:t xml:space="preserve">    主要</w:t>
      </w:r>
      <w:r>
        <w:rPr>
          <w:rFonts w:hint="eastAsia" w:ascii="Times New Roman" w:hAnsi="Times New Roman" w:eastAsia="宋体" w:cs="Times New Roman"/>
          <w:b/>
          <w:color w:val="auto"/>
          <w:sz w:val="21"/>
          <w:szCs w:val="21"/>
          <w:highlight w:val="none"/>
          <w:lang w:val="en-US" w:eastAsia="zh-CN"/>
        </w:rPr>
        <w:t>原</w:t>
      </w:r>
      <w:r>
        <w:rPr>
          <w:rFonts w:ascii="Times New Roman" w:hAnsi="Times New Roman" w:eastAsia="宋体" w:cs="Times New Roman"/>
          <w:b/>
          <w:color w:val="auto"/>
          <w:sz w:val="21"/>
          <w:szCs w:val="21"/>
          <w:highlight w:val="none"/>
        </w:rPr>
        <w:t>辅材</w:t>
      </w:r>
      <w:r>
        <w:rPr>
          <w:rFonts w:hint="eastAsia" w:ascii="Times New Roman" w:hAnsi="Times New Roman" w:cs="Times New Roman"/>
          <w:b/>
          <w:color w:val="auto"/>
          <w:sz w:val="21"/>
          <w:szCs w:val="21"/>
          <w:highlight w:val="none"/>
          <w:lang w:val="en-US" w:eastAsia="zh-CN"/>
        </w:rPr>
        <w:t>料</w:t>
      </w:r>
      <w:r>
        <w:rPr>
          <w:rFonts w:hint="eastAsia" w:ascii="Times New Roman" w:hAnsi="Times New Roman" w:eastAsia="宋体" w:cs="Times New Roman"/>
          <w:b/>
          <w:color w:val="auto"/>
          <w:sz w:val="21"/>
          <w:szCs w:val="21"/>
          <w:highlight w:val="none"/>
          <w:lang w:val="en-US" w:eastAsia="zh-CN"/>
        </w:rPr>
        <w:t>理化性质</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77"/>
        <w:gridCol w:w="1414"/>
        <w:gridCol w:w="6112"/>
      </w:tblGrid>
      <w:tr w14:paraId="7F47C4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blHeader/>
          <w:jc w:val="center"/>
        </w:trPr>
        <w:tc>
          <w:tcPr>
            <w:tcW w:w="468" w:type="pct"/>
            <w:tcBorders>
              <w:tl2br w:val="nil"/>
              <w:tr2bl w:val="nil"/>
            </w:tcBorders>
            <w:vAlign w:val="center"/>
          </w:tcPr>
          <w:p w14:paraId="33B13E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编号</w:t>
            </w:r>
          </w:p>
        </w:tc>
        <w:tc>
          <w:tcPr>
            <w:tcW w:w="851" w:type="pct"/>
            <w:tcBorders>
              <w:tl2br w:val="nil"/>
              <w:tr2bl w:val="nil"/>
            </w:tcBorders>
            <w:vAlign w:val="center"/>
          </w:tcPr>
          <w:p w14:paraId="1F4ABC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名称</w:t>
            </w:r>
          </w:p>
        </w:tc>
        <w:tc>
          <w:tcPr>
            <w:tcW w:w="3679" w:type="pct"/>
            <w:tcBorders>
              <w:tl2br w:val="nil"/>
              <w:tr2bl w:val="nil"/>
            </w:tcBorders>
            <w:vAlign w:val="center"/>
          </w:tcPr>
          <w:p w14:paraId="63690C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理化性质</w:t>
            </w:r>
          </w:p>
        </w:tc>
      </w:tr>
      <w:tr w14:paraId="0883E7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7BCA92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1</w:t>
            </w:r>
          </w:p>
        </w:tc>
        <w:tc>
          <w:tcPr>
            <w:tcW w:w="851" w:type="pct"/>
            <w:tcBorders>
              <w:tl2br w:val="nil"/>
              <w:tr2bl w:val="nil"/>
            </w:tcBorders>
            <w:vAlign w:val="center"/>
          </w:tcPr>
          <w:p w14:paraId="6095E2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98%硫酸</w:t>
            </w:r>
          </w:p>
        </w:tc>
        <w:tc>
          <w:tcPr>
            <w:tcW w:w="3679" w:type="pct"/>
            <w:tcBorders>
              <w:tl2br w:val="nil"/>
              <w:tr2bl w:val="nil"/>
            </w:tcBorders>
            <w:vAlign w:val="center"/>
          </w:tcPr>
          <w:p w14:paraId="49C0F5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纯品为无色透明油状液体，无臭，熔点10.5℃</w:t>
            </w:r>
            <w:r>
              <w:rPr>
                <w:rFonts w:hint="eastAsia" w:ascii="Times New Roman" w:hAnsi="Times New Roman" w:cs="Times New Roman"/>
                <w:b w:val="0"/>
                <w:bCs w:val="0"/>
                <w:snapToGrid/>
                <w:color w:val="auto"/>
                <w:kern w:val="2"/>
                <w:sz w:val="21"/>
                <w:szCs w:val="21"/>
                <w:highlight w:val="none"/>
                <w:lang w:eastAsia="zh-CN"/>
              </w:rPr>
              <w:t>，</w:t>
            </w:r>
            <w:r>
              <w:rPr>
                <w:rFonts w:hint="default" w:ascii="Times New Roman" w:hAnsi="Times New Roman" w:eastAsia="宋体" w:cs="Times New Roman"/>
                <w:b w:val="0"/>
                <w:bCs w:val="0"/>
                <w:snapToGrid/>
                <w:color w:val="auto"/>
                <w:kern w:val="2"/>
                <w:sz w:val="21"/>
                <w:szCs w:val="21"/>
                <w:highlight w:val="none"/>
                <w:lang w:eastAsia="zh-CN"/>
              </w:rPr>
              <w:t>沸点330℃</w:t>
            </w:r>
            <w:r>
              <w:rPr>
                <w:rFonts w:hint="eastAsia" w:ascii="Times New Roman" w:hAnsi="Times New Roman" w:cs="Times New Roman"/>
                <w:b w:val="0"/>
                <w:bCs w:val="0"/>
                <w:snapToGrid/>
                <w:color w:val="auto"/>
                <w:kern w:val="2"/>
                <w:sz w:val="21"/>
                <w:szCs w:val="21"/>
                <w:highlight w:val="none"/>
                <w:lang w:eastAsia="zh-CN"/>
              </w:rPr>
              <w:t>，</w:t>
            </w:r>
            <w:r>
              <w:rPr>
                <w:rFonts w:hint="default" w:ascii="Times New Roman" w:hAnsi="Times New Roman" w:eastAsia="宋体" w:cs="Times New Roman"/>
                <w:b w:val="0"/>
                <w:bCs w:val="0"/>
                <w:snapToGrid/>
                <w:color w:val="auto"/>
                <w:kern w:val="2"/>
                <w:sz w:val="21"/>
                <w:szCs w:val="21"/>
                <w:highlight w:val="none"/>
                <w:lang w:eastAsia="zh-CN"/>
              </w:rPr>
              <w:t>遇水大量放热，可发生沸溅。与易燃物（如苯）和可燃物（如糖、纤维素等）接触会发生剧烈反应，甚至引起燃烧。遇电石、高氯酸盐、</w:t>
            </w:r>
            <w:r>
              <w:rPr>
                <w:rFonts w:hint="eastAsia" w:ascii="Times New Roman" w:hAnsi="Times New Roman" w:cs="Times New Roman"/>
                <w:b w:val="0"/>
                <w:bCs w:val="0"/>
                <w:snapToGrid/>
                <w:color w:val="auto"/>
                <w:kern w:val="2"/>
                <w:sz w:val="21"/>
                <w:szCs w:val="21"/>
                <w:highlight w:val="none"/>
                <w:lang w:eastAsia="zh-CN"/>
              </w:rPr>
              <w:t>磷酸</w:t>
            </w:r>
            <w:r>
              <w:rPr>
                <w:rFonts w:hint="default" w:ascii="Times New Roman" w:hAnsi="Times New Roman" w:eastAsia="宋体" w:cs="Times New Roman"/>
                <w:b w:val="0"/>
                <w:bCs w:val="0"/>
                <w:snapToGrid/>
                <w:color w:val="auto"/>
                <w:kern w:val="2"/>
                <w:sz w:val="21"/>
                <w:szCs w:val="21"/>
                <w:highlight w:val="none"/>
                <w:lang w:eastAsia="zh-CN"/>
              </w:rPr>
              <w:t>盐、硝酸盐、苦味酸盐、金属粉末等猛烈反应，发生爆炸或燃烧。有强烈的腐蚀性和吸水性</w:t>
            </w:r>
            <w:r>
              <w:rPr>
                <w:rFonts w:hint="eastAsia" w:ascii="Times New Roman" w:hAnsi="Times New Roman" w:eastAsia="宋体" w:cs="Times New Roman"/>
                <w:b w:val="0"/>
                <w:bCs w:val="0"/>
                <w:snapToGrid/>
                <w:color w:val="auto"/>
                <w:kern w:val="2"/>
                <w:sz w:val="21"/>
                <w:szCs w:val="21"/>
                <w:highlight w:val="none"/>
                <w:lang w:eastAsia="zh-CN"/>
              </w:rPr>
              <w:t>。</w:t>
            </w:r>
          </w:p>
        </w:tc>
      </w:tr>
      <w:tr w14:paraId="1505C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5EE8F3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2</w:t>
            </w:r>
          </w:p>
        </w:tc>
        <w:tc>
          <w:tcPr>
            <w:tcW w:w="851" w:type="pct"/>
            <w:tcBorders>
              <w:tl2br w:val="nil"/>
              <w:tr2bl w:val="nil"/>
            </w:tcBorders>
            <w:vAlign w:val="center"/>
          </w:tcPr>
          <w:p w14:paraId="26B923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铜萃取剂</w:t>
            </w:r>
          </w:p>
        </w:tc>
        <w:tc>
          <w:tcPr>
            <w:tcW w:w="3679" w:type="pct"/>
            <w:tcBorders>
              <w:tl2br w:val="nil"/>
              <w:tr2bl w:val="nil"/>
            </w:tcBorders>
            <w:vAlign w:val="center"/>
          </w:tcPr>
          <w:p w14:paraId="72F42E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本次采用LIX984N型铜萃取剂，主要为5-壬基水杨醛肟及2-羟基-5-壬基苯乙酮肟以高闪点煤油作为烃类稀释剂的混合物；琥珀色液体</w:t>
            </w:r>
            <w:r>
              <w:rPr>
                <w:rFonts w:hint="eastAsia" w:ascii="Times New Roman" w:hAnsi="Times New Roman" w:eastAsia="宋体" w:cs="Times New Roman"/>
                <w:b w:val="0"/>
                <w:bCs w:val="0"/>
                <w:snapToGrid/>
                <w:color w:val="auto"/>
                <w:kern w:val="2"/>
                <w:sz w:val="21"/>
                <w:szCs w:val="21"/>
                <w:highlight w:val="none"/>
                <w:lang w:eastAsia="zh-CN"/>
              </w:rPr>
              <w:t>。</w:t>
            </w:r>
          </w:p>
        </w:tc>
      </w:tr>
      <w:tr w14:paraId="012ECC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1030A3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3</w:t>
            </w:r>
          </w:p>
        </w:tc>
        <w:tc>
          <w:tcPr>
            <w:tcW w:w="851" w:type="pct"/>
            <w:tcBorders>
              <w:tl2br w:val="nil"/>
              <w:tr2bl w:val="nil"/>
            </w:tcBorders>
            <w:vAlign w:val="center"/>
          </w:tcPr>
          <w:p w14:paraId="71E33C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260#</w:t>
            </w:r>
            <w:r>
              <w:rPr>
                <w:rFonts w:hint="default" w:ascii="Times New Roman" w:hAnsi="Times New Roman" w:eastAsia="宋体" w:cs="Times New Roman"/>
                <w:b w:val="0"/>
                <w:bCs w:val="0"/>
                <w:color w:val="auto"/>
                <w:spacing w:val="10"/>
                <w:sz w:val="21"/>
                <w:szCs w:val="21"/>
                <w:highlight w:val="none"/>
                <w:lang w:eastAsia="zh-Hans"/>
              </w:rPr>
              <w:t>溶剂油</w:t>
            </w:r>
          </w:p>
        </w:tc>
        <w:tc>
          <w:tcPr>
            <w:tcW w:w="3679" w:type="pct"/>
            <w:tcBorders>
              <w:tl2br w:val="nil"/>
              <w:tr2bl w:val="nil"/>
            </w:tcBorders>
            <w:vAlign w:val="center"/>
          </w:tcPr>
          <w:p w14:paraId="0D0EF9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无色或淡黄色液体。略带臭味，蒸气能与空气形成爆炸性混合物。遇高热、明火、氧化剂有燃烧的危险；常温下挥发</w:t>
            </w:r>
            <w:r>
              <w:rPr>
                <w:rFonts w:hint="eastAsia" w:ascii="Times New Roman" w:hAnsi="Times New Roman" w:eastAsia="宋体" w:cs="Times New Roman"/>
                <w:b w:val="0"/>
                <w:bCs w:val="0"/>
                <w:snapToGrid/>
                <w:color w:val="auto"/>
                <w:kern w:val="2"/>
                <w:sz w:val="21"/>
                <w:szCs w:val="21"/>
                <w:highlight w:val="none"/>
                <w:lang w:eastAsia="zh-CN"/>
              </w:rPr>
              <w:t>。</w:t>
            </w:r>
          </w:p>
        </w:tc>
      </w:tr>
      <w:tr w14:paraId="02212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68869B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4</w:t>
            </w:r>
          </w:p>
        </w:tc>
        <w:tc>
          <w:tcPr>
            <w:tcW w:w="851" w:type="pct"/>
            <w:tcBorders>
              <w:tl2br w:val="nil"/>
              <w:tr2bl w:val="nil"/>
            </w:tcBorders>
            <w:vAlign w:val="center"/>
          </w:tcPr>
          <w:p w14:paraId="267779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eastAsia" w:cs="Times New Roman"/>
                <w:b w:val="0"/>
                <w:bCs w:val="0"/>
                <w:snapToGrid/>
                <w:color w:val="auto"/>
                <w:kern w:val="2"/>
                <w:sz w:val="21"/>
                <w:szCs w:val="21"/>
                <w:highlight w:val="none"/>
                <w:lang w:val="en-US" w:eastAsia="zh-CN"/>
              </w:rPr>
              <w:t>片碱</w:t>
            </w:r>
          </w:p>
        </w:tc>
        <w:tc>
          <w:tcPr>
            <w:tcW w:w="3679" w:type="pct"/>
            <w:tcBorders>
              <w:tl2br w:val="nil"/>
              <w:tr2bl w:val="nil"/>
            </w:tcBorders>
            <w:vAlign w:val="center"/>
          </w:tcPr>
          <w:p w14:paraId="4DEE52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氢氧化钠（Sodium hydroxide），也称苛性钠、烧碱、火碱、片碱，是一种无机化合物，化学式NaOH，相对分子量为39.9970。氢氧化钠具有强碱性，腐蚀性极强，可作酸中和剂、配合掩蔽剂、沉淀剂、沉淀掩蔽剂、显色剂、皂化剂、去皮剂、洗涤剂等，用途非常广泛。</w:t>
            </w:r>
          </w:p>
        </w:tc>
      </w:tr>
      <w:tr w14:paraId="5C2EF8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421337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cs="Times New Roman"/>
                <w:b w:val="0"/>
                <w:bCs w:val="0"/>
                <w:snapToGrid/>
                <w:color w:val="auto"/>
                <w:kern w:val="2"/>
                <w:sz w:val="21"/>
                <w:szCs w:val="21"/>
                <w:highlight w:val="none"/>
                <w:lang w:val="en-US" w:eastAsia="zh-CN"/>
              </w:rPr>
              <w:t>5</w:t>
            </w:r>
          </w:p>
        </w:tc>
        <w:tc>
          <w:tcPr>
            <w:tcW w:w="1486" w:type="dxa"/>
            <w:tcBorders>
              <w:tl2br w:val="nil"/>
              <w:tr2bl w:val="nil"/>
            </w:tcBorders>
            <w:vAlign w:val="center"/>
          </w:tcPr>
          <w:p w14:paraId="68A90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snapToGrid/>
                <w:color w:val="auto"/>
                <w:kern w:val="2"/>
                <w:sz w:val="21"/>
                <w:szCs w:val="21"/>
                <w:highlight w:val="none"/>
                <w:lang w:val="en-US" w:eastAsia="zh-CN"/>
              </w:rPr>
            </w:pPr>
            <w:r>
              <w:rPr>
                <w:rFonts w:hint="default" w:ascii="Times New Roman" w:hAnsi="Times New Roman" w:eastAsia="宋体" w:cs="Times New Roman"/>
                <w:b w:val="0"/>
                <w:bCs w:val="0"/>
                <w:snapToGrid/>
                <w:color w:val="auto"/>
                <w:kern w:val="2"/>
                <w:sz w:val="21"/>
                <w:szCs w:val="21"/>
                <w:highlight w:val="none"/>
                <w:lang w:eastAsia="zh-CN"/>
              </w:rPr>
              <w:t>酸雾抑制剂</w:t>
            </w:r>
          </w:p>
        </w:tc>
        <w:tc>
          <w:tcPr>
            <w:tcW w:w="6427" w:type="dxa"/>
            <w:tcBorders>
              <w:tl2br w:val="nil"/>
              <w:tr2bl w:val="nil"/>
            </w:tcBorders>
            <w:vAlign w:val="center"/>
          </w:tcPr>
          <w:p w14:paraId="6CC6C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酸雾抑制剂FC1100是一种含氟有机化合物，完全溶于水。可以显著抑制铜电解车间的酸雾；主要成分为：（1）表面活性剂，AES，K12等4%</w:t>
            </w:r>
            <w:r>
              <w:rPr>
                <w:rFonts w:hint="eastAsia" w:ascii="Times New Roman" w:hAnsi="Times New Roman"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10%</w:t>
            </w:r>
            <w:r>
              <w:rPr>
                <w:rFonts w:hint="eastAsia" w:ascii="Times New Roman" w:hAnsi="Times New Roman" w:cs="Times New Roman"/>
                <w:b w:val="0"/>
                <w:bCs w:val="0"/>
                <w:snapToGrid/>
                <w:color w:val="auto"/>
                <w:kern w:val="2"/>
                <w:sz w:val="21"/>
                <w:szCs w:val="21"/>
                <w:highlight w:val="none"/>
                <w:lang w:eastAsia="zh-CN"/>
              </w:rPr>
              <w:t>。</w:t>
            </w:r>
            <w:r>
              <w:rPr>
                <w:rFonts w:hint="default" w:ascii="Times New Roman" w:hAnsi="Times New Roman" w:eastAsia="宋体" w:cs="Times New Roman"/>
                <w:b w:val="0"/>
                <w:bCs w:val="0"/>
                <w:snapToGrid/>
                <w:color w:val="auto"/>
                <w:kern w:val="2"/>
                <w:sz w:val="21"/>
                <w:szCs w:val="21"/>
                <w:highlight w:val="none"/>
                <w:lang w:eastAsia="zh-CN"/>
              </w:rPr>
              <w:t>（2）润湿剂醇胺类产品，2%</w:t>
            </w:r>
            <w:r>
              <w:rPr>
                <w:rFonts w:hint="eastAsia" w:ascii="Times New Roman" w:hAnsi="Times New Roman"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5%。（3）有机酸缓蚀剂，月桂酸，油酸等1%</w:t>
            </w:r>
            <w:r>
              <w:rPr>
                <w:rFonts w:hint="eastAsia" w:ascii="Times New Roman" w:hAnsi="Times New Roman"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5%</w:t>
            </w:r>
            <w:r>
              <w:rPr>
                <w:rFonts w:hint="eastAsia" w:ascii="Times New Roman" w:hAnsi="Times New Roman" w:eastAsia="宋体" w:cs="Times New Roman"/>
                <w:b w:val="0"/>
                <w:bCs w:val="0"/>
                <w:snapToGrid/>
                <w:color w:val="auto"/>
                <w:kern w:val="2"/>
                <w:sz w:val="21"/>
                <w:szCs w:val="21"/>
                <w:highlight w:val="none"/>
                <w:lang w:eastAsia="zh-CN"/>
              </w:rPr>
              <w:t>。</w:t>
            </w:r>
          </w:p>
        </w:tc>
      </w:tr>
    </w:tbl>
    <w:p w14:paraId="7B00D50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3.2.6主要生产设备</w:t>
      </w:r>
    </w:p>
    <w:p w14:paraId="4F0B952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本项目主要设备情况见表3.2-</w:t>
      </w:r>
      <w:r>
        <w:rPr>
          <w:rFonts w:hint="eastAsia" w:cs="Times New Roman"/>
          <w:color w:val="auto"/>
          <w:highlight w:val="none"/>
          <w:lang w:val="en-US" w:eastAsia="zh-CN"/>
        </w:rPr>
        <w:t>6</w:t>
      </w:r>
      <w:r>
        <w:rPr>
          <w:rFonts w:hint="default" w:ascii="Times New Roman" w:hAnsi="Times New Roman" w:cs="Times New Roman"/>
          <w:color w:val="auto"/>
          <w:highlight w:val="none"/>
        </w:rPr>
        <w:t>。</w:t>
      </w:r>
    </w:p>
    <w:p w14:paraId="648F60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表3.2-</w:t>
      </w:r>
      <w:r>
        <w:rPr>
          <w:rFonts w:hint="eastAsia" w:cs="Times New Roman"/>
          <w:b/>
          <w:color w:val="auto"/>
          <w:sz w:val="21"/>
          <w:szCs w:val="21"/>
          <w:highlight w:val="none"/>
          <w:lang w:val="en-US" w:eastAsia="zh-CN"/>
        </w:rPr>
        <w:t>6</w:t>
      </w:r>
      <w:r>
        <w:rPr>
          <w:rFonts w:hint="default" w:ascii="Times New Roman" w:hAnsi="Times New Roman" w:cs="Times New Roman"/>
          <w:b/>
          <w:color w:val="auto"/>
          <w:sz w:val="21"/>
          <w:szCs w:val="21"/>
          <w:highlight w:val="none"/>
        </w:rPr>
        <w:t xml:space="preserve"> 主要设备一览表</w:t>
      </w:r>
    </w:p>
    <w:bookmarkEnd w:id="98"/>
    <w:bookmarkEnd w:id="99"/>
    <w:bookmarkEnd w:id="100"/>
    <w:bookmarkEnd w:id="101"/>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47"/>
        <w:gridCol w:w="1826"/>
        <w:gridCol w:w="2029"/>
        <w:gridCol w:w="737"/>
        <w:gridCol w:w="3483"/>
      </w:tblGrid>
      <w:tr w14:paraId="10F3FE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4FA40A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bookmarkStart w:id="108" w:name="_Toc527982443"/>
            <w:r>
              <w:rPr>
                <w:rFonts w:hint="default" w:ascii="Times New Roman" w:hAnsi="Times New Roman" w:eastAsia="宋体" w:cs="Times New Roman"/>
                <w:b w:val="0"/>
                <w:bCs w:val="0"/>
                <w:color w:val="auto"/>
                <w:spacing w:val="10"/>
                <w:sz w:val="21"/>
                <w:szCs w:val="21"/>
                <w:highlight w:val="none"/>
              </w:rPr>
              <w:t>序号</w:t>
            </w:r>
          </w:p>
        </w:tc>
        <w:tc>
          <w:tcPr>
            <w:tcW w:w="1071" w:type="pct"/>
            <w:tcBorders>
              <w:tl2br w:val="nil"/>
              <w:tr2bl w:val="nil"/>
            </w:tcBorders>
            <w:noWrap w:val="0"/>
            <w:vAlign w:val="center"/>
          </w:tcPr>
          <w:p w14:paraId="1D22288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设备名称</w:t>
            </w:r>
          </w:p>
        </w:tc>
        <w:tc>
          <w:tcPr>
            <w:tcW w:w="1190" w:type="pct"/>
            <w:tcBorders>
              <w:tl2br w:val="nil"/>
              <w:tr2bl w:val="nil"/>
            </w:tcBorders>
            <w:noWrap w:val="0"/>
            <w:vAlign w:val="center"/>
          </w:tcPr>
          <w:p w14:paraId="321304A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规格型号</w:t>
            </w:r>
          </w:p>
        </w:tc>
        <w:tc>
          <w:tcPr>
            <w:tcW w:w="432" w:type="pct"/>
            <w:tcBorders>
              <w:tl2br w:val="nil"/>
              <w:tr2bl w:val="nil"/>
            </w:tcBorders>
            <w:noWrap w:val="0"/>
            <w:vAlign w:val="center"/>
          </w:tcPr>
          <w:p w14:paraId="374870A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数量</w:t>
            </w:r>
          </w:p>
        </w:tc>
        <w:tc>
          <w:tcPr>
            <w:tcW w:w="2042" w:type="pct"/>
            <w:tcBorders>
              <w:tl2br w:val="nil"/>
              <w:tr2bl w:val="nil"/>
            </w:tcBorders>
            <w:noWrap w:val="0"/>
            <w:vAlign w:val="center"/>
          </w:tcPr>
          <w:p w14:paraId="2765BC4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备注</w:t>
            </w:r>
          </w:p>
        </w:tc>
      </w:tr>
      <w:tr w14:paraId="3737D9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FB2F27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w:t>
            </w:r>
          </w:p>
        </w:tc>
        <w:tc>
          <w:tcPr>
            <w:tcW w:w="1071" w:type="pct"/>
            <w:tcBorders>
              <w:tl2br w:val="nil"/>
              <w:tr2bl w:val="nil"/>
            </w:tcBorders>
            <w:noWrap w:val="0"/>
            <w:vAlign w:val="center"/>
          </w:tcPr>
          <w:p w14:paraId="65F69D7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颚式破碎机</w:t>
            </w:r>
          </w:p>
        </w:tc>
        <w:tc>
          <w:tcPr>
            <w:tcW w:w="1190" w:type="pct"/>
            <w:tcBorders>
              <w:tl2br w:val="nil"/>
              <w:tr2bl w:val="nil"/>
            </w:tcBorders>
            <w:noWrap w:val="0"/>
            <w:vAlign w:val="center"/>
          </w:tcPr>
          <w:p w14:paraId="0BE1D30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C100(60X90)</w:t>
            </w:r>
          </w:p>
        </w:tc>
        <w:tc>
          <w:tcPr>
            <w:tcW w:w="432" w:type="pct"/>
            <w:tcBorders>
              <w:tl2br w:val="nil"/>
              <w:tr2bl w:val="nil"/>
            </w:tcBorders>
            <w:noWrap w:val="0"/>
            <w:vAlign w:val="center"/>
          </w:tcPr>
          <w:p w14:paraId="52CBB06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B17840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02786F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264109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w:t>
            </w:r>
          </w:p>
        </w:tc>
        <w:tc>
          <w:tcPr>
            <w:tcW w:w="1071" w:type="pct"/>
            <w:tcBorders>
              <w:tl2br w:val="nil"/>
              <w:tr2bl w:val="nil"/>
            </w:tcBorders>
            <w:noWrap w:val="0"/>
            <w:vAlign w:val="center"/>
          </w:tcPr>
          <w:p w14:paraId="701DC07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247B81C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55</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30F8855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5C109F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配套颚式破碎机电机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6CCEDE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61393D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w:t>
            </w:r>
          </w:p>
        </w:tc>
        <w:tc>
          <w:tcPr>
            <w:tcW w:w="1071" w:type="pct"/>
            <w:tcBorders>
              <w:tl2br w:val="nil"/>
              <w:tr2bl w:val="nil"/>
            </w:tcBorders>
            <w:noWrap w:val="0"/>
            <w:vAlign w:val="center"/>
          </w:tcPr>
          <w:p w14:paraId="4FF2B30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w:t>
            </w:r>
          </w:p>
        </w:tc>
        <w:tc>
          <w:tcPr>
            <w:tcW w:w="1190" w:type="pct"/>
            <w:tcBorders>
              <w:tl2br w:val="nil"/>
              <w:tr2bl w:val="nil"/>
            </w:tcBorders>
            <w:noWrap w:val="0"/>
            <w:vAlign w:val="center"/>
          </w:tcPr>
          <w:p w14:paraId="2A6822B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DY100</w:t>
            </w:r>
          </w:p>
        </w:tc>
        <w:tc>
          <w:tcPr>
            <w:tcW w:w="432" w:type="pct"/>
            <w:tcBorders>
              <w:tl2br w:val="nil"/>
              <w:tr2bl w:val="nil"/>
            </w:tcBorders>
            <w:noWrap w:val="0"/>
            <w:vAlign w:val="center"/>
          </w:tcPr>
          <w:p w14:paraId="3923703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条</w:t>
            </w:r>
          </w:p>
        </w:tc>
        <w:tc>
          <w:tcPr>
            <w:tcW w:w="2042" w:type="pct"/>
            <w:tcBorders>
              <w:tl2br w:val="nil"/>
              <w:tr2bl w:val="nil"/>
            </w:tcBorders>
            <w:noWrap w:val="0"/>
            <w:vAlign w:val="center"/>
          </w:tcPr>
          <w:p w14:paraId="037FC36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由颚式破碎机到锤式破碎机运距52</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441C81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E21B64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w:t>
            </w:r>
          </w:p>
        </w:tc>
        <w:tc>
          <w:tcPr>
            <w:tcW w:w="1071" w:type="pct"/>
            <w:tcBorders>
              <w:tl2br w:val="nil"/>
              <w:tr2bl w:val="nil"/>
            </w:tcBorders>
            <w:noWrap w:val="0"/>
            <w:vAlign w:val="center"/>
          </w:tcPr>
          <w:p w14:paraId="6CEA0B6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13087E0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30</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32684BD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3FA0458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3AE735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E745D41">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w:t>
            </w:r>
          </w:p>
        </w:tc>
        <w:tc>
          <w:tcPr>
            <w:tcW w:w="1071" w:type="pct"/>
            <w:tcBorders>
              <w:tl2br w:val="nil"/>
              <w:tr2bl w:val="nil"/>
            </w:tcBorders>
            <w:noWrap w:val="0"/>
            <w:vAlign w:val="center"/>
          </w:tcPr>
          <w:p w14:paraId="65CC4C3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锤式破碎机</w:t>
            </w:r>
          </w:p>
        </w:tc>
        <w:tc>
          <w:tcPr>
            <w:tcW w:w="1190" w:type="pct"/>
            <w:tcBorders>
              <w:tl2br w:val="nil"/>
              <w:tr2bl w:val="nil"/>
            </w:tcBorders>
            <w:noWrap w:val="0"/>
            <w:vAlign w:val="center"/>
          </w:tcPr>
          <w:p w14:paraId="1216395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2.4</w:t>
            </w:r>
            <w:r>
              <w:rPr>
                <w:rFonts w:hint="eastAsia" w:ascii="Times New Roman" w:hAnsi="Times New Roman" w:cs="Times New Roman"/>
                <w:b w:val="0"/>
                <w:bCs w:val="0"/>
                <w:color w:val="auto"/>
                <w:spacing w:val="10"/>
                <w:sz w:val="21"/>
                <w:szCs w:val="21"/>
                <w:highlight w:val="none"/>
                <w:lang w:val="en-US" w:eastAsia="zh-CN"/>
              </w:rPr>
              <w:t>m</w:t>
            </w:r>
          </w:p>
        </w:tc>
        <w:tc>
          <w:tcPr>
            <w:tcW w:w="432" w:type="pct"/>
            <w:tcBorders>
              <w:tl2br w:val="nil"/>
              <w:tr2bl w:val="nil"/>
            </w:tcBorders>
            <w:noWrap w:val="0"/>
            <w:vAlign w:val="center"/>
          </w:tcPr>
          <w:p w14:paraId="51C2043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4B74615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37E6CB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435CF7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w:t>
            </w:r>
          </w:p>
        </w:tc>
        <w:tc>
          <w:tcPr>
            <w:tcW w:w="1071" w:type="pct"/>
            <w:tcBorders>
              <w:tl2br w:val="nil"/>
              <w:tr2bl w:val="nil"/>
            </w:tcBorders>
            <w:noWrap w:val="0"/>
            <w:vAlign w:val="center"/>
          </w:tcPr>
          <w:p w14:paraId="50BE7BA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17FE1F0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12F2171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66DB08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双电机配套锤式破碎机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012A3B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67CDBB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7</w:t>
            </w:r>
          </w:p>
        </w:tc>
        <w:tc>
          <w:tcPr>
            <w:tcW w:w="1071" w:type="pct"/>
            <w:tcBorders>
              <w:tl2br w:val="nil"/>
              <w:tr2bl w:val="nil"/>
            </w:tcBorders>
            <w:noWrap w:val="0"/>
            <w:vAlign w:val="center"/>
          </w:tcPr>
          <w:p w14:paraId="3A0E0F3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w:t>
            </w:r>
          </w:p>
        </w:tc>
        <w:tc>
          <w:tcPr>
            <w:tcW w:w="1190" w:type="pct"/>
            <w:tcBorders>
              <w:tl2br w:val="nil"/>
              <w:tr2bl w:val="nil"/>
            </w:tcBorders>
            <w:noWrap w:val="0"/>
            <w:vAlign w:val="center"/>
          </w:tcPr>
          <w:p w14:paraId="410865A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DY100</w:t>
            </w:r>
          </w:p>
        </w:tc>
        <w:tc>
          <w:tcPr>
            <w:tcW w:w="432" w:type="pct"/>
            <w:tcBorders>
              <w:tl2br w:val="nil"/>
              <w:tr2bl w:val="nil"/>
            </w:tcBorders>
            <w:noWrap w:val="0"/>
            <w:vAlign w:val="center"/>
          </w:tcPr>
          <w:p w14:paraId="09474BE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条</w:t>
            </w:r>
          </w:p>
        </w:tc>
        <w:tc>
          <w:tcPr>
            <w:tcW w:w="2042" w:type="pct"/>
            <w:tcBorders>
              <w:tl2br w:val="nil"/>
              <w:tr2bl w:val="nil"/>
            </w:tcBorders>
            <w:noWrap w:val="0"/>
            <w:vAlign w:val="center"/>
          </w:tcPr>
          <w:p w14:paraId="6C58DC9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由锤式破碎机到料仓运距35</w:t>
            </w:r>
            <w:r>
              <w:rPr>
                <w:rFonts w:hint="eastAsia" w:ascii="Times New Roman" w:hAnsi="Times New Roman" w:cs="Times New Roman"/>
                <w:b w:val="0"/>
                <w:bCs w:val="0"/>
                <w:color w:val="auto"/>
                <w:spacing w:val="-6"/>
                <w:sz w:val="21"/>
                <w:szCs w:val="21"/>
                <w:highlight w:val="none"/>
                <w:lang w:val="en-US" w:eastAsia="zh-CN"/>
              </w:rPr>
              <w:t>m</w:t>
            </w:r>
            <w:r>
              <w:rPr>
                <w:rFonts w:hint="default" w:ascii="Times New Roman" w:hAnsi="Times New Roman" w:cs="Times New Roman"/>
                <w:b w:val="0"/>
                <w:bCs w:val="0"/>
                <w:color w:val="auto"/>
                <w:spacing w:val="-6"/>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lang w:val="en-US" w:eastAsia="zh-CN"/>
              </w:rPr>
              <w:t>利旧</w:t>
            </w:r>
          </w:p>
        </w:tc>
      </w:tr>
      <w:tr w14:paraId="03FDFE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D5FCA27">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8</w:t>
            </w:r>
          </w:p>
        </w:tc>
        <w:tc>
          <w:tcPr>
            <w:tcW w:w="1071" w:type="pct"/>
            <w:tcBorders>
              <w:tl2br w:val="nil"/>
              <w:tr2bl w:val="nil"/>
            </w:tcBorders>
            <w:noWrap w:val="0"/>
            <w:vAlign w:val="center"/>
          </w:tcPr>
          <w:p w14:paraId="660B729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16EC06D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30</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77969D9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2DB91BD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6352DD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4DD1297">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9</w:t>
            </w:r>
          </w:p>
        </w:tc>
        <w:tc>
          <w:tcPr>
            <w:tcW w:w="1071" w:type="pct"/>
            <w:tcBorders>
              <w:tl2br w:val="nil"/>
              <w:tr2bl w:val="nil"/>
            </w:tcBorders>
            <w:noWrap w:val="0"/>
            <w:vAlign w:val="center"/>
          </w:tcPr>
          <w:p w14:paraId="47C911F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料仓</w:t>
            </w:r>
          </w:p>
        </w:tc>
        <w:tc>
          <w:tcPr>
            <w:tcW w:w="1190" w:type="pct"/>
            <w:tcBorders>
              <w:tl2br w:val="nil"/>
              <w:tr2bl w:val="nil"/>
            </w:tcBorders>
            <w:noWrap w:val="0"/>
            <w:vAlign w:val="center"/>
          </w:tcPr>
          <w:p w14:paraId="0E41C58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直径8</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eastAsia="宋体" w:cs="Times New Roman"/>
                <w:b w:val="0"/>
                <w:bCs w:val="0"/>
                <w:color w:val="auto"/>
                <w:spacing w:val="10"/>
                <w:sz w:val="21"/>
                <w:szCs w:val="21"/>
                <w:highlight w:val="none"/>
              </w:rPr>
              <w:t>，高12</w:t>
            </w:r>
            <w:r>
              <w:rPr>
                <w:rFonts w:hint="eastAsia" w:ascii="Times New Roman" w:hAnsi="Times New Roman" w:cs="Times New Roman"/>
                <w:b w:val="0"/>
                <w:bCs w:val="0"/>
                <w:color w:val="auto"/>
                <w:spacing w:val="10"/>
                <w:sz w:val="21"/>
                <w:szCs w:val="21"/>
                <w:highlight w:val="none"/>
                <w:lang w:val="en-US" w:eastAsia="zh-CN"/>
              </w:rPr>
              <w:t>m</w:t>
            </w:r>
          </w:p>
        </w:tc>
        <w:tc>
          <w:tcPr>
            <w:tcW w:w="432" w:type="pct"/>
            <w:tcBorders>
              <w:tl2br w:val="nil"/>
              <w:tr2bl w:val="nil"/>
            </w:tcBorders>
            <w:noWrap w:val="0"/>
            <w:vAlign w:val="center"/>
          </w:tcPr>
          <w:p w14:paraId="022F4B0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69D1854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4041FF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1DB9A4C">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10</w:t>
            </w:r>
          </w:p>
        </w:tc>
        <w:tc>
          <w:tcPr>
            <w:tcW w:w="1071" w:type="pct"/>
            <w:tcBorders>
              <w:tl2br w:val="nil"/>
              <w:tr2bl w:val="nil"/>
            </w:tcBorders>
            <w:noWrap w:val="0"/>
            <w:vAlign w:val="center"/>
          </w:tcPr>
          <w:p w14:paraId="21D98C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w:t>
            </w:r>
          </w:p>
        </w:tc>
        <w:tc>
          <w:tcPr>
            <w:tcW w:w="1190" w:type="pct"/>
            <w:tcBorders>
              <w:tl2br w:val="nil"/>
              <w:tr2bl w:val="nil"/>
            </w:tcBorders>
            <w:noWrap w:val="0"/>
            <w:vAlign w:val="center"/>
          </w:tcPr>
          <w:p w14:paraId="7A5499E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DY100</w:t>
            </w:r>
          </w:p>
        </w:tc>
        <w:tc>
          <w:tcPr>
            <w:tcW w:w="432" w:type="pct"/>
            <w:tcBorders>
              <w:tl2br w:val="nil"/>
              <w:tr2bl w:val="nil"/>
            </w:tcBorders>
            <w:noWrap w:val="0"/>
            <w:vAlign w:val="center"/>
          </w:tcPr>
          <w:p w14:paraId="4B72003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条</w:t>
            </w:r>
          </w:p>
        </w:tc>
        <w:tc>
          <w:tcPr>
            <w:tcW w:w="2042" w:type="pct"/>
            <w:tcBorders>
              <w:tl2br w:val="nil"/>
              <w:tr2bl w:val="nil"/>
            </w:tcBorders>
            <w:noWrap w:val="0"/>
            <w:vAlign w:val="center"/>
          </w:tcPr>
          <w:p w14:paraId="7144AFF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由料仓到球磨机运距20</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7D7275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446F9D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11</w:t>
            </w:r>
          </w:p>
        </w:tc>
        <w:tc>
          <w:tcPr>
            <w:tcW w:w="1071" w:type="pct"/>
            <w:tcBorders>
              <w:tl2br w:val="nil"/>
              <w:tr2bl w:val="nil"/>
            </w:tcBorders>
            <w:noWrap w:val="0"/>
            <w:vAlign w:val="center"/>
          </w:tcPr>
          <w:p w14:paraId="5BF5F04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411D71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11</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5DBFA18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15BDFEC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51E27B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F27443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12</w:t>
            </w:r>
          </w:p>
        </w:tc>
        <w:tc>
          <w:tcPr>
            <w:tcW w:w="1071" w:type="pct"/>
            <w:tcBorders>
              <w:tl2br w:val="nil"/>
              <w:tr2bl w:val="nil"/>
            </w:tcBorders>
            <w:noWrap w:val="0"/>
            <w:vAlign w:val="center"/>
          </w:tcPr>
          <w:p w14:paraId="3136AC5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球磨机</w:t>
            </w:r>
          </w:p>
        </w:tc>
        <w:tc>
          <w:tcPr>
            <w:tcW w:w="1190" w:type="pct"/>
            <w:tcBorders>
              <w:tl2br w:val="nil"/>
              <w:tr2bl w:val="nil"/>
            </w:tcBorders>
            <w:noWrap w:val="0"/>
            <w:vAlign w:val="center"/>
          </w:tcPr>
          <w:p w14:paraId="662AE31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直径3.2</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eastAsia="宋体" w:cs="Times New Roman"/>
                <w:b w:val="0"/>
                <w:bCs w:val="0"/>
                <w:color w:val="auto"/>
                <w:spacing w:val="10"/>
                <w:sz w:val="21"/>
                <w:szCs w:val="21"/>
                <w:highlight w:val="none"/>
              </w:rPr>
              <w:t>*6</w:t>
            </w:r>
            <w:r>
              <w:rPr>
                <w:rFonts w:hint="eastAsia" w:ascii="Times New Roman" w:hAnsi="Times New Roman" w:cs="Times New Roman"/>
                <w:b w:val="0"/>
                <w:bCs w:val="0"/>
                <w:color w:val="auto"/>
                <w:spacing w:val="10"/>
                <w:sz w:val="21"/>
                <w:szCs w:val="21"/>
                <w:highlight w:val="none"/>
                <w:lang w:val="en-US" w:eastAsia="zh-CN"/>
              </w:rPr>
              <w:t>m</w:t>
            </w:r>
          </w:p>
        </w:tc>
        <w:tc>
          <w:tcPr>
            <w:tcW w:w="432" w:type="pct"/>
            <w:tcBorders>
              <w:tl2br w:val="nil"/>
              <w:tr2bl w:val="nil"/>
            </w:tcBorders>
            <w:noWrap w:val="0"/>
            <w:vAlign w:val="center"/>
          </w:tcPr>
          <w:p w14:paraId="7668E0E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2F6847F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0FD946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D4876AA">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13</w:t>
            </w:r>
          </w:p>
        </w:tc>
        <w:tc>
          <w:tcPr>
            <w:tcW w:w="1071" w:type="pct"/>
            <w:tcBorders>
              <w:tl2br w:val="nil"/>
              <w:tr2bl w:val="nil"/>
            </w:tcBorders>
            <w:noWrap w:val="0"/>
            <w:vAlign w:val="center"/>
          </w:tcPr>
          <w:p w14:paraId="011263D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1DDBD30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1000</w:t>
            </w:r>
            <w:r>
              <w:rPr>
                <w:rFonts w:hint="eastAsia" w:ascii="Times New Roman" w:hAnsi="Times New Roman" w:cs="Times New Roman"/>
                <w:b w:val="0"/>
                <w:bCs w:val="0"/>
                <w:color w:val="auto"/>
                <w:spacing w:val="10"/>
                <w:sz w:val="21"/>
                <w:szCs w:val="21"/>
                <w:highlight w:val="none"/>
                <w:lang w:eastAsia="zh-CN"/>
              </w:rPr>
              <w:t>kW</w:t>
            </w:r>
            <w:r>
              <w:rPr>
                <w:rFonts w:hint="default" w:ascii="Times New Roman" w:hAnsi="Times New Roman" w:eastAsia="宋体" w:cs="Times New Roman"/>
                <w:b w:val="0"/>
                <w:bCs w:val="0"/>
                <w:color w:val="auto"/>
                <w:spacing w:val="10"/>
                <w:sz w:val="21"/>
                <w:szCs w:val="21"/>
                <w:highlight w:val="none"/>
              </w:rPr>
              <w:t>高压电机</w:t>
            </w:r>
          </w:p>
        </w:tc>
        <w:tc>
          <w:tcPr>
            <w:tcW w:w="432" w:type="pct"/>
            <w:tcBorders>
              <w:tl2br w:val="nil"/>
              <w:tr2bl w:val="nil"/>
            </w:tcBorders>
            <w:noWrap w:val="0"/>
            <w:vAlign w:val="center"/>
          </w:tcPr>
          <w:p w14:paraId="5C08D6A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32EC6C7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配套球磨机电机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20DEC7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76C702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14</w:t>
            </w:r>
          </w:p>
        </w:tc>
        <w:tc>
          <w:tcPr>
            <w:tcW w:w="1071" w:type="pct"/>
            <w:tcBorders>
              <w:tl2br w:val="nil"/>
              <w:tr2bl w:val="nil"/>
            </w:tcBorders>
            <w:noWrap w:val="0"/>
            <w:vAlign w:val="center"/>
          </w:tcPr>
          <w:p w14:paraId="2E5B43C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水力旋流器</w:t>
            </w:r>
          </w:p>
        </w:tc>
        <w:tc>
          <w:tcPr>
            <w:tcW w:w="1190" w:type="pct"/>
            <w:tcBorders>
              <w:tl2br w:val="nil"/>
              <w:tr2bl w:val="nil"/>
            </w:tcBorders>
            <w:noWrap w:val="0"/>
            <w:vAlign w:val="center"/>
          </w:tcPr>
          <w:p w14:paraId="79D7259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FX350-CX-52</w:t>
            </w:r>
          </w:p>
        </w:tc>
        <w:tc>
          <w:tcPr>
            <w:tcW w:w="432" w:type="pct"/>
            <w:tcBorders>
              <w:tl2br w:val="nil"/>
              <w:tr2bl w:val="nil"/>
            </w:tcBorders>
            <w:noWrap w:val="0"/>
            <w:vAlign w:val="center"/>
          </w:tcPr>
          <w:p w14:paraId="30681B9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150223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075DE8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596FD5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15</w:t>
            </w:r>
          </w:p>
        </w:tc>
        <w:tc>
          <w:tcPr>
            <w:tcW w:w="1071" w:type="pct"/>
            <w:tcBorders>
              <w:tl2br w:val="nil"/>
              <w:tr2bl w:val="nil"/>
            </w:tcBorders>
            <w:noWrap w:val="0"/>
            <w:vAlign w:val="center"/>
          </w:tcPr>
          <w:p w14:paraId="431FF0C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渣浆泵</w:t>
            </w:r>
          </w:p>
        </w:tc>
        <w:tc>
          <w:tcPr>
            <w:tcW w:w="1190" w:type="pct"/>
            <w:tcBorders>
              <w:tl2br w:val="nil"/>
              <w:tr2bl w:val="nil"/>
            </w:tcBorders>
            <w:noWrap w:val="0"/>
            <w:vAlign w:val="center"/>
          </w:tcPr>
          <w:p w14:paraId="3FB1679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Q=150,H20</w:t>
            </w:r>
          </w:p>
        </w:tc>
        <w:tc>
          <w:tcPr>
            <w:tcW w:w="432" w:type="pct"/>
            <w:tcBorders>
              <w:tl2br w:val="nil"/>
              <w:tr2bl w:val="nil"/>
            </w:tcBorders>
            <w:noWrap w:val="0"/>
            <w:vAlign w:val="center"/>
          </w:tcPr>
          <w:p w14:paraId="0EF1E2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1ADED68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773675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E0031F4">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16</w:t>
            </w:r>
          </w:p>
        </w:tc>
        <w:tc>
          <w:tcPr>
            <w:tcW w:w="1071" w:type="pct"/>
            <w:tcBorders>
              <w:tl2br w:val="nil"/>
              <w:tr2bl w:val="nil"/>
            </w:tcBorders>
            <w:noWrap w:val="0"/>
            <w:vAlign w:val="center"/>
          </w:tcPr>
          <w:p w14:paraId="2E4929F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017C205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237853D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BAD736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渣浆泵电机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5BC015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25A80B8">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17</w:t>
            </w:r>
          </w:p>
        </w:tc>
        <w:tc>
          <w:tcPr>
            <w:tcW w:w="1071" w:type="pct"/>
            <w:tcBorders>
              <w:tl2br w:val="nil"/>
              <w:tr2bl w:val="nil"/>
            </w:tcBorders>
            <w:noWrap w:val="0"/>
            <w:vAlign w:val="center"/>
          </w:tcPr>
          <w:p w14:paraId="3E27FD4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旋流器</w:t>
            </w:r>
          </w:p>
        </w:tc>
        <w:tc>
          <w:tcPr>
            <w:tcW w:w="1190" w:type="pct"/>
            <w:tcBorders>
              <w:tl2br w:val="nil"/>
              <w:tr2bl w:val="nil"/>
            </w:tcBorders>
            <w:noWrap w:val="0"/>
            <w:vAlign w:val="center"/>
          </w:tcPr>
          <w:p w14:paraId="6BB75AC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FX150*14</w:t>
            </w:r>
          </w:p>
        </w:tc>
        <w:tc>
          <w:tcPr>
            <w:tcW w:w="432" w:type="pct"/>
            <w:tcBorders>
              <w:tl2br w:val="nil"/>
              <w:tr2bl w:val="nil"/>
            </w:tcBorders>
            <w:noWrap w:val="0"/>
            <w:vAlign w:val="center"/>
          </w:tcPr>
          <w:p w14:paraId="71DE4E5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3F9535F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进料矿浆浓度30%，溢流浓度5%，底流浓度&gt;50%</w:t>
            </w:r>
          </w:p>
        </w:tc>
      </w:tr>
      <w:tr w14:paraId="2A468A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830AAFA">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18</w:t>
            </w:r>
          </w:p>
        </w:tc>
        <w:tc>
          <w:tcPr>
            <w:tcW w:w="1071" w:type="pct"/>
            <w:tcBorders>
              <w:tl2br w:val="nil"/>
              <w:tr2bl w:val="nil"/>
            </w:tcBorders>
            <w:noWrap w:val="0"/>
            <w:vAlign w:val="center"/>
          </w:tcPr>
          <w:p w14:paraId="3A5B78D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浓密机</w:t>
            </w:r>
            <w:r>
              <w:rPr>
                <w:rFonts w:hint="eastAsia"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rPr>
              <w:t>Q355B</w:t>
            </w:r>
            <w:r>
              <w:rPr>
                <w:rFonts w:hint="eastAsia" w:ascii="Times New Roman" w:hAnsi="Times New Roman" w:cs="Times New Roman"/>
                <w:b w:val="0"/>
                <w:bCs w:val="0"/>
                <w:color w:val="auto"/>
                <w:spacing w:val="10"/>
                <w:sz w:val="21"/>
                <w:szCs w:val="21"/>
                <w:highlight w:val="none"/>
                <w:lang w:eastAsia="zh-CN"/>
              </w:rPr>
              <w:t>）</w:t>
            </w:r>
          </w:p>
        </w:tc>
        <w:tc>
          <w:tcPr>
            <w:tcW w:w="1190" w:type="pct"/>
            <w:tcBorders>
              <w:tl2br w:val="nil"/>
              <w:tr2bl w:val="nil"/>
            </w:tcBorders>
            <w:noWrap w:val="0"/>
            <w:vAlign w:val="center"/>
          </w:tcPr>
          <w:p w14:paraId="710BF9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Ф18*3.2</w:t>
            </w:r>
          </w:p>
        </w:tc>
        <w:tc>
          <w:tcPr>
            <w:tcW w:w="432" w:type="pct"/>
            <w:tcBorders>
              <w:tl2br w:val="nil"/>
              <w:tr2bl w:val="nil"/>
            </w:tcBorders>
            <w:noWrap w:val="0"/>
            <w:vAlign w:val="center"/>
          </w:tcPr>
          <w:p w14:paraId="6D00143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1A5035C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进料矿浆浓度5%，上清液浓度0.5%，底流浓度&gt;25%</w:t>
            </w:r>
          </w:p>
        </w:tc>
      </w:tr>
      <w:tr w14:paraId="12C877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3498784">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19</w:t>
            </w:r>
          </w:p>
        </w:tc>
        <w:tc>
          <w:tcPr>
            <w:tcW w:w="1071" w:type="pct"/>
            <w:tcBorders>
              <w:tl2br w:val="nil"/>
              <w:tr2bl w:val="nil"/>
            </w:tcBorders>
            <w:noWrap w:val="0"/>
            <w:vAlign w:val="center"/>
          </w:tcPr>
          <w:p w14:paraId="0057963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浓密机上清液贮槽</w:t>
            </w:r>
          </w:p>
        </w:tc>
        <w:tc>
          <w:tcPr>
            <w:tcW w:w="1190" w:type="pct"/>
            <w:tcBorders>
              <w:tl2br w:val="nil"/>
              <w:tr2bl w:val="nil"/>
            </w:tcBorders>
            <w:noWrap w:val="0"/>
            <w:vAlign w:val="center"/>
          </w:tcPr>
          <w:p w14:paraId="161A200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Ф6.5*6/200F</w:t>
            </w:r>
          </w:p>
        </w:tc>
        <w:tc>
          <w:tcPr>
            <w:tcW w:w="432" w:type="pct"/>
            <w:tcBorders>
              <w:tl2br w:val="nil"/>
              <w:tr2bl w:val="nil"/>
            </w:tcBorders>
            <w:noWrap w:val="0"/>
            <w:vAlign w:val="center"/>
          </w:tcPr>
          <w:p w14:paraId="21A6D6F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0BCEEAC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放置在球磨车间</w:t>
            </w:r>
          </w:p>
        </w:tc>
      </w:tr>
      <w:tr w14:paraId="0CEDB7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35B92B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20</w:t>
            </w:r>
          </w:p>
        </w:tc>
        <w:tc>
          <w:tcPr>
            <w:tcW w:w="1071" w:type="pct"/>
            <w:tcBorders>
              <w:tl2br w:val="nil"/>
              <w:tr2bl w:val="nil"/>
            </w:tcBorders>
            <w:noWrap w:val="0"/>
            <w:vAlign w:val="center"/>
          </w:tcPr>
          <w:p w14:paraId="66A35CE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上清液水泵</w:t>
            </w:r>
          </w:p>
        </w:tc>
        <w:tc>
          <w:tcPr>
            <w:tcW w:w="1190" w:type="pct"/>
            <w:tcBorders>
              <w:tl2br w:val="nil"/>
              <w:tr2bl w:val="nil"/>
            </w:tcBorders>
            <w:noWrap w:val="0"/>
            <w:vAlign w:val="center"/>
          </w:tcPr>
          <w:p w14:paraId="01E6389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Q=250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6C44305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2D2BC80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一用一备共2台，放置在球磨车间</w:t>
            </w:r>
          </w:p>
        </w:tc>
      </w:tr>
      <w:tr w14:paraId="471668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6AD78D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21</w:t>
            </w:r>
          </w:p>
        </w:tc>
        <w:tc>
          <w:tcPr>
            <w:tcW w:w="1071" w:type="pct"/>
            <w:tcBorders>
              <w:tl2br w:val="nil"/>
              <w:tr2bl w:val="nil"/>
            </w:tcBorders>
            <w:noWrap w:val="0"/>
            <w:vAlign w:val="center"/>
          </w:tcPr>
          <w:p w14:paraId="65728A7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调浆</w:t>
            </w:r>
            <w:r>
              <w:rPr>
                <w:rFonts w:hint="default" w:ascii="Times New Roman" w:hAnsi="Times New Roman" w:cs="Times New Roman"/>
                <w:b w:val="0"/>
                <w:bCs w:val="0"/>
                <w:color w:val="auto"/>
                <w:spacing w:val="10"/>
                <w:sz w:val="21"/>
                <w:szCs w:val="21"/>
                <w:highlight w:val="none"/>
                <w:lang w:val="en-US" w:eastAsia="zh-CN"/>
              </w:rPr>
              <w:t>罐</w:t>
            </w:r>
          </w:p>
        </w:tc>
        <w:tc>
          <w:tcPr>
            <w:tcW w:w="1190" w:type="pct"/>
            <w:tcBorders>
              <w:tl2br w:val="nil"/>
              <w:tr2bl w:val="nil"/>
            </w:tcBorders>
            <w:noWrap w:val="0"/>
            <w:vAlign w:val="center"/>
          </w:tcPr>
          <w:p w14:paraId="72A74AD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Ф5.5*6/120F</w:t>
            </w:r>
          </w:p>
        </w:tc>
        <w:tc>
          <w:tcPr>
            <w:tcW w:w="432" w:type="pct"/>
            <w:tcBorders>
              <w:tl2br w:val="nil"/>
              <w:tr2bl w:val="nil"/>
            </w:tcBorders>
            <w:noWrap w:val="0"/>
            <w:vAlign w:val="center"/>
          </w:tcPr>
          <w:p w14:paraId="1E69111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2</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332E8B3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GFF129-Y37-4P-31.29-M4-G550+矮机座</w:t>
            </w:r>
            <w:r>
              <w:rPr>
                <w:rFonts w:hint="eastAsia"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rPr>
              <w:t>搅拌直径Ф200,N=45rpm,v=5.18m/s</w:t>
            </w:r>
          </w:p>
        </w:tc>
      </w:tr>
      <w:tr w14:paraId="6D5B01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FCEF26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22</w:t>
            </w:r>
          </w:p>
        </w:tc>
        <w:tc>
          <w:tcPr>
            <w:tcW w:w="1071" w:type="pct"/>
            <w:tcBorders>
              <w:tl2br w:val="nil"/>
              <w:tr2bl w:val="nil"/>
            </w:tcBorders>
            <w:noWrap w:val="0"/>
            <w:vAlign w:val="center"/>
          </w:tcPr>
          <w:p w14:paraId="5A0E286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砂浆泵</w:t>
            </w:r>
          </w:p>
        </w:tc>
        <w:tc>
          <w:tcPr>
            <w:tcW w:w="1190" w:type="pct"/>
            <w:tcBorders>
              <w:tl2br w:val="nil"/>
              <w:tr2bl w:val="nil"/>
            </w:tcBorders>
            <w:noWrap w:val="0"/>
            <w:vAlign w:val="center"/>
          </w:tcPr>
          <w:p w14:paraId="05C732C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Q=250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4E4BC53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1178E10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一用一备共2台</w:t>
            </w:r>
          </w:p>
        </w:tc>
      </w:tr>
      <w:tr w14:paraId="1AC7B1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53F11E7">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23</w:t>
            </w:r>
          </w:p>
        </w:tc>
        <w:tc>
          <w:tcPr>
            <w:tcW w:w="1071" w:type="pct"/>
            <w:tcBorders>
              <w:tl2br w:val="nil"/>
              <w:tr2bl w:val="nil"/>
            </w:tcBorders>
            <w:noWrap w:val="0"/>
            <w:vAlign w:val="center"/>
          </w:tcPr>
          <w:p w14:paraId="499D71A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cs="Times New Roman"/>
                <w:b w:val="0"/>
                <w:bCs w:val="0"/>
                <w:color w:val="auto"/>
                <w:spacing w:val="10"/>
                <w:sz w:val="21"/>
                <w:szCs w:val="21"/>
                <w:highlight w:val="none"/>
                <w:lang w:val="en-US" w:eastAsia="zh-CN"/>
              </w:rPr>
              <w:t>浸出罐</w:t>
            </w:r>
          </w:p>
        </w:tc>
        <w:tc>
          <w:tcPr>
            <w:tcW w:w="1190" w:type="pct"/>
            <w:tcBorders>
              <w:tl2br w:val="nil"/>
              <w:tr2bl w:val="nil"/>
            </w:tcBorders>
            <w:noWrap w:val="0"/>
            <w:vAlign w:val="center"/>
          </w:tcPr>
          <w:p w14:paraId="4A0B4F1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Ф6.5*6/200F</w:t>
            </w:r>
          </w:p>
        </w:tc>
        <w:tc>
          <w:tcPr>
            <w:tcW w:w="432" w:type="pct"/>
            <w:tcBorders>
              <w:tl2br w:val="nil"/>
              <w:tr2bl w:val="nil"/>
            </w:tcBorders>
            <w:noWrap w:val="0"/>
            <w:vAlign w:val="center"/>
          </w:tcPr>
          <w:p w14:paraId="648524C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3</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4FA30B1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superscript"/>
                <w:lang w:val="en-US" w:eastAsia="zh-CN"/>
              </w:rPr>
            </w:pPr>
            <w:r>
              <w:rPr>
                <w:rFonts w:hint="default" w:ascii="Times New Roman" w:hAnsi="Times New Roman" w:eastAsia="宋体" w:cs="Times New Roman"/>
                <w:b w:val="0"/>
                <w:bCs w:val="0"/>
                <w:color w:val="auto"/>
                <w:spacing w:val="10"/>
                <w:sz w:val="21"/>
                <w:szCs w:val="21"/>
                <w:highlight w:val="none"/>
              </w:rPr>
              <w:t>GFF159-Y55-4P-27.60-M4-G660+矮机座</w:t>
            </w:r>
            <w:r>
              <w:rPr>
                <w:rFonts w:hint="eastAsia"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rPr>
              <w:t>搅拌直径Ф200,N=54rpm,v=6.22m/s</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cs="Times New Roman"/>
                <w:b w:val="0"/>
                <w:bCs w:val="0"/>
                <w:color w:val="auto"/>
                <w:spacing w:val="10"/>
                <w:sz w:val="21"/>
                <w:szCs w:val="21"/>
                <w:highlight w:val="none"/>
                <w:lang w:val="en-US" w:eastAsia="zh-CN"/>
              </w:rPr>
              <w:t>V=180m</w:t>
            </w:r>
            <w:r>
              <w:rPr>
                <w:rFonts w:hint="default" w:ascii="Times New Roman" w:hAnsi="Times New Roman" w:cs="Times New Roman"/>
                <w:b w:val="0"/>
                <w:bCs w:val="0"/>
                <w:color w:val="auto"/>
                <w:spacing w:val="10"/>
                <w:sz w:val="21"/>
                <w:szCs w:val="21"/>
                <w:highlight w:val="none"/>
                <w:vertAlign w:val="superscript"/>
                <w:lang w:val="en-US" w:eastAsia="zh-CN"/>
              </w:rPr>
              <w:t>3</w:t>
            </w:r>
          </w:p>
        </w:tc>
      </w:tr>
      <w:tr w14:paraId="39591E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DB9382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24</w:t>
            </w:r>
          </w:p>
        </w:tc>
        <w:tc>
          <w:tcPr>
            <w:tcW w:w="1071" w:type="pct"/>
            <w:tcBorders>
              <w:tl2br w:val="nil"/>
              <w:tr2bl w:val="nil"/>
            </w:tcBorders>
            <w:noWrap w:val="0"/>
            <w:vAlign w:val="center"/>
          </w:tcPr>
          <w:p w14:paraId="1CC880E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防腐砂浆泵</w:t>
            </w:r>
          </w:p>
        </w:tc>
        <w:tc>
          <w:tcPr>
            <w:tcW w:w="1190" w:type="pct"/>
            <w:tcBorders>
              <w:tl2br w:val="nil"/>
              <w:tr2bl w:val="nil"/>
            </w:tcBorders>
            <w:noWrap w:val="0"/>
            <w:vAlign w:val="center"/>
          </w:tcPr>
          <w:p w14:paraId="6B414F9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Q=250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H=25</w:t>
            </w:r>
          </w:p>
        </w:tc>
        <w:tc>
          <w:tcPr>
            <w:tcW w:w="432" w:type="pct"/>
            <w:tcBorders>
              <w:tl2br w:val="nil"/>
              <w:tr2bl w:val="nil"/>
            </w:tcBorders>
            <w:noWrap w:val="0"/>
            <w:vAlign w:val="center"/>
          </w:tcPr>
          <w:p w14:paraId="53FA7F0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6211106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50E7B3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770861E">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25</w:t>
            </w:r>
          </w:p>
        </w:tc>
        <w:tc>
          <w:tcPr>
            <w:tcW w:w="1071" w:type="pct"/>
            <w:tcBorders>
              <w:tl2br w:val="nil"/>
              <w:tr2bl w:val="nil"/>
            </w:tcBorders>
            <w:noWrap w:val="0"/>
            <w:vAlign w:val="center"/>
          </w:tcPr>
          <w:p w14:paraId="4B71DBD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胶带式真空带滤机</w:t>
            </w:r>
          </w:p>
        </w:tc>
        <w:tc>
          <w:tcPr>
            <w:tcW w:w="1190" w:type="pct"/>
            <w:tcBorders>
              <w:tl2br w:val="nil"/>
              <w:tr2bl w:val="nil"/>
            </w:tcBorders>
            <w:noWrap w:val="0"/>
            <w:vAlign w:val="center"/>
          </w:tcPr>
          <w:p w14:paraId="4641217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Du80/3200</w:t>
            </w:r>
          </w:p>
        </w:tc>
        <w:tc>
          <w:tcPr>
            <w:tcW w:w="432" w:type="pct"/>
            <w:tcBorders>
              <w:tl2br w:val="nil"/>
              <w:tr2bl w:val="nil"/>
            </w:tcBorders>
            <w:noWrap w:val="0"/>
            <w:vAlign w:val="center"/>
          </w:tcPr>
          <w:p w14:paraId="0533FD9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2套</w:t>
            </w:r>
          </w:p>
        </w:tc>
        <w:tc>
          <w:tcPr>
            <w:tcW w:w="2042" w:type="pct"/>
            <w:tcBorders>
              <w:tl2br w:val="nil"/>
              <w:tr2bl w:val="nil"/>
            </w:tcBorders>
            <w:noWrap w:val="0"/>
            <w:vAlign w:val="center"/>
          </w:tcPr>
          <w:p w14:paraId="421111A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781EC3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02BDF58">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26</w:t>
            </w:r>
          </w:p>
        </w:tc>
        <w:tc>
          <w:tcPr>
            <w:tcW w:w="1071" w:type="pct"/>
            <w:tcBorders>
              <w:tl2br w:val="nil"/>
              <w:tr2bl w:val="nil"/>
            </w:tcBorders>
            <w:noWrap w:val="0"/>
            <w:vAlign w:val="center"/>
          </w:tcPr>
          <w:p w14:paraId="1A0336A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皮带输送机</w:t>
            </w:r>
          </w:p>
        </w:tc>
        <w:tc>
          <w:tcPr>
            <w:tcW w:w="1190" w:type="pct"/>
            <w:tcBorders>
              <w:tl2br w:val="nil"/>
              <w:tr2bl w:val="nil"/>
            </w:tcBorders>
            <w:noWrap w:val="0"/>
            <w:vAlign w:val="center"/>
          </w:tcPr>
          <w:p w14:paraId="3404C76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1200/25000</w:t>
            </w:r>
          </w:p>
        </w:tc>
        <w:tc>
          <w:tcPr>
            <w:tcW w:w="432" w:type="pct"/>
            <w:tcBorders>
              <w:tl2br w:val="nil"/>
              <w:tr2bl w:val="nil"/>
            </w:tcBorders>
            <w:noWrap w:val="0"/>
            <w:vAlign w:val="center"/>
          </w:tcPr>
          <w:p w14:paraId="16A780E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2</w:t>
            </w:r>
            <w:r>
              <w:rPr>
                <w:rFonts w:hint="eastAsia" w:ascii="Times New Roman" w:hAnsi="Times New Roman" w:cs="Times New Roman"/>
                <w:b w:val="0"/>
                <w:bCs w:val="0"/>
                <w:color w:val="auto"/>
                <w:spacing w:val="10"/>
                <w:sz w:val="21"/>
                <w:szCs w:val="21"/>
                <w:highlight w:val="none"/>
                <w:lang w:val="en-US" w:eastAsia="zh-CN"/>
              </w:rPr>
              <w:t>条</w:t>
            </w:r>
          </w:p>
        </w:tc>
        <w:tc>
          <w:tcPr>
            <w:tcW w:w="2042" w:type="pct"/>
            <w:tcBorders>
              <w:tl2br w:val="nil"/>
              <w:tr2bl w:val="nil"/>
            </w:tcBorders>
            <w:noWrap w:val="0"/>
            <w:vAlign w:val="center"/>
          </w:tcPr>
          <w:p w14:paraId="3D88295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宽1.2</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eastAsia="宋体" w:cs="Times New Roman"/>
                <w:b w:val="0"/>
                <w:bCs w:val="0"/>
                <w:color w:val="auto"/>
                <w:spacing w:val="10"/>
                <w:sz w:val="21"/>
                <w:szCs w:val="21"/>
                <w:highlight w:val="none"/>
              </w:rPr>
              <w:t>，长25</w:t>
            </w:r>
            <w:r>
              <w:rPr>
                <w:rFonts w:hint="eastAsia" w:ascii="Times New Roman" w:hAnsi="Times New Roman" w:cs="Times New Roman"/>
                <w:b w:val="0"/>
                <w:bCs w:val="0"/>
                <w:color w:val="auto"/>
                <w:spacing w:val="10"/>
                <w:sz w:val="21"/>
                <w:szCs w:val="21"/>
                <w:highlight w:val="none"/>
                <w:lang w:val="en-US" w:eastAsia="zh-CN"/>
              </w:rPr>
              <w:t>m</w:t>
            </w:r>
          </w:p>
        </w:tc>
      </w:tr>
      <w:tr w14:paraId="19D1E4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AD49DDA">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27</w:t>
            </w:r>
          </w:p>
        </w:tc>
        <w:tc>
          <w:tcPr>
            <w:tcW w:w="1071" w:type="pct"/>
            <w:tcBorders>
              <w:tl2br w:val="nil"/>
              <w:tr2bl w:val="nil"/>
            </w:tcBorders>
            <w:noWrap w:val="0"/>
            <w:vAlign w:val="center"/>
          </w:tcPr>
          <w:p w14:paraId="2BAB966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浸出后液贮槽</w:t>
            </w:r>
          </w:p>
        </w:tc>
        <w:tc>
          <w:tcPr>
            <w:tcW w:w="1190" w:type="pct"/>
            <w:tcBorders>
              <w:tl2br w:val="nil"/>
              <w:tr2bl w:val="nil"/>
            </w:tcBorders>
            <w:noWrap w:val="0"/>
            <w:vAlign w:val="center"/>
          </w:tcPr>
          <w:p w14:paraId="408FD39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Ф3.5*6/80F</w:t>
            </w:r>
          </w:p>
        </w:tc>
        <w:tc>
          <w:tcPr>
            <w:tcW w:w="432" w:type="pct"/>
            <w:tcBorders>
              <w:tl2br w:val="nil"/>
              <w:tr2bl w:val="nil"/>
            </w:tcBorders>
            <w:noWrap w:val="0"/>
            <w:vAlign w:val="center"/>
          </w:tcPr>
          <w:p w14:paraId="5DA23EB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3台</w:t>
            </w:r>
          </w:p>
        </w:tc>
        <w:tc>
          <w:tcPr>
            <w:tcW w:w="2042" w:type="pct"/>
            <w:tcBorders>
              <w:tl2br w:val="nil"/>
              <w:tr2bl w:val="nil"/>
            </w:tcBorders>
            <w:noWrap w:val="0"/>
            <w:vAlign w:val="center"/>
          </w:tcPr>
          <w:p w14:paraId="53C4A0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7BE477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5571AA4">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28</w:t>
            </w:r>
          </w:p>
        </w:tc>
        <w:tc>
          <w:tcPr>
            <w:tcW w:w="1071" w:type="pct"/>
            <w:tcBorders>
              <w:tl2br w:val="nil"/>
              <w:tr2bl w:val="nil"/>
            </w:tcBorders>
            <w:noWrap w:val="0"/>
            <w:vAlign w:val="center"/>
          </w:tcPr>
          <w:p w14:paraId="6B50C31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浸出后液泵</w:t>
            </w:r>
          </w:p>
        </w:tc>
        <w:tc>
          <w:tcPr>
            <w:tcW w:w="1190" w:type="pct"/>
            <w:tcBorders>
              <w:tl2br w:val="nil"/>
              <w:tr2bl w:val="nil"/>
            </w:tcBorders>
            <w:noWrap w:val="0"/>
            <w:vAlign w:val="center"/>
          </w:tcPr>
          <w:p w14:paraId="7E67B0E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Q=250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H=40</w:t>
            </w:r>
          </w:p>
        </w:tc>
        <w:tc>
          <w:tcPr>
            <w:tcW w:w="432" w:type="pct"/>
            <w:tcBorders>
              <w:tl2br w:val="nil"/>
              <w:tr2bl w:val="nil"/>
            </w:tcBorders>
            <w:noWrap w:val="0"/>
            <w:vAlign w:val="center"/>
          </w:tcPr>
          <w:p w14:paraId="48FDEEE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3</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1B3888C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二用一备</w:t>
            </w:r>
          </w:p>
        </w:tc>
      </w:tr>
      <w:tr w14:paraId="65D44F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1BA2CF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29</w:t>
            </w:r>
          </w:p>
        </w:tc>
        <w:tc>
          <w:tcPr>
            <w:tcW w:w="1071" w:type="pct"/>
            <w:tcBorders>
              <w:tl2br w:val="nil"/>
              <w:tr2bl w:val="nil"/>
            </w:tcBorders>
            <w:noWrap w:val="0"/>
            <w:vAlign w:val="center"/>
          </w:tcPr>
          <w:p w14:paraId="3DCED47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萃铜前液贮槽</w:t>
            </w:r>
          </w:p>
        </w:tc>
        <w:tc>
          <w:tcPr>
            <w:tcW w:w="1190" w:type="pct"/>
            <w:tcBorders>
              <w:tl2br w:val="nil"/>
              <w:tr2bl w:val="nil"/>
            </w:tcBorders>
            <w:noWrap w:val="0"/>
            <w:vAlign w:val="center"/>
          </w:tcPr>
          <w:p w14:paraId="649BEC8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Ф3.5*6/80F</w:t>
            </w:r>
          </w:p>
        </w:tc>
        <w:tc>
          <w:tcPr>
            <w:tcW w:w="432" w:type="pct"/>
            <w:tcBorders>
              <w:tl2br w:val="nil"/>
              <w:tr2bl w:val="nil"/>
            </w:tcBorders>
            <w:noWrap w:val="0"/>
            <w:vAlign w:val="center"/>
          </w:tcPr>
          <w:p w14:paraId="07E515A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2</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485D2CF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09ADDA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05D679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30</w:t>
            </w:r>
          </w:p>
        </w:tc>
        <w:tc>
          <w:tcPr>
            <w:tcW w:w="1071" w:type="pct"/>
            <w:tcBorders>
              <w:tl2br w:val="nil"/>
              <w:tr2bl w:val="nil"/>
            </w:tcBorders>
            <w:noWrap w:val="0"/>
            <w:vAlign w:val="center"/>
          </w:tcPr>
          <w:p w14:paraId="5B3E097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萃铜前液泵</w:t>
            </w:r>
          </w:p>
        </w:tc>
        <w:tc>
          <w:tcPr>
            <w:tcW w:w="1190" w:type="pct"/>
            <w:tcBorders>
              <w:tl2br w:val="nil"/>
              <w:tr2bl w:val="nil"/>
            </w:tcBorders>
            <w:noWrap w:val="0"/>
            <w:vAlign w:val="center"/>
          </w:tcPr>
          <w:p w14:paraId="0E9834B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H=25</w:t>
            </w:r>
          </w:p>
        </w:tc>
        <w:tc>
          <w:tcPr>
            <w:tcW w:w="432" w:type="pct"/>
            <w:tcBorders>
              <w:tl2br w:val="nil"/>
              <w:tr2bl w:val="nil"/>
            </w:tcBorders>
            <w:noWrap w:val="0"/>
            <w:vAlign w:val="center"/>
          </w:tcPr>
          <w:p w14:paraId="19C16B2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0255AF0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682D06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FA4C2F1">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31</w:t>
            </w:r>
          </w:p>
        </w:tc>
        <w:tc>
          <w:tcPr>
            <w:tcW w:w="1071" w:type="pct"/>
            <w:tcBorders>
              <w:tl2br w:val="nil"/>
              <w:tr2bl w:val="nil"/>
            </w:tcBorders>
            <w:noWrap w:val="0"/>
            <w:vAlign w:val="center"/>
          </w:tcPr>
          <w:p w14:paraId="1E00400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eastAsia="zh-CN"/>
              </w:rPr>
              <w:t>浸出渣</w:t>
            </w:r>
            <w:r>
              <w:rPr>
                <w:rFonts w:hint="default" w:ascii="Times New Roman" w:hAnsi="Times New Roman" w:eastAsia="宋体" w:cs="Times New Roman"/>
                <w:b w:val="0"/>
                <w:bCs w:val="0"/>
                <w:color w:val="auto"/>
                <w:spacing w:val="10"/>
                <w:sz w:val="21"/>
                <w:szCs w:val="21"/>
                <w:highlight w:val="none"/>
              </w:rPr>
              <w:t>洗涤液贮槽</w:t>
            </w:r>
          </w:p>
        </w:tc>
        <w:tc>
          <w:tcPr>
            <w:tcW w:w="1190" w:type="pct"/>
            <w:tcBorders>
              <w:tl2br w:val="nil"/>
              <w:tr2bl w:val="nil"/>
            </w:tcBorders>
            <w:noWrap w:val="0"/>
            <w:vAlign w:val="center"/>
          </w:tcPr>
          <w:p w14:paraId="3DBAD82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Ф3.5*6/80F</w:t>
            </w:r>
          </w:p>
        </w:tc>
        <w:tc>
          <w:tcPr>
            <w:tcW w:w="432" w:type="pct"/>
            <w:tcBorders>
              <w:tl2br w:val="nil"/>
              <w:tr2bl w:val="nil"/>
            </w:tcBorders>
            <w:noWrap w:val="0"/>
            <w:vAlign w:val="center"/>
          </w:tcPr>
          <w:p w14:paraId="0628EC1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74C5EDB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上清液返回球磨机</w:t>
            </w:r>
          </w:p>
        </w:tc>
      </w:tr>
      <w:tr w14:paraId="36BA05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AC87111">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32</w:t>
            </w:r>
          </w:p>
        </w:tc>
        <w:tc>
          <w:tcPr>
            <w:tcW w:w="1071" w:type="pct"/>
            <w:tcBorders>
              <w:tl2br w:val="nil"/>
              <w:tr2bl w:val="nil"/>
            </w:tcBorders>
            <w:noWrap w:val="0"/>
            <w:vAlign w:val="center"/>
          </w:tcPr>
          <w:p w14:paraId="28C416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eastAsia="zh-CN"/>
              </w:rPr>
              <w:t>浸出矿渣</w:t>
            </w:r>
            <w:r>
              <w:rPr>
                <w:rFonts w:hint="default" w:ascii="Times New Roman" w:hAnsi="Times New Roman" w:eastAsia="宋体" w:cs="Times New Roman"/>
                <w:b w:val="0"/>
                <w:bCs w:val="0"/>
                <w:color w:val="auto"/>
                <w:spacing w:val="10"/>
                <w:sz w:val="21"/>
                <w:szCs w:val="21"/>
                <w:highlight w:val="none"/>
              </w:rPr>
              <w:t>洗涤液化工泵</w:t>
            </w:r>
          </w:p>
        </w:tc>
        <w:tc>
          <w:tcPr>
            <w:tcW w:w="1190" w:type="pct"/>
            <w:tcBorders>
              <w:tl2br w:val="nil"/>
              <w:tr2bl w:val="nil"/>
            </w:tcBorders>
            <w:noWrap w:val="0"/>
            <w:vAlign w:val="center"/>
          </w:tcPr>
          <w:p w14:paraId="4942029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H=25</w:t>
            </w:r>
          </w:p>
        </w:tc>
        <w:tc>
          <w:tcPr>
            <w:tcW w:w="432" w:type="pct"/>
            <w:tcBorders>
              <w:tl2br w:val="nil"/>
              <w:tr2bl w:val="nil"/>
            </w:tcBorders>
            <w:noWrap w:val="0"/>
            <w:vAlign w:val="center"/>
          </w:tcPr>
          <w:p w14:paraId="21647BE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51B31C2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4D9449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10A9EF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33</w:t>
            </w:r>
          </w:p>
        </w:tc>
        <w:tc>
          <w:tcPr>
            <w:tcW w:w="1071" w:type="pct"/>
            <w:tcBorders>
              <w:tl2br w:val="nil"/>
              <w:tr2bl w:val="nil"/>
            </w:tcBorders>
            <w:noWrap w:val="0"/>
            <w:vAlign w:val="center"/>
          </w:tcPr>
          <w:p w14:paraId="3833629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萃铜</w:t>
            </w:r>
            <w:r>
              <w:rPr>
                <w:rFonts w:hint="default" w:ascii="Times New Roman" w:hAnsi="Times New Roman" w:cs="Times New Roman"/>
                <w:b w:val="0"/>
                <w:bCs w:val="0"/>
                <w:color w:val="auto"/>
                <w:spacing w:val="10"/>
                <w:sz w:val="21"/>
                <w:szCs w:val="21"/>
                <w:highlight w:val="none"/>
                <w:lang w:val="en-US" w:eastAsia="zh-CN"/>
              </w:rPr>
              <w:t>罐</w:t>
            </w:r>
          </w:p>
        </w:tc>
        <w:tc>
          <w:tcPr>
            <w:tcW w:w="1190" w:type="pct"/>
            <w:tcBorders>
              <w:tl2br w:val="nil"/>
              <w:tr2bl w:val="nil"/>
            </w:tcBorders>
            <w:noWrap w:val="0"/>
            <w:vAlign w:val="center"/>
          </w:tcPr>
          <w:p w14:paraId="07A540B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10.5F</w:t>
            </w:r>
          </w:p>
        </w:tc>
        <w:tc>
          <w:tcPr>
            <w:tcW w:w="432" w:type="pct"/>
            <w:tcBorders>
              <w:tl2br w:val="nil"/>
              <w:tr2bl w:val="nil"/>
            </w:tcBorders>
            <w:noWrap w:val="0"/>
            <w:vAlign w:val="center"/>
          </w:tcPr>
          <w:p w14:paraId="270EA2D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1组</w:t>
            </w:r>
          </w:p>
        </w:tc>
        <w:tc>
          <w:tcPr>
            <w:tcW w:w="2042" w:type="pct"/>
            <w:tcBorders>
              <w:tl2br w:val="nil"/>
              <w:tr2bl w:val="nil"/>
            </w:tcBorders>
            <w:noWrap w:val="0"/>
            <w:vAlign w:val="center"/>
          </w:tcPr>
          <w:p w14:paraId="38CDFDF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rPr>
              <w:t>两萃一洗一反共4级</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cs="Times New Roman"/>
                <w:b w:val="0"/>
                <w:bCs w:val="0"/>
                <w:color w:val="auto"/>
                <w:spacing w:val="10"/>
                <w:sz w:val="21"/>
                <w:szCs w:val="21"/>
                <w:highlight w:val="none"/>
                <w:lang w:val="en-US" w:eastAsia="zh-CN"/>
              </w:rPr>
              <w:t>V=117m</w:t>
            </w:r>
            <w:r>
              <w:rPr>
                <w:rFonts w:hint="default" w:ascii="Times New Roman" w:hAnsi="Times New Roman" w:cs="Times New Roman"/>
                <w:b w:val="0"/>
                <w:bCs w:val="0"/>
                <w:color w:val="auto"/>
                <w:spacing w:val="10"/>
                <w:sz w:val="21"/>
                <w:szCs w:val="21"/>
                <w:highlight w:val="none"/>
                <w:vertAlign w:val="superscript"/>
                <w:lang w:val="en-US" w:eastAsia="zh-CN"/>
              </w:rPr>
              <w:t>3</w:t>
            </w:r>
          </w:p>
        </w:tc>
      </w:tr>
      <w:tr w14:paraId="5266E5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70863B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34</w:t>
            </w:r>
          </w:p>
        </w:tc>
        <w:tc>
          <w:tcPr>
            <w:tcW w:w="1071" w:type="pct"/>
            <w:tcBorders>
              <w:tl2br w:val="nil"/>
              <w:tr2bl w:val="nil"/>
            </w:tcBorders>
            <w:noWrap w:val="0"/>
            <w:vAlign w:val="center"/>
          </w:tcPr>
          <w:p w14:paraId="1B0503E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萃余液贮池</w:t>
            </w:r>
          </w:p>
        </w:tc>
        <w:tc>
          <w:tcPr>
            <w:tcW w:w="1190" w:type="pct"/>
            <w:tcBorders>
              <w:tl2br w:val="nil"/>
              <w:tr2bl w:val="nil"/>
            </w:tcBorders>
            <w:noWrap w:val="0"/>
            <w:vAlign w:val="center"/>
          </w:tcPr>
          <w:p w14:paraId="398DA92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7.5*12*1.2/108F</w:t>
            </w:r>
          </w:p>
        </w:tc>
        <w:tc>
          <w:tcPr>
            <w:tcW w:w="432" w:type="pct"/>
            <w:tcBorders>
              <w:tl2br w:val="nil"/>
              <w:tr2bl w:val="nil"/>
            </w:tcBorders>
            <w:noWrap w:val="0"/>
            <w:vAlign w:val="center"/>
          </w:tcPr>
          <w:p w14:paraId="43FF674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059B4D3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PVC焊制，放置于萃取槽澄清室底部</w:t>
            </w:r>
          </w:p>
        </w:tc>
      </w:tr>
      <w:tr w14:paraId="5350DF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7043C1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35</w:t>
            </w:r>
          </w:p>
        </w:tc>
        <w:tc>
          <w:tcPr>
            <w:tcW w:w="1071" w:type="pct"/>
            <w:tcBorders>
              <w:tl2br w:val="nil"/>
              <w:tr2bl w:val="nil"/>
            </w:tcBorders>
            <w:noWrap w:val="0"/>
            <w:vAlign w:val="center"/>
          </w:tcPr>
          <w:p w14:paraId="4DE0BB6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萃余液泵</w:t>
            </w:r>
          </w:p>
        </w:tc>
        <w:tc>
          <w:tcPr>
            <w:tcW w:w="1190" w:type="pct"/>
            <w:tcBorders>
              <w:tl2br w:val="nil"/>
              <w:tr2bl w:val="nil"/>
            </w:tcBorders>
            <w:noWrap w:val="0"/>
            <w:vAlign w:val="center"/>
          </w:tcPr>
          <w:p w14:paraId="124EBB3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08CF2F5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2B379EA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689828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6EFE011">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36</w:t>
            </w:r>
          </w:p>
        </w:tc>
        <w:tc>
          <w:tcPr>
            <w:tcW w:w="1071" w:type="pct"/>
            <w:tcBorders>
              <w:tl2br w:val="nil"/>
              <w:tr2bl w:val="nil"/>
            </w:tcBorders>
            <w:noWrap w:val="0"/>
            <w:vAlign w:val="center"/>
          </w:tcPr>
          <w:p w14:paraId="27E6F6C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有机循环</w:t>
            </w:r>
            <w:r>
              <w:rPr>
                <w:rFonts w:hint="default" w:ascii="Times New Roman" w:hAnsi="Times New Roman" w:cs="Times New Roman"/>
                <w:b w:val="0"/>
                <w:bCs w:val="0"/>
                <w:color w:val="auto"/>
                <w:spacing w:val="10"/>
                <w:sz w:val="21"/>
                <w:szCs w:val="21"/>
                <w:highlight w:val="none"/>
                <w:lang w:val="en-US" w:eastAsia="zh-CN"/>
              </w:rPr>
              <w:t>罐</w:t>
            </w:r>
          </w:p>
        </w:tc>
        <w:tc>
          <w:tcPr>
            <w:tcW w:w="1190" w:type="pct"/>
            <w:tcBorders>
              <w:tl2br w:val="nil"/>
              <w:tr2bl w:val="nil"/>
            </w:tcBorders>
            <w:noWrap w:val="0"/>
            <w:vAlign w:val="center"/>
          </w:tcPr>
          <w:p w14:paraId="7DAADD2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7.5*9*1.2/81F</w:t>
            </w:r>
          </w:p>
        </w:tc>
        <w:tc>
          <w:tcPr>
            <w:tcW w:w="432" w:type="pct"/>
            <w:tcBorders>
              <w:tl2br w:val="nil"/>
              <w:tr2bl w:val="nil"/>
            </w:tcBorders>
            <w:noWrap w:val="0"/>
            <w:vAlign w:val="center"/>
          </w:tcPr>
          <w:p w14:paraId="46B7723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6C835E4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PVC焊制，放置于萃取槽澄清室底部</w:t>
            </w:r>
          </w:p>
        </w:tc>
      </w:tr>
      <w:tr w14:paraId="60C031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4E23074">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37</w:t>
            </w:r>
          </w:p>
        </w:tc>
        <w:tc>
          <w:tcPr>
            <w:tcW w:w="1071" w:type="pct"/>
            <w:tcBorders>
              <w:tl2br w:val="nil"/>
              <w:tr2bl w:val="nil"/>
            </w:tcBorders>
            <w:noWrap w:val="0"/>
            <w:vAlign w:val="center"/>
          </w:tcPr>
          <w:p w14:paraId="4360611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有机循环泵</w:t>
            </w:r>
          </w:p>
        </w:tc>
        <w:tc>
          <w:tcPr>
            <w:tcW w:w="1190" w:type="pct"/>
            <w:tcBorders>
              <w:tl2br w:val="nil"/>
              <w:tr2bl w:val="nil"/>
            </w:tcBorders>
            <w:noWrap w:val="0"/>
            <w:vAlign w:val="center"/>
          </w:tcPr>
          <w:p w14:paraId="4E3D874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0D4A981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0A3D743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656DD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AB3930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38</w:t>
            </w:r>
          </w:p>
        </w:tc>
        <w:tc>
          <w:tcPr>
            <w:tcW w:w="1071" w:type="pct"/>
            <w:tcBorders>
              <w:tl2br w:val="nil"/>
              <w:tr2bl w:val="nil"/>
            </w:tcBorders>
            <w:noWrap w:val="0"/>
            <w:vAlign w:val="center"/>
          </w:tcPr>
          <w:p w14:paraId="77DB06E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洗酸循环池</w:t>
            </w:r>
          </w:p>
        </w:tc>
        <w:tc>
          <w:tcPr>
            <w:tcW w:w="1190" w:type="pct"/>
            <w:tcBorders>
              <w:tl2br w:val="nil"/>
              <w:tr2bl w:val="nil"/>
            </w:tcBorders>
            <w:noWrap w:val="0"/>
            <w:vAlign w:val="center"/>
          </w:tcPr>
          <w:p w14:paraId="6C908B3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7.5*3*1.2/27</w:t>
            </w:r>
          </w:p>
        </w:tc>
        <w:tc>
          <w:tcPr>
            <w:tcW w:w="432" w:type="pct"/>
            <w:tcBorders>
              <w:tl2br w:val="nil"/>
              <w:tr2bl w:val="nil"/>
            </w:tcBorders>
            <w:noWrap w:val="0"/>
            <w:vAlign w:val="center"/>
          </w:tcPr>
          <w:p w14:paraId="2CDD12C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004A6A6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PVC焊制，放置于萃取槽澄清室底部</w:t>
            </w:r>
          </w:p>
        </w:tc>
      </w:tr>
      <w:tr w14:paraId="1254DB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B3B2D12">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39</w:t>
            </w:r>
          </w:p>
        </w:tc>
        <w:tc>
          <w:tcPr>
            <w:tcW w:w="1071" w:type="pct"/>
            <w:tcBorders>
              <w:tl2br w:val="nil"/>
              <w:tr2bl w:val="nil"/>
            </w:tcBorders>
            <w:noWrap w:val="0"/>
            <w:vAlign w:val="center"/>
          </w:tcPr>
          <w:p w14:paraId="28AF05F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洗酸循环泵</w:t>
            </w:r>
          </w:p>
        </w:tc>
        <w:tc>
          <w:tcPr>
            <w:tcW w:w="1190" w:type="pct"/>
            <w:tcBorders>
              <w:tl2br w:val="nil"/>
              <w:tr2bl w:val="nil"/>
            </w:tcBorders>
            <w:noWrap w:val="0"/>
            <w:vAlign w:val="center"/>
          </w:tcPr>
          <w:p w14:paraId="2A1625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77D16A3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6FC73D6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094D13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A69B152">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40</w:t>
            </w:r>
          </w:p>
        </w:tc>
        <w:tc>
          <w:tcPr>
            <w:tcW w:w="1071" w:type="pct"/>
            <w:tcBorders>
              <w:tl2br w:val="nil"/>
              <w:tr2bl w:val="nil"/>
            </w:tcBorders>
            <w:noWrap w:val="0"/>
            <w:vAlign w:val="center"/>
          </w:tcPr>
          <w:p w14:paraId="1E2BE14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第三相贮槽</w:t>
            </w:r>
          </w:p>
        </w:tc>
        <w:tc>
          <w:tcPr>
            <w:tcW w:w="1190" w:type="pct"/>
            <w:tcBorders>
              <w:tl2br w:val="nil"/>
              <w:tr2bl w:val="nil"/>
            </w:tcBorders>
            <w:noWrap w:val="0"/>
            <w:vAlign w:val="center"/>
          </w:tcPr>
          <w:p w14:paraId="4430EDA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Ф2.5*2.5/12F</w:t>
            </w:r>
          </w:p>
        </w:tc>
        <w:tc>
          <w:tcPr>
            <w:tcW w:w="432" w:type="pct"/>
            <w:tcBorders>
              <w:tl2br w:val="nil"/>
              <w:tr2bl w:val="nil"/>
            </w:tcBorders>
            <w:noWrap w:val="0"/>
            <w:vAlign w:val="center"/>
          </w:tcPr>
          <w:p w14:paraId="07F7EAD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3DD7C82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5CBFCA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15C6E9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41</w:t>
            </w:r>
          </w:p>
        </w:tc>
        <w:tc>
          <w:tcPr>
            <w:tcW w:w="1071" w:type="pct"/>
            <w:tcBorders>
              <w:tl2br w:val="nil"/>
              <w:tr2bl w:val="nil"/>
            </w:tcBorders>
            <w:noWrap w:val="0"/>
            <w:vAlign w:val="center"/>
          </w:tcPr>
          <w:p w14:paraId="3CEC5B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第三相输送泵</w:t>
            </w:r>
          </w:p>
        </w:tc>
        <w:tc>
          <w:tcPr>
            <w:tcW w:w="1190" w:type="pct"/>
            <w:tcBorders>
              <w:tl2br w:val="nil"/>
              <w:tr2bl w:val="nil"/>
            </w:tcBorders>
            <w:noWrap w:val="0"/>
            <w:vAlign w:val="center"/>
          </w:tcPr>
          <w:p w14:paraId="10DDB28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Q=12</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H=15</w:t>
            </w:r>
          </w:p>
        </w:tc>
        <w:tc>
          <w:tcPr>
            <w:tcW w:w="432" w:type="pct"/>
            <w:tcBorders>
              <w:tl2br w:val="nil"/>
              <w:tr2bl w:val="nil"/>
            </w:tcBorders>
            <w:noWrap w:val="0"/>
            <w:vAlign w:val="center"/>
          </w:tcPr>
          <w:p w14:paraId="6D2205C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AD7182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93099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D73A46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42</w:t>
            </w:r>
          </w:p>
        </w:tc>
        <w:tc>
          <w:tcPr>
            <w:tcW w:w="1071" w:type="pct"/>
            <w:tcBorders>
              <w:tl2br w:val="nil"/>
              <w:tr2bl w:val="nil"/>
            </w:tcBorders>
            <w:noWrap w:val="0"/>
            <w:vAlign w:val="center"/>
          </w:tcPr>
          <w:p w14:paraId="2D9411D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有机污物搅拌槽</w:t>
            </w:r>
          </w:p>
        </w:tc>
        <w:tc>
          <w:tcPr>
            <w:tcW w:w="1190" w:type="pct"/>
            <w:tcBorders>
              <w:tl2br w:val="nil"/>
              <w:tr2bl w:val="nil"/>
            </w:tcBorders>
            <w:noWrap w:val="0"/>
            <w:vAlign w:val="center"/>
          </w:tcPr>
          <w:p w14:paraId="45798A6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Ф1.6*2.0/4F</w:t>
            </w:r>
          </w:p>
        </w:tc>
        <w:tc>
          <w:tcPr>
            <w:tcW w:w="432" w:type="pct"/>
            <w:tcBorders>
              <w:tl2br w:val="nil"/>
              <w:tr2bl w:val="nil"/>
            </w:tcBorders>
            <w:noWrap w:val="0"/>
            <w:vAlign w:val="center"/>
          </w:tcPr>
          <w:p w14:paraId="14EE6C3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3A9D4AC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118B0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2152D96">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43</w:t>
            </w:r>
          </w:p>
        </w:tc>
        <w:tc>
          <w:tcPr>
            <w:tcW w:w="1071" w:type="pct"/>
            <w:tcBorders>
              <w:tl2br w:val="nil"/>
              <w:tr2bl w:val="nil"/>
            </w:tcBorders>
            <w:noWrap w:val="0"/>
            <w:vAlign w:val="center"/>
          </w:tcPr>
          <w:p w14:paraId="5D05936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有机污物压滤泵</w:t>
            </w:r>
          </w:p>
        </w:tc>
        <w:tc>
          <w:tcPr>
            <w:tcW w:w="1190" w:type="pct"/>
            <w:tcBorders>
              <w:tl2br w:val="nil"/>
              <w:tr2bl w:val="nil"/>
            </w:tcBorders>
            <w:noWrap w:val="0"/>
            <w:vAlign w:val="center"/>
          </w:tcPr>
          <w:p w14:paraId="64D92C0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Q=12</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H=35</w:t>
            </w:r>
          </w:p>
        </w:tc>
        <w:tc>
          <w:tcPr>
            <w:tcW w:w="432" w:type="pct"/>
            <w:tcBorders>
              <w:tl2br w:val="nil"/>
              <w:tr2bl w:val="nil"/>
            </w:tcBorders>
            <w:noWrap w:val="0"/>
            <w:vAlign w:val="center"/>
          </w:tcPr>
          <w:p w14:paraId="2F3288A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0310152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154734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ECFD5D3">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44</w:t>
            </w:r>
          </w:p>
        </w:tc>
        <w:tc>
          <w:tcPr>
            <w:tcW w:w="1071" w:type="pct"/>
            <w:tcBorders>
              <w:tl2br w:val="nil"/>
              <w:tr2bl w:val="nil"/>
            </w:tcBorders>
            <w:noWrap w:val="0"/>
            <w:vAlign w:val="center"/>
          </w:tcPr>
          <w:p w14:paraId="0009E0B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有机污物压滤机</w:t>
            </w:r>
          </w:p>
        </w:tc>
        <w:tc>
          <w:tcPr>
            <w:tcW w:w="1190" w:type="pct"/>
            <w:tcBorders>
              <w:tl2br w:val="nil"/>
              <w:tr2bl w:val="nil"/>
            </w:tcBorders>
            <w:noWrap w:val="0"/>
            <w:vAlign w:val="center"/>
          </w:tcPr>
          <w:p w14:paraId="27F520D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XM30/630</w:t>
            </w:r>
          </w:p>
        </w:tc>
        <w:tc>
          <w:tcPr>
            <w:tcW w:w="432" w:type="pct"/>
            <w:tcBorders>
              <w:tl2br w:val="nil"/>
              <w:tr2bl w:val="nil"/>
            </w:tcBorders>
            <w:noWrap w:val="0"/>
            <w:vAlign w:val="center"/>
          </w:tcPr>
          <w:p w14:paraId="2AC198C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1EE41DA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8155E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E99A58E">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45</w:t>
            </w:r>
          </w:p>
        </w:tc>
        <w:tc>
          <w:tcPr>
            <w:tcW w:w="1071" w:type="pct"/>
            <w:tcBorders>
              <w:tl2br w:val="nil"/>
              <w:tr2bl w:val="nil"/>
            </w:tcBorders>
            <w:noWrap w:val="0"/>
            <w:vAlign w:val="center"/>
          </w:tcPr>
          <w:p w14:paraId="3B1D4BB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6"/>
                <w:sz w:val="21"/>
                <w:szCs w:val="21"/>
                <w:highlight w:val="none"/>
              </w:rPr>
            </w:pPr>
            <w:r>
              <w:rPr>
                <w:rFonts w:hint="default" w:ascii="Times New Roman" w:hAnsi="Times New Roman" w:eastAsia="宋体" w:cs="Times New Roman"/>
                <w:b w:val="0"/>
                <w:bCs w:val="0"/>
                <w:color w:val="auto"/>
                <w:spacing w:val="-6"/>
                <w:sz w:val="21"/>
                <w:szCs w:val="21"/>
                <w:highlight w:val="none"/>
              </w:rPr>
              <w:t>净化后有机中转槽</w:t>
            </w:r>
          </w:p>
        </w:tc>
        <w:tc>
          <w:tcPr>
            <w:tcW w:w="1190" w:type="pct"/>
            <w:tcBorders>
              <w:tl2br w:val="nil"/>
              <w:tr2bl w:val="nil"/>
            </w:tcBorders>
            <w:noWrap w:val="0"/>
            <w:vAlign w:val="center"/>
          </w:tcPr>
          <w:p w14:paraId="0BC9252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Ф1.6*2.0/4F</w:t>
            </w:r>
          </w:p>
        </w:tc>
        <w:tc>
          <w:tcPr>
            <w:tcW w:w="432" w:type="pct"/>
            <w:tcBorders>
              <w:tl2br w:val="nil"/>
              <w:tr2bl w:val="nil"/>
            </w:tcBorders>
            <w:noWrap w:val="0"/>
            <w:vAlign w:val="center"/>
          </w:tcPr>
          <w:p w14:paraId="1A78E11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4B2F209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671075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CA54F6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46</w:t>
            </w:r>
          </w:p>
        </w:tc>
        <w:tc>
          <w:tcPr>
            <w:tcW w:w="1071" w:type="pct"/>
            <w:tcBorders>
              <w:tl2br w:val="nil"/>
              <w:tr2bl w:val="nil"/>
            </w:tcBorders>
            <w:noWrap w:val="0"/>
            <w:vAlign w:val="center"/>
          </w:tcPr>
          <w:p w14:paraId="7A64BA4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6"/>
                <w:sz w:val="21"/>
                <w:szCs w:val="21"/>
                <w:highlight w:val="none"/>
              </w:rPr>
            </w:pPr>
            <w:r>
              <w:rPr>
                <w:rFonts w:hint="default" w:ascii="Times New Roman" w:hAnsi="Times New Roman" w:eastAsia="宋体" w:cs="Times New Roman"/>
                <w:b w:val="0"/>
                <w:bCs w:val="0"/>
                <w:color w:val="auto"/>
                <w:spacing w:val="-6"/>
                <w:sz w:val="21"/>
                <w:szCs w:val="21"/>
                <w:highlight w:val="none"/>
              </w:rPr>
              <w:t>净化后有机中转泵</w:t>
            </w:r>
          </w:p>
        </w:tc>
        <w:tc>
          <w:tcPr>
            <w:tcW w:w="1190" w:type="pct"/>
            <w:tcBorders>
              <w:tl2br w:val="nil"/>
              <w:tr2bl w:val="nil"/>
            </w:tcBorders>
            <w:noWrap w:val="0"/>
            <w:vAlign w:val="center"/>
          </w:tcPr>
          <w:p w14:paraId="5F0355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Q=12</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H=15</w:t>
            </w:r>
          </w:p>
        </w:tc>
        <w:tc>
          <w:tcPr>
            <w:tcW w:w="432" w:type="pct"/>
            <w:tcBorders>
              <w:tl2br w:val="nil"/>
              <w:tr2bl w:val="nil"/>
            </w:tcBorders>
            <w:noWrap w:val="0"/>
            <w:vAlign w:val="center"/>
          </w:tcPr>
          <w:p w14:paraId="3E9AE30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45BFAE3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7179C2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A519B0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47</w:t>
            </w:r>
          </w:p>
        </w:tc>
        <w:tc>
          <w:tcPr>
            <w:tcW w:w="1071" w:type="pct"/>
            <w:tcBorders>
              <w:tl2br w:val="nil"/>
              <w:tr2bl w:val="nil"/>
            </w:tcBorders>
            <w:noWrap w:val="0"/>
            <w:vAlign w:val="center"/>
          </w:tcPr>
          <w:p w14:paraId="195597D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电积槽</w:t>
            </w:r>
          </w:p>
        </w:tc>
        <w:tc>
          <w:tcPr>
            <w:tcW w:w="1190" w:type="pct"/>
            <w:tcBorders>
              <w:tl2br w:val="nil"/>
              <w:tr2bl w:val="nil"/>
            </w:tcBorders>
            <w:noWrap w:val="0"/>
            <w:vAlign w:val="center"/>
          </w:tcPr>
          <w:p w14:paraId="10735CF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1.3*3.5*1.3</w:t>
            </w:r>
          </w:p>
        </w:tc>
        <w:tc>
          <w:tcPr>
            <w:tcW w:w="432" w:type="pct"/>
            <w:tcBorders>
              <w:tl2br w:val="nil"/>
              <w:tr2bl w:val="nil"/>
            </w:tcBorders>
            <w:noWrap w:val="0"/>
            <w:vAlign w:val="center"/>
          </w:tcPr>
          <w:p w14:paraId="7E387CB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50个</w:t>
            </w:r>
          </w:p>
        </w:tc>
        <w:tc>
          <w:tcPr>
            <w:tcW w:w="2042" w:type="pct"/>
            <w:tcBorders>
              <w:tl2br w:val="nil"/>
              <w:tr2bl w:val="nil"/>
            </w:tcBorders>
            <w:noWrap w:val="0"/>
            <w:vAlign w:val="center"/>
          </w:tcPr>
          <w:p w14:paraId="21A1F39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C8E89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1770A67">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48</w:t>
            </w:r>
          </w:p>
        </w:tc>
        <w:tc>
          <w:tcPr>
            <w:tcW w:w="1071" w:type="pct"/>
            <w:tcBorders>
              <w:tl2br w:val="nil"/>
              <w:tr2bl w:val="nil"/>
            </w:tcBorders>
            <w:noWrap w:val="0"/>
            <w:vAlign w:val="center"/>
          </w:tcPr>
          <w:p w14:paraId="23495EF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洗板槽</w:t>
            </w:r>
          </w:p>
        </w:tc>
        <w:tc>
          <w:tcPr>
            <w:tcW w:w="1190" w:type="pct"/>
            <w:tcBorders>
              <w:tl2br w:val="nil"/>
              <w:tr2bl w:val="nil"/>
            </w:tcBorders>
            <w:noWrap w:val="0"/>
            <w:vAlign w:val="center"/>
          </w:tcPr>
          <w:p w14:paraId="27461E5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1.3*3.5*1.3</w:t>
            </w:r>
          </w:p>
        </w:tc>
        <w:tc>
          <w:tcPr>
            <w:tcW w:w="432" w:type="pct"/>
            <w:tcBorders>
              <w:tl2br w:val="nil"/>
              <w:tr2bl w:val="nil"/>
            </w:tcBorders>
            <w:noWrap w:val="0"/>
            <w:vAlign w:val="center"/>
          </w:tcPr>
          <w:p w14:paraId="7B62B2A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2个</w:t>
            </w:r>
          </w:p>
        </w:tc>
        <w:tc>
          <w:tcPr>
            <w:tcW w:w="2042" w:type="pct"/>
            <w:tcBorders>
              <w:tl2br w:val="nil"/>
              <w:tr2bl w:val="nil"/>
            </w:tcBorders>
            <w:noWrap w:val="0"/>
            <w:vAlign w:val="center"/>
          </w:tcPr>
          <w:p w14:paraId="3FDC9F1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288A49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E91C2A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49</w:t>
            </w:r>
          </w:p>
        </w:tc>
        <w:tc>
          <w:tcPr>
            <w:tcW w:w="1071" w:type="pct"/>
            <w:tcBorders>
              <w:tl2br w:val="nil"/>
              <w:tr2bl w:val="nil"/>
            </w:tcBorders>
            <w:noWrap w:val="0"/>
            <w:vAlign w:val="center"/>
          </w:tcPr>
          <w:p w14:paraId="7CF190D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cs="Times New Roman"/>
                <w:b w:val="0"/>
                <w:bCs w:val="0"/>
                <w:color w:val="auto"/>
                <w:spacing w:val="10"/>
                <w:sz w:val="21"/>
                <w:szCs w:val="21"/>
                <w:highlight w:val="none"/>
                <w:lang w:eastAsia="zh-CN"/>
              </w:rPr>
              <w:t>富铜液</w:t>
            </w:r>
            <w:r>
              <w:rPr>
                <w:rFonts w:hint="default" w:ascii="Times New Roman" w:hAnsi="Times New Roman" w:eastAsia="宋体" w:cs="Times New Roman"/>
                <w:b w:val="0"/>
                <w:bCs w:val="0"/>
                <w:color w:val="auto"/>
                <w:spacing w:val="10"/>
                <w:sz w:val="21"/>
                <w:szCs w:val="21"/>
                <w:highlight w:val="none"/>
              </w:rPr>
              <w:t>循环</w:t>
            </w:r>
            <w:r>
              <w:rPr>
                <w:rFonts w:hint="default" w:ascii="Times New Roman" w:hAnsi="Times New Roman" w:cs="Times New Roman"/>
                <w:b w:val="0"/>
                <w:bCs w:val="0"/>
                <w:color w:val="auto"/>
                <w:spacing w:val="10"/>
                <w:sz w:val="21"/>
                <w:szCs w:val="21"/>
                <w:highlight w:val="none"/>
                <w:lang w:val="en-US" w:eastAsia="zh-CN"/>
              </w:rPr>
              <w:t>罐</w:t>
            </w:r>
          </w:p>
        </w:tc>
        <w:tc>
          <w:tcPr>
            <w:tcW w:w="1190" w:type="pct"/>
            <w:tcBorders>
              <w:tl2br w:val="nil"/>
              <w:tr2bl w:val="nil"/>
            </w:tcBorders>
            <w:noWrap w:val="0"/>
            <w:vAlign w:val="center"/>
          </w:tcPr>
          <w:p w14:paraId="24A8BD9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7.5*12*1.5</w:t>
            </w:r>
          </w:p>
        </w:tc>
        <w:tc>
          <w:tcPr>
            <w:tcW w:w="432" w:type="pct"/>
            <w:tcBorders>
              <w:tl2br w:val="nil"/>
              <w:tr2bl w:val="nil"/>
            </w:tcBorders>
            <w:noWrap w:val="0"/>
            <w:vAlign w:val="center"/>
          </w:tcPr>
          <w:p w14:paraId="110E1E5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22AC6D1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PVC焊制，放置于萃取槽澄清室底部</w:t>
            </w:r>
          </w:p>
        </w:tc>
      </w:tr>
      <w:tr w14:paraId="60B5A4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0995D1C">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50</w:t>
            </w:r>
          </w:p>
        </w:tc>
        <w:tc>
          <w:tcPr>
            <w:tcW w:w="1071" w:type="pct"/>
            <w:tcBorders>
              <w:tl2br w:val="nil"/>
              <w:tr2bl w:val="nil"/>
            </w:tcBorders>
            <w:noWrap w:val="0"/>
            <w:vAlign w:val="center"/>
          </w:tcPr>
          <w:p w14:paraId="2447BFA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cs="Times New Roman"/>
                <w:b w:val="0"/>
                <w:bCs w:val="0"/>
                <w:color w:val="auto"/>
                <w:spacing w:val="10"/>
                <w:sz w:val="21"/>
                <w:szCs w:val="21"/>
                <w:highlight w:val="none"/>
                <w:lang w:eastAsia="zh-CN"/>
              </w:rPr>
              <w:t>富铜液</w:t>
            </w:r>
            <w:r>
              <w:rPr>
                <w:rFonts w:hint="default" w:ascii="Times New Roman" w:hAnsi="Times New Roman" w:eastAsia="宋体" w:cs="Times New Roman"/>
                <w:b w:val="0"/>
                <w:bCs w:val="0"/>
                <w:color w:val="auto"/>
                <w:spacing w:val="10"/>
                <w:sz w:val="21"/>
                <w:szCs w:val="21"/>
                <w:highlight w:val="none"/>
              </w:rPr>
              <w:t>循环泵</w:t>
            </w:r>
          </w:p>
        </w:tc>
        <w:tc>
          <w:tcPr>
            <w:tcW w:w="1190" w:type="pct"/>
            <w:tcBorders>
              <w:tl2br w:val="nil"/>
              <w:tr2bl w:val="nil"/>
            </w:tcBorders>
            <w:noWrap w:val="0"/>
            <w:vAlign w:val="center"/>
          </w:tcPr>
          <w:p w14:paraId="4A08201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Q=80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57EB4B7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6ACF4AC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7AC66B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0CE47F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51</w:t>
            </w:r>
          </w:p>
        </w:tc>
        <w:tc>
          <w:tcPr>
            <w:tcW w:w="1071" w:type="pct"/>
            <w:tcBorders>
              <w:tl2br w:val="nil"/>
              <w:tr2bl w:val="nil"/>
            </w:tcBorders>
            <w:noWrap w:val="0"/>
            <w:vAlign w:val="center"/>
          </w:tcPr>
          <w:p w14:paraId="7EED1FD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电贫液循环池</w:t>
            </w:r>
          </w:p>
        </w:tc>
        <w:tc>
          <w:tcPr>
            <w:tcW w:w="1190" w:type="pct"/>
            <w:tcBorders>
              <w:tl2br w:val="nil"/>
              <w:tr2bl w:val="nil"/>
            </w:tcBorders>
            <w:noWrap w:val="0"/>
            <w:vAlign w:val="center"/>
          </w:tcPr>
          <w:p w14:paraId="4044EEF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3.5*12*1.5</w:t>
            </w:r>
          </w:p>
        </w:tc>
        <w:tc>
          <w:tcPr>
            <w:tcW w:w="432" w:type="pct"/>
            <w:tcBorders>
              <w:tl2br w:val="nil"/>
              <w:tr2bl w:val="nil"/>
            </w:tcBorders>
            <w:noWrap w:val="0"/>
            <w:vAlign w:val="center"/>
          </w:tcPr>
          <w:p w14:paraId="55E34AE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068E89D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PVC焊制，放置于电铜车间</w:t>
            </w:r>
          </w:p>
        </w:tc>
      </w:tr>
      <w:tr w14:paraId="7DBC3B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264702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52</w:t>
            </w:r>
          </w:p>
        </w:tc>
        <w:tc>
          <w:tcPr>
            <w:tcW w:w="1071" w:type="pct"/>
            <w:tcBorders>
              <w:tl2br w:val="nil"/>
              <w:tr2bl w:val="nil"/>
            </w:tcBorders>
            <w:noWrap w:val="0"/>
            <w:vAlign w:val="center"/>
          </w:tcPr>
          <w:p w14:paraId="012834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电贫液循环泵</w:t>
            </w:r>
          </w:p>
        </w:tc>
        <w:tc>
          <w:tcPr>
            <w:tcW w:w="1190" w:type="pct"/>
            <w:tcBorders>
              <w:tl2br w:val="nil"/>
              <w:tr2bl w:val="nil"/>
            </w:tcBorders>
            <w:noWrap w:val="0"/>
            <w:vAlign w:val="center"/>
          </w:tcPr>
          <w:p w14:paraId="341B0EF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Q=80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25815F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525888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69EE90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467065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53</w:t>
            </w:r>
          </w:p>
        </w:tc>
        <w:tc>
          <w:tcPr>
            <w:tcW w:w="1071" w:type="pct"/>
            <w:tcBorders>
              <w:tl2br w:val="nil"/>
              <w:tr2bl w:val="nil"/>
            </w:tcBorders>
            <w:noWrap w:val="0"/>
            <w:vAlign w:val="center"/>
          </w:tcPr>
          <w:p w14:paraId="65C54EC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电铜废酸开路贮槽</w:t>
            </w:r>
          </w:p>
        </w:tc>
        <w:tc>
          <w:tcPr>
            <w:tcW w:w="1190" w:type="pct"/>
            <w:tcBorders>
              <w:tl2br w:val="nil"/>
              <w:tr2bl w:val="nil"/>
            </w:tcBorders>
            <w:noWrap w:val="0"/>
            <w:vAlign w:val="center"/>
          </w:tcPr>
          <w:p w14:paraId="10BE03E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Ф3.5*5/48F</w:t>
            </w:r>
          </w:p>
        </w:tc>
        <w:tc>
          <w:tcPr>
            <w:tcW w:w="432" w:type="pct"/>
            <w:tcBorders>
              <w:tl2br w:val="nil"/>
              <w:tr2bl w:val="nil"/>
            </w:tcBorders>
            <w:noWrap w:val="0"/>
            <w:vAlign w:val="center"/>
          </w:tcPr>
          <w:p w14:paraId="16E909F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746C921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PP焊制，放置于电铜车间</w:t>
            </w:r>
          </w:p>
        </w:tc>
      </w:tr>
      <w:tr w14:paraId="3DDE89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E922B32">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54</w:t>
            </w:r>
          </w:p>
        </w:tc>
        <w:tc>
          <w:tcPr>
            <w:tcW w:w="1071" w:type="pct"/>
            <w:tcBorders>
              <w:tl2br w:val="nil"/>
              <w:tr2bl w:val="nil"/>
            </w:tcBorders>
            <w:noWrap w:val="0"/>
            <w:vAlign w:val="center"/>
          </w:tcPr>
          <w:p w14:paraId="7340FF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硅整流电源</w:t>
            </w:r>
          </w:p>
        </w:tc>
        <w:tc>
          <w:tcPr>
            <w:tcW w:w="1190" w:type="pct"/>
            <w:tcBorders>
              <w:tl2br w:val="nil"/>
              <w:tr2bl w:val="nil"/>
            </w:tcBorders>
            <w:noWrap w:val="0"/>
            <w:vAlign w:val="center"/>
          </w:tcPr>
          <w:p w14:paraId="13EFD63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12000A/100V</w:t>
            </w:r>
          </w:p>
        </w:tc>
        <w:tc>
          <w:tcPr>
            <w:tcW w:w="432" w:type="pct"/>
            <w:tcBorders>
              <w:tl2br w:val="nil"/>
              <w:tr2bl w:val="nil"/>
            </w:tcBorders>
            <w:noWrap w:val="0"/>
            <w:vAlign w:val="center"/>
          </w:tcPr>
          <w:p w14:paraId="22297B1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1套</w:t>
            </w:r>
          </w:p>
        </w:tc>
        <w:tc>
          <w:tcPr>
            <w:tcW w:w="2042" w:type="pct"/>
            <w:tcBorders>
              <w:tl2br w:val="nil"/>
              <w:tr2bl w:val="nil"/>
            </w:tcBorders>
            <w:noWrap w:val="0"/>
            <w:vAlign w:val="center"/>
          </w:tcPr>
          <w:p w14:paraId="7481AE0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2E9FAC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C315F23">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55</w:t>
            </w:r>
          </w:p>
        </w:tc>
        <w:tc>
          <w:tcPr>
            <w:tcW w:w="1071" w:type="pct"/>
            <w:tcBorders>
              <w:tl2br w:val="nil"/>
              <w:tr2bl w:val="nil"/>
            </w:tcBorders>
            <w:noWrap w:val="0"/>
            <w:vAlign w:val="center"/>
          </w:tcPr>
          <w:p w14:paraId="1B8E7A8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冷却水塔</w:t>
            </w:r>
          </w:p>
        </w:tc>
        <w:tc>
          <w:tcPr>
            <w:tcW w:w="1190" w:type="pct"/>
            <w:tcBorders>
              <w:tl2br w:val="nil"/>
              <w:tr2bl w:val="nil"/>
            </w:tcBorders>
            <w:noWrap w:val="0"/>
            <w:vAlign w:val="center"/>
          </w:tcPr>
          <w:p w14:paraId="7A6770B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6T/15Co</w:t>
            </w:r>
          </w:p>
        </w:tc>
        <w:tc>
          <w:tcPr>
            <w:tcW w:w="432" w:type="pct"/>
            <w:tcBorders>
              <w:tl2br w:val="nil"/>
              <w:tr2bl w:val="nil"/>
            </w:tcBorders>
            <w:noWrap w:val="0"/>
            <w:vAlign w:val="center"/>
          </w:tcPr>
          <w:p w14:paraId="04EF4D7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03C1CC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A8844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F2A727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56</w:t>
            </w:r>
          </w:p>
        </w:tc>
        <w:tc>
          <w:tcPr>
            <w:tcW w:w="1071" w:type="pct"/>
            <w:tcBorders>
              <w:tl2br w:val="nil"/>
              <w:tr2bl w:val="nil"/>
            </w:tcBorders>
            <w:noWrap w:val="0"/>
            <w:vAlign w:val="center"/>
          </w:tcPr>
          <w:p w14:paraId="2BE406D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冷却水槽</w:t>
            </w:r>
          </w:p>
        </w:tc>
        <w:tc>
          <w:tcPr>
            <w:tcW w:w="1190" w:type="pct"/>
            <w:tcBorders>
              <w:tl2br w:val="nil"/>
              <w:tr2bl w:val="nil"/>
            </w:tcBorders>
            <w:noWrap w:val="0"/>
            <w:vAlign w:val="center"/>
          </w:tcPr>
          <w:p w14:paraId="7D6134D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Ф3.5*2.5/48F</w:t>
            </w:r>
          </w:p>
        </w:tc>
        <w:tc>
          <w:tcPr>
            <w:tcW w:w="432" w:type="pct"/>
            <w:tcBorders>
              <w:tl2br w:val="nil"/>
              <w:tr2bl w:val="nil"/>
            </w:tcBorders>
            <w:noWrap w:val="0"/>
            <w:vAlign w:val="center"/>
          </w:tcPr>
          <w:p w14:paraId="675C731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69497D3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PP焊制，放置于电铜车间外</w:t>
            </w:r>
          </w:p>
        </w:tc>
      </w:tr>
      <w:tr w14:paraId="1F148C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2" w:type="pct"/>
            <w:tcBorders>
              <w:tl2br w:val="nil"/>
              <w:tr2bl w:val="nil"/>
            </w:tcBorders>
            <w:noWrap w:val="0"/>
            <w:vAlign w:val="center"/>
          </w:tcPr>
          <w:p w14:paraId="6FB98C23">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57</w:t>
            </w:r>
          </w:p>
        </w:tc>
        <w:tc>
          <w:tcPr>
            <w:tcW w:w="1071" w:type="pct"/>
            <w:tcBorders>
              <w:tl2br w:val="nil"/>
              <w:tr2bl w:val="nil"/>
            </w:tcBorders>
            <w:noWrap w:val="0"/>
            <w:vAlign w:val="center"/>
          </w:tcPr>
          <w:p w14:paraId="0D824B5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冷却水循环泵</w:t>
            </w:r>
          </w:p>
        </w:tc>
        <w:tc>
          <w:tcPr>
            <w:tcW w:w="1190" w:type="pct"/>
            <w:tcBorders>
              <w:tl2br w:val="nil"/>
              <w:tr2bl w:val="nil"/>
            </w:tcBorders>
            <w:noWrap w:val="0"/>
            <w:vAlign w:val="center"/>
          </w:tcPr>
          <w:p w14:paraId="6757A09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Q=40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7AA09B0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31C8493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0062F5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386BFB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58</w:t>
            </w:r>
          </w:p>
        </w:tc>
        <w:tc>
          <w:tcPr>
            <w:tcW w:w="1071" w:type="pct"/>
            <w:tcBorders>
              <w:tl2br w:val="nil"/>
              <w:tr2bl w:val="nil"/>
            </w:tcBorders>
            <w:noWrap w:val="0"/>
            <w:vAlign w:val="center"/>
          </w:tcPr>
          <w:p w14:paraId="45900C9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挂架</w:t>
            </w:r>
          </w:p>
        </w:tc>
        <w:tc>
          <w:tcPr>
            <w:tcW w:w="1190" w:type="pct"/>
            <w:tcBorders>
              <w:tl2br w:val="nil"/>
              <w:tr2bl w:val="nil"/>
            </w:tcBorders>
            <w:noWrap w:val="0"/>
            <w:vAlign w:val="center"/>
          </w:tcPr>
          <w:p w14:paraId="6D14F84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按图制作</w:t>
            </w:r>
          </w:p>
        </w:tc>
        <w:tc>
          <w:tcPr>
            <w:tcW w:w="432" w:type="pct"/>
            <w:tcBorders>
              <w:tl2br w:val="nil"/>
              <w:tr2bl w:val="nil"/>
            </w:tcBorders>
            <w:noWrap w:val="0"/>
            <w:vAlign w:val="center"/>
          </w:tcPr>
          <w:p w14:paraId="71D0C4D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6个</w:t>
            </w:r>
          </w:p>
        </w:tc>
        <w:tc>
          <w:tcPr>
            <w:tcW w:w="2042" w:type="pct"/>
            <w:tcBorders>
              <w:tl2br w:val="nil"/>
              <w:tr2bl w:val="nil"/>
            </w:tcBorders>
            <w:noWrap w:val="0"/>
            <w:vAlign w:val="center"/>
          </w:tcPr>
          <w:p w14:paraId="024204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自制</w:t>
            </w:r>
          </w:p>
        </w:tc>
      </w:tr>
      <w:tr w14:paraId="6468B0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841219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59</w:t>
            </w:r>
          </w:p>
        </w:tc>
        <w:tc>
          <w:tcPr>
            <w:tcW w:w="1071" w:type="pct"/>
            <w:tcBorders>
              <w:tl2br w:val="nil"/>
              <w:tr2bl w:val="nil"/>
            </w:tcBorders>
            <w:noWrap w:val="0"/>
            <w:vAlign w:val="center"/>
          </w:tcPr>
          <w:p w14:paraId="766F24C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校板平台</w:t>
            </w:r>
          </w:p>
        </w:tc>
        <w:tc>
          <w:tcPr>
            <w:tcW w:w="1190" w:type="pct"/>
            <w:tcBorders>
              <w:tl2br w:val="nil"/>
              <w:tr2bl w:val="nil"/>
            </w:tcBorders>
            <w:noWrap w:val="0"/>
            <w:vAlign w:val="center"/>
          </w:tcPr>
          <w:p w14:paraId="2A2A0F8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按图制作</w:t>
            </w:r>
          </w:p>
        </w:tc>
        <w:tc>
          <w:tcPr>
            <w:tcW w:w="432" w:type="pct"/>
            <w:tcBorders>
              <w:tl2br w:val="nil"/>
              <w:tr2bl w:val="nil"/>
            </w:tcBorders>
            <w:noWrap w:val="0"/>
            <w:vAlign w:val="center"/>
          </w:tcPr>
          <w:p w14:paraId="0F2235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23ECEE8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自制</w:t>
            </w:r>
          </w:p>
        </w:tc>
      </w:tr>
      <w:tr w14:paraId="484DE1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94BFFE8">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60</w:t>
            </w:r>
          </w:p>
        </w:tc>
        <w:tc>
          <w:tcPr>
            <w:tcW w:w="1071" w:type="pct"/>
            <w:tcBorders>
              <w:tl2br w:val="nil"/>
              <w:tr2bl w:val="nil"/>
            </w:tcBorders>
            <w:noWrap w:val="0"/>
            <w:vAlign w:val="center"/>
          </w:tcPr>
          <w:p w14:paraId="3870BA2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铜板吊架</w:t>
            </w:r>
          </w:p>
        </w:tc>
        <w:tc>
          <w:tcPr>
            <w:tcW w:w="1190" w:type="pct"/>
            <w:tcBorders>
              <w:tl2br w:val="nil"/>
              <w:tr2bl w:val="nil"/>
            </w:tcBorders>
            <w:noWrap w:val="0"/>
            <w:vAlign w:val="center"/>
          </w:tcPr>
          <w:p w14:paraId="4CAABFE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35P/5T</w:t>
            </w:r>
          </w:p>
        </w:tc>
        <w:tc>
          <w:tcPr>
            <w:tcW w:w="432" w:type="pct"/>
            <w:tcBorders>
              <w:tl2br w:val="nil"/>
              <w:tr2bl w:val="nil"/>
            </w:tcBorders>
            <w:noWrap w:val="0"/>
            <w:vAlign w:val="center"/>
          </w:tcPr>
          <w:p w14:paraId="28EDFF1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413EB46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外购，可同时起吊35张铜板</w:t>
            </w:r>
          </w:p>
        </w:tc>
      </w:tr>
      <w:tr w14:paraId="47038C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4260DFC">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61</w:t>
            </w:r>
          </w:p>
        </w:tc>
        <w:tc>
          <w:tcPr>
            <w:tcW w:w="1071" w:type="pct"/>
            <w:tcBorders>
              <w:tl2br w:val="nil"/>
              <w:tr2bl w:val="nil"/>
            </w:tcBorders>
            <w:noWrap w:val="0"/>
            <w:vAlign w:val="center"/>
          </w:tcPr>
          <w:p w14:paraId="528156B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搅拌槽</w:t>
            </w:r>
          </w:p>
        </w:tc>
        <w:tc>
          <w:tcPr>
            <w:tcW w:w="1190" w:type="pct"/>
            <w:tcBorders>
              <w:tl2br w:val="nil"/>
              <w:tr2bl w:val="nil"/>
            </w:tcBorders>
            <w:noWrap w:val="0"/>
            <w:vAlign w:val="center"/>
          </w:tcPr>
          <w:p w14:paraId="70A3EB1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Ф2*2/6F</w:t>
            </w:r>
          </w:p>
        </w:tc>
        <w:tc>
          <w:tcPr>
            <w:tcW w:w="432" w:type="pct"/>
            <w:tcBorders>
              <w:tl2br w:val="nil"/>
              <w:tr2bl w:val="nil"/>
            </w:tcBorders>
            <w:noWrap w:val="0"/>
            <w:vAlign w:val="center"/>
          </w:tcPr>
          <w:p w14:paraId="1D29A05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0C0D76E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GRF39-Y1.1-4P-11.86-M4-D160+矮机座</w:t>
            </w:r>
            <w:r>
              <w:rPr>
                <w:rFonts w:hint="eastAsia"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rPr>
              <w:t>搅拌直径Ф800,N=118rpm,v=4.94m/s</w:t>
            </w:r>
          </w:p>
        </w:tc>
      </w:tr>
      <w:tr w14:paraId="2D15B9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BABEFB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62</w:t>
            </w:r>
          </w:p>
        </w:tc>
        <w:tc>
          <w:tcPr>
            <w:tcW w:w="1071" w:type="pct"/>
            <w:tcBorders>
              <w:tl2br w:val="nil"/>
              <w:tr2bl w:val="nil"/>
            </w:tcBorders>
            <w:noWrap w:val="0"/>
            <w:vAlign w:val="center"/>
          </w:tcPr>
          <w:p w14:paraId="14E55C5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蠕动泵</w:t>
            </w:r>
          </w:p>
        </w:tc>
        <w:tc>
          <w:tcPr>
            <w:tcW w:w="1190" w:type="pct"/>
            <w:tcBorders>
              <w:tl2br w:val="nil"/>
              <w:tr2bl w:val="nil"/>
            </w:tcBorders>
            <w:noWrap w:val="0"/>
            <w:vAlign w:val="center"/>
          </w:tcPr>
          <w:p w14:paraId="32B9B64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BT600+YZ5</w:t>
            </w:r>
          </w:p>
        </w:tc>
        <w:tc>
          <w:tcPr>
            <w:tcW w:w="432" w:type="pct"/>
            <w:tcBorders>
              <w:tl2br w:val="nil"/>
              <w:tr2bl w:val="nil"/>
            </w:tcBorders>
            <w:noWrap w:val="0"/>
            <w:vAlign w:val="center"/>
          </w:tcPr>
          <w:p w14:paraId="4817F19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5FDF80D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151DAF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CCDA59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63</w:t>
            </w:r>
          </w:p>
        </w:tc>
        <w:tc>
          <w:tcPr>
            <w:tcW w:w="1071" w:type="pct"/>
            <w:tcBorders>
              <w:tl2br w:val="nil"/>
              <w:tr2bl w:val="nil"/>
            </w:tcBorders>
            <w:noWrap w:val="0"/>
            <w:vAlign w:val="center"/>
          </w:tcPr>
          <w:p w14:paraId="1BB9831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压板钉耳机</w:t>
            </w:r>
          </w:p>
        </w:tc>
        <w:tc>
          <w:tcPr>
            <w:tcW w:w="1190" w:type="pct"/>
            <w:tcBorders>
              <w:tl2br w:val="nil"/>
              <w:tr2bl w:val="nil"/>
            </w:tcBorders>
            <w:noWrap w:val="0"/>
            <w:vAlign w:val="center"/>
          </w:tcPr>
          <w:p w14:paraId="3F93531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c>
          <w:tcPr>
            <w:tcW w:w="432" w:type="pct"/>
            <w:tcBorders>
              <w:tl2br w:val="nil"/>
              <w:tr2bl w:val="nil"/>
            </w:tcBorders>
            <w:noWrap w:val="0"/>
            <w:vAlign w:val="center"/>
          </w:tcPr>
          <w:p w14:paraId="473F086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1套</w:t>
            </w:r>
          </w:p>
        </w:tc>
        <w:tc>
          <w:tcPr>
            <w:tcW w:w="2042" w:type="pct"/>
            <w:tcBorders>
              <w:tl2br w:val="nil"/>
              <w:tr2bl w:val="nil"/>
            </w:tcBorders>
            <w:noWrap w:val="0"/>
            <w:vAlign w:val="center"/>
          </w:tcPr>
          <w:p w14:paraId="7D58E2D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522471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133E38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64</w:t>
            </w:r>
          </w:p>
        </w:tc>
        <w:tc>
          <w:tcPr>
            <w:tcW w:w="1071" w:type="pct"/>
            <w:tcBorders>
              <w:tl2br w:val="nil"/>
              <w:tr2bl w:val="nil"/>
            </w:tcBorders>
            <w:noWrap w:val="0"/>
            <w:vAlign w:val="center"/>
          </w:tcPr>
          <w:p w14:paraId="6B773C6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硫酸罐</w:t>
            </w:r>
          </w:p>
        </w:tc>
        <w:tc>
          <w:tcPr>
            <w:tcW w:w="1190" w:type="pct"/>
            <w:tcBorders>
              <w:tl2br w:val="nil"/>
              <w:tr2bl w:val="nil"/>
            </w:tcBorders>
            <w:noWrap w:val="0"/>
            <w:vAlign w:val="center"/>
          </w:tcPr>
          <w:p w14:paraId="2E5EE0F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val="en-US" w:eastAsia="zh-CN"/>
              </w:rPr>
              <w:t>60</w:t>
            </w:r>
            <w:r>
              <w:rPr>
                <w:rFonts w:hint="default" w:ascii="Times New Roman" w:hAnsi="Times New Roman" w:eastAsia="宋体" w:cs="Times New Roman"/>
                <w:b w:val="0"/>
                <w:bCs w:val="0"/>
                <w:color w:val="auto"/>
                <w:spacing w:val="10"/>
                <w:sz w:val="21"/>
                <w:szCs w:val="21"/>
                <w:highlight w:val="none"/>
              </w:rPr>
              <w:t>m³</w:t>
            </w:r>
          </w:p>
        </w:tc>
        <w:tc>
          <w:tcPr>
            <w:tcW w:w="432" w:type="pct"/>
            <w:tcBorders>
              <w:tl2br w:val="nil"/>
              <w:tr2bl w:val="nil"/>
            </w:tcBorders>
            <w:noWrap w:val="0"/>
            <w:vAlign w:val="center"/>
          </w:tcPr>
          <w:p w14:paraId="0E9C6FA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val="en-US" w:eastAsia="zh-CN"/>
              </w:rPr>
              <w:t>4</w:t>
            </w:r>
            <w:r>
              <w:rPr>
                <w:rFonts w:hint="default" w:ascii="Times New Roman" w:hAnsi="Times New Roman" w:eastAsia="宋体" w:cs="Times New Roman"/>
                <w:b w:val="0"/>
                <w:bCs w:val="0"/>
                <w:color w:val="auto"/>
                <w:spacing w:val="10"/>
                <w:sz w:val="21"/>
                <w:szCs w:val="21"/>
                <w:highlight w:val="none"/>
              </w:rPr>
              <w:t>个</w:t>
            </w:r>
          </w:p>
        </w:tc>
        <w:tc>
          <w:tcPr>
            <w:tcW w:w="2042" w:type="pct"/>
            <w:tcBorders>
              <w:tl2br w:val="nil"/>
              <w:tr2bl w:val="nil"/>
            </w:tcBorders>
            <w:noWrap w:val="0"/>
            <w:vAlign w:val="center"/>
          </w:tcPr>
          <w:p w14:paraId="03E02B7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0A6E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B7C469A">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65</w:t>
            </w:r>
          </w:p>
        </w:tc>
        <w:tc>
          <w:tcPr>
            <w:tcW w:w="1071" w:type="pct"/>
            <w:tcBorders>
              <w:tl2br w:val="nil"/>
              <w:tr2bl w:val="nil"/>
            </w:tcBorders>
            <w:noWrap w:val="0"/>
            <w:vAlign w:val="center"/>
          </w:tcPr>
          <w:p w14:paraId="302D6ED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电动单梁起重机</w:t>
            </w:r>
          </w:p>
        </w:tc>
        <w:tc>
          <w:tcPr>
            <w:tcW w:w="1190" w:type="pct"/>
            <w:tcBorders>
              <w:tl2br w:val="nil"/>
              <w:tr2bl w:val="nil"/>
            </w:tcBorders>
            <w:noWrap w:val="0"/>
            <w:vAlign w:val="center"/>
          </w:tcPr>
          <w:p w14:paraId="0222CEE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LD2.8-16.91A3</w:t>
            </w:r>
          </w:p>
        </w:tc>
        <w:tc>
          <w:tcPr>
            <w:tcW w:w="432" w:type="pct"/>
            <w:tcBorders>
              <w:tl2br w:val="nil"/>
              <w:tr2bl w:val="nil"/>
            </w:tcBorders>
            <w:noWrap w:val="0"/>
            <w:vAlign w:val="center"/>
          </w:tcPr>
          <w:p w14:paraId="31CE56F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7F3C573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浸出过滤萃取车间</w:t>
            </w:r>
          </w:p>
        </w:tc>
      </w:tr>
      <w:tr w14:paraId="516BE0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F259A3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66</w:t>
            </w:r>
          </w:p>
        </w:tc>
        <w:tc>
          <w:tcPr>
            <w:tcW w:w="1071" w:type="pct"/>
            <w:tcBorders>
              <w:tl2br w:val="nil"/>
              <w:tr2bl w:val="nil"/>
            </w:tcBorders>
            <w:noWrap w:val="0"/>
            <w:vAlign w:val="center"/>
          </w:tcPr>
          <w:p w14:paraId="215A730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电动单梁起重机</w:t>
            </w:r>
          </w:p>
        </w:tc>
        <w:tc>
          <w:tcPr>
            <w:tcW w:w="1190" w:type="pct"/>
            <w:tcBorders>
              <w:tl2br w:val="nil"/>
              <w:tr2bl w:val="nil"/>
            </w:tcBorders>
            <w:noWrap w:val="0"/>
            <w:vAlign w:val="center"/>
          </w:tcPr>
          <w:p w14:paraId="7E7DE6F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LD2.8-16.91A3</w:t>
            </w:r>
          </w:p>
        </w:tc>
        <w:tc>
          <w:tcPr>
            <w:tcW w:w="432" w:type="pct"/>
            <w:tcBorders>
              <w:tl2br w:val="nil"/>
              <w:tr2bl w:val="nil"/>
            </w:tcBorders>
            <w:noWrap w:val="0"/>
            <w:vAlign w:val="center"/>
          </w:tcPr>
          <w:p w14:paraId="621C8A2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73F0FDD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电积车间</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2725D5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A03AE9C">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67</w:t>
            </w:r>
          </w:p>
        </w:tc>
        <w:tc>
          <w:tcPr>
            <w:tcW w:w="1071" w:type="pct"/>
            <w:tcBorders>
              <w:tl2br w:val="nil"/>
              <w:tr2bl w:val="nil"/>
            </w:tcBorders>
            <w:noWrap w:val="0"/>
            <w:vAlign w:val="center"/>
          </w:tcPr>
          <w:p w14:paraId="1CD926A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电动单梁起重机</w:t>
            </w:r>
          </w:p>
        </w:tc>
        <w:tc>
          <w:tcPr>
            <w:tcW w:w="1190" w:type="pct"/>
            <w:tcBorders>
              <w:tl2br w:val="nil"/>
              <w:tr2bl w:val="nil"/>
            </w:tcBorders>
            <w:noWrap w:val="0"/>
            <w:vAlign w:val="center"/>
          </w:tcPr>
          <w:p w14:paraId="0ACAD54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LD5-16.9IA3</w:t>
            </w:r>
          </w:p>
        </w:tc>
        <w:tc>
          <w:tcPr>
            <w:tcW w:w="432" w:type="pct"/>
            <w:tcBorders>
              <w:tl2br w:val="nil"/>
              <w:tr2bl w:val="nil"/>
            </w:tcBorders>
            <w:noWrap w:val="0"/>
            <w:vAlign w:val="center"/>
          </w:tcPr>
          <w:p w14:paraId="4E580B3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2F2612E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rPr>
              <w:t>电积车间</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cs="Times New Roman"/>
                <w:b w:val="0"/>
                <w:bCs w:val="0"/>
                <w:color w:val="auto"/>
                <w:spacing w:val="10"/>
                <w:sz w:val="21"/>
                <w:szCs w:val="21"/>
                <w:highlight w:val="none"/>
                <w:lang w:val="en-US" w:eastAsia="zh-CN"/>
              </w:rPr>
              <w:t>利旧</w:t>
            </w:r>
          </w:p>
        </w:tc>
      </w:tr>
    </w:tbl>
    <w:p w14:paraId="0D3A7D50">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3.2.7公用工程及其他辅助工程</w:t>
      </w:r>
    </w:p>
    <w:p w14:paraId="0C646A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供水</w:t>
      </w:r>
    </w:p>
    <w:p w14:paraId="091986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项目生活用水来</w:t>
      </w:r>
      <w:r>
        <w:rPr>
          <w:rFonts w:hint="default" w:ascii="Times New Roman" w:hAnsi="Times New Roman" w:eastAsia="宋体" w:cs="Times New Roman"/>
          <w:color w:val="auto"/>
          <w:sz w:val="24"/>
          <w:szCs w:val="24"/>
          <w:highlight w:val="none"/>
        </w:rPr>
        <w:t>自供水管网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生产用水来自自建井井水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水井总出水量为200m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满足生产用水需求</w:t>
      </w:r>
      <w:r>
        <w:rPr>
          <w:rFonts w:hint="default" w:ascii="Times New Roman" w:hAnsi="Times New Roman" w:eastAsia="宋体" w:cs="Times New Roman"/>
          <w:color w:val="auto"/>
          <w:sz w:val="24"/>
          <w:szCs w:val="24"/>
          <w:highlight w:val="none"/>
          <w:lang w:eastAsia="zh-CN"/>
        </w:rPr>
        <w:t>。</w:t>
      </w:r>
    </w:p>
    <w:p w14:paraId="16AC9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①生活用水</w:t>
      </w:r>
    </w:p>
    <w:p w14:paraId="20FC68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劳动定员</w:t>
      </w:r>
      <w:r>
        <w:rPr>
          <w:rFonts w:hint="default" w:ascii="Times New Roman" w:hAnsi="Times New Roman" w:eastAsia="宋体" w:cs="Times New Roman"/>
          <w:color w:val="auto"/>
          <w:sz w:val="24"/>
          <w:szCs w:val="24"/>
          <w:highlight w:val="none"/>
        </w:rPr>
        <w:t>30人，参考《新疆维吾尔自治区生活用水定额》，生活用水</w:t>
      </w:r>
      <w:r>
        <w:rPr>
          <w:rFonts w:hint="default" w:ascii="Times New Roman" w:hAnsi="Times New Roman" w:eastAsia="宋体" w:cs="Times New Roman"/>
          <w:color w:val="auto"/>
          <w:sz w:val="24"/>
          <w:szCs w:val="24"/>
          <w:highlight w:val="none"/>
          <w:lang w:val="en-US" w:eastAsia="zh-CN"/>
        </w:rPr>
        <w:t>量按</w:t>
      </w:r>
      <w:r>
        <w:rPr>
          <w:rFonts w:hint="default" w:ascii="Times New Roman" w:hAnsi="Times New Roman" w:eastAsia="宋体" w:cs="Times New Roman"/>
          <w:color w:val="auto"/>
          <w:sz w:val="24"/>
          <w:szCs w:val="24"/>
          <w:highlight w:val="none"/>
        </w:rPr>
        <w:t>每人每天80L</w:t>
      </w:r>
      <w:r>
        <w:rPr>
          <w:rFonts w:hint="default" w:ascii="Times New Roman" w:hAnsi="Times New Roman" w:eastAsia="宋体" w:cs="Times New Roman"/>
          <w:color w:val="auto"/>
          <w:sz w:val="24"/>
          <w:szCs w:val="24"/>
          <w:highlight w:val="none"/>
          <w:lang w:val="en-US" w:eastAsia="zh-CN"/>
        </w:rPr>
        <w:t>计</w:t>
      </w:r>
      <w:r>
        <w:rPr>
          <w:rFonts w:hint="default" w:ascii="Times New Roman" w:hAnsi="Times New Roman" w:eastAsia="宋体" w:cs="Times New Roman"/>
          <w:color w:val="auto"/>
          <w:sz w:val="24"/>
          <w:szCs w:val="24"/>
          <w:highlight w:val="none"/>
        </w:rPr>
        <w:t>，则共需2.4m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600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14:paraId="5F9115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eastAsia" w:cs="Times New Roman"/>
          <w:color w:val="auto"/>
          <w:sz w:val="24"/>
          <w:szCs w:val="24"/>
          <w:highlight w:val="none"/>
          <w:lang w:val="en-US" w:eastAsia="zh-CN"/>
        </w:rPr>
        <w:t>球磨浓密</w:t>
      </w:r>
      <w:r>
        <w:rPr>
          <w:rFonts w:hint="default" w:ascii="Times New Roman" w:hAnsi="Times New Roman" w:eastAsia="宋体" w:cs="Times New Roman"/>
          <w:color w:val="auto"/>
          <w:sz w:val="24"/>
          <w:szCs w:val="24"/>
          <w:highlight w:val="none"/>
        </w:rPr>
        <w:t>用水</w:t>
      </w:r>
    </w:p>
    <w:p w14:paraId="202FA0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球磨浓密</w:t>
      </w:r>
      <w:r>
        <w:rPr>
          <w:rFonts w:hint="default" w:ascii="Times New Roman" w:hAnsi="Times New Roman" w:eastAsia="宋体" w:cs="Times New Roman"/>
          <w:color w:val="auto"/>
          <w:sz w:val="24"/>
          <w:szCs w:val="24"/>
          <w:highlight w:val="none"/>
        </w:rPr>
        <w:t>过程需用水</w:t>
      </w:r>
      <w:r>
        <w:rPr>
          <w:rFonts w:hint="default" w:ascii="Times New Roman" w:hAnsi="Times New Roman" w:eastAsia="宋体" w:cs="Times New Roman"/>
          <w:color w:val="auto"/>
          <w:sz w:val="24"/>
          <w:szCs w:val="24"/>
          <w:highlight w:val="none"/>
          <w:lang w:val="en-US" w:eastAsia="zh-CN"/>
        </w:rPr>
        <w:t>3360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回用水量为3357.5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补水量为2.5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p>
    <w:p w14:paraId="6960C4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③浸出</w:t>
      </w:r>
      <w:r>
        <w:rPr>
          <w:rFonts w:hint="default" w:ascii="Times New Roman" w:hAnsi="Times New Roman" w:eastAsia="宋体" w:cs="Times New Roman"/>
          <w:color w:val="auto"/>
          <w:sz w:val="24"/>
          <w:szCs w:val="24"/>
          <w:highlight w:val="none"/>
        </w:rPr>
        <w:t>用水</w:t>
      </w:r>
    </w:p>
    <w:p w14:paraId="035469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浸出</w:t>
      </w:r>
      <w:r>
        <w:rPr>
          <w:rFonts w:hint="default" w:ascii="Times New Roman" w:hAnsi="Times New Roman" w:eastAsia="宋体" w:cs="Times New Roman"/>
          <w:color w:val="auto"/>
          <w:sz w:val="24"/>
          <w:szCs w:val="24"/>
          <w:highlight w:val="none"/>
        </w:rPr>
        <w:t>用水量</w:t>
      </w:r>
      <w:r>
        <w:rPr>
          <w:rFonts w:hint="default" w:ascii="Times New Roman" w:hAnsi="Times New Roman" w:eastAsia="宋体" w:cs="Times New Roman"/>
          <w:b w:val="0"/>
          <w:bCs w:val="0"/>
          <w:snapToGrid/>
          <w:color w:val="auto"/>
          <w:kern w:val="2"/>
          <w:sz w:val="24"/>
          <w:szCs w:val="24"/>
          <w:highlight w:val="none"/>
          <w:lang w:val="en-US" w:eastAsia="zh-CN"/>
        </w:rPr>
        <w:t>540m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/d，浸出后过滤水</w:t>
      </w:r>
      <w:r>
        <w:rPr>
          <w:rFonts w:hint="eastAsia" w:cs="Times New Roman"/>
          <w:b w:val="0"/>
          <w:bCs w:val="0"/>
          <w:snapToGrid/>
          <w:color w:val="auto"/>
          <w:kern w:val="2"/>
          <w:sz w:val="24"/>
          <w:szCs w:val="24"/>
          <w:highlight w:val="none"/>
          <w:vertAlign w:val="baseline"/>
          <w:lang w:val="en-US" w:eastAsia="zh-CN"/>
        </w:rPr>
        <w:t>回用于浸出</w:t>
      </w:r>
      <w:r>
        <w:rPr>
          <w:rFonts w:hint="default" w:ascii="Times New Roman" w:hAnsi="Times New Roman" w:eastAsia="宋体" w:cs="Times New Roman"/>
          <w:color w:val="auto"/>
          <w:sz w:val="24"/>
          <w:szCs w:val="24"/>
          <w:highlight w:val="none"/>
          <w:lang w:val="en-US" w:eastAsia="zh-CN"/>
        </w:rPr>
        <w:t>。</w:t>
      </w:r>
    </w:p>
    <w:p w14:paraId="2F43ED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④萃取-电积用水</w:t>
      </w:r>
    </w:p>
    <w:p w14:paraId="562308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val="0"/>
          <w:snapToGrid/>
          <w:color w:val="auto"/>
          <w:kern w:val="2"/>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萃取电积用水量468</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/d，其中458</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/d回用于浸出工段，10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/d萃余液经酸碱中和后用于洗渣。</w:t>
      </w:r>
    </w:p>
    <w:p w14:paraId="41E3A5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⑤洗渣用水</w:t>
      </w:r>
    </w:p>
    <w:p w14:paraId="3E188E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根据建设单位提供</w:t>
      </w:r>
      <w:r>
        <w:rPr>
          <w:rFonts w:hint="default" w:ascii="Times New Roman" w:hAnsi="Times New Roman" w:eastAsia="宋体" w:cs="Times New Roman"/>
          <w:color w:val="auto"/>
          <w:sz w:val="24"/>
          <w:szCs w:val="24"/>
          <w:highlight w:val="none"/>
          <w:lang w:val="en-US" w:eastAsia="zh-CN"/>
        </w:rPr>
        <w:t>资料，洗渣用水来自中和后的萃余液，用量为10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/d，矿渣含水量25%。</w:t>
      </w:r>
    </w:p>
    <w:p w14:paraId="464D0A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val="zh-CN"/>
        </w:rPr>
        <w:t>碱液吸收塔</w:t>
      </w:r>
    </w:p>
    <w:p w14:paraId="028955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项目碱液吸收塔设计碳酸钠体积分数为10%，则</w:t>
      </w:r>
      <w:r>
        <w:rPr>
          <w:rFonts w:hint="eastAsia" w:cs="Times New Roman"/>
          <w:color w:val="auto"/>
          <w:sz w:val="24"/>
          <w:szCs w:val="24"/>
          <w:highlight w:val="none"/>
          <w:lang w:val="zh-CN"/>
        </w:rPr>
        <w:t>需</w:t>
      </w:r>
      <w:r>
        <w:rPr>
          <w:rFonts w:hint="default" w:ascii="Times New Roman" w:hAnsi="Times New Roman" w:eastAsia="宋体" w:cs="Times New Roman"/>
          <w:color w:val="auto"/>
          <w:sz w:val="24"/>
          <w:szCs w:val="24"/>
          <w:highlight w:val="none"/>
          <w:lang w:val="zh-CN"/>
        </w:rPr>
        <w:t>用水1.385m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/d，此过程因自然蒸发等因素，考虑水损失率为10%，则每天需要补充0.139m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/d水。</w:t>
      </w:r>
    </w:p>
    <w:p w14:paraId="191365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排水</w:t>
      </w:r>
    </w:p>
    <w:p w14:paraId="283A5F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项目废水包括生产废水及生活污水。其中生产</w:t>
      </w:r>
      <w:r>
        <w:rPr>
          <w:rFonts w:hint="default" w:ascii="Times New Roman" w:hAnsi="Times New Roman" w:eastAsia="宋体" w:cs="Times New Roman"/>
          <w:color w:val="auto"/>
          <w:sz w:val="24"/>
          <w:szCs w:val="24"/>
          <w:highlight w:val="none"/>
          <w:lang w:val="en-US" w:eastAsia="zh-CN"/>
        </w:rPr>
        <w:t>用水</w:t>
      </w:r>
      <w:r>
        <w:rPr>
          <w:rFonts w:hint="default" w:ascii="Times New Roman" w:hAnsi="Times New Roman" w:eastAsia="宋体" w:cs="Times New Roman"/>
          <w:color w:val="auto"/>
          <w:sz w:val="24"/>
          <w:szCs w:val="24"/>
          <w:highlight w:val="none"/>
          <w:lang w:val="zh-CN"/>
        </w:rPr>
        <w:t>包括</w:t>
      </w:r>
      <w:r>
        <w:rPr>
          <w:rFonts w:hint="eastAsia" w:cs="Times New Roman"/>
          <w:color w:val="auto"/>
          <w:sz w:val="24"/>
          <w:szCs w:val="24"/>
          <w:highlight w:val="none"/>
          <w:lang w:val="en-US" w:eastAsia="zh-CN"/>
        </w:rPr>
        <w:t>球磨</w:t>
      </w:r>
      <w:r>
        <w:rPr>
          <w:rFonts w:hint="default" w:ascii="Times New Roman" w:hAnsi="Times New Roman" w:eastAsia="宋体" w:cs="Times New Roman"/>
          <w:color w:val="auto"/>
          <w:sz w:val="24"/>
          <w:szCs w:val="24"/>
          <w:highlight w:val="none"/>
        </w:rPr>
        <w:t>用水</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浸出</w:t>
      </w:r>
      <w:r>
        <w:rPr>
          <w:rFonts w:hint="default" w:ascii="Times New Roman" w:hAnsi="Times New Roman" w:eastAsia="宋体" w:cs="Times New Roman"/>
          <w:color w:val="auto"/>
          <w:sz w:val="24"/>
          <w:szCs w:val="24"/>
          <w:highlight w:val="none"/>
        </w:rPr>
        <w:t>用水</w:t>
      </w:r>
      <w:r>
        <w:rPr>
          <w:rFonts w:hint="eastAsia"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萃取-电积用水、洗渣用水</w:t>
      </w:r>
      <w:r>
        <w:rPr>
          <w:rFonts w:hint="default" w:ascii="Times New Roman" w:hAnsi="Times New Roman" w:eastAsia="宋体" w:cs="Times New Roman"/>
          <w:color w:val="auto"/>
          <w:sz w:val="24"/>
          <w:szCs w:val="24"/>
          <w:highlight w:val="none"/>
          <w:lang w:val="zh-CN"/>
        </w:rPr>
        <w:t>等，项目生产水全部循环使用，不外排</w:t>
      </w:r>
      <w:r>
        <w:rPr>
          <w:rFonts w:hint="eastAsia" w:cs="Times New Roman"/>
          <w:color w:val="auto"/>
          <w:sz w:val="24"/>
          <w:szCs w:val="24"/>
          <w:highlight w:val="none"/>
          <w:lang w:val="zh-CN"/>
        </w:rPr>
        <w:t>；碱液吸收塔中碱液循环使用不外排；</w:t>
      </w:r>
      <w:r>
        <w:rPr>
          <w:rFonts w:hint="default" w:ascii="Times New Roman" w:hAnsi="Times New Roman" w:eastAsia="宋体" w:cs="Times New Roman"/>
          <w:color w:val="auto"/>
          <w:sz w:val="24"/>
          <w:szCs w:val="24"/>
          <w:highlight w:val="none"/>
          <w:lang w:val="zh-CN"/>
        </w:rPr>
        <w:t>项目生活污水排放量按照用水量的80%计，则生活污水产生量为</w:t>
      </w:r>
      <w:r>
        <w:rPr>
          <w:rFonts w:hint="default" w:ascii="Times New Roman" w:hAnsi="Times New Roman" w:eastAsia="宋体" w:cs="Times New Roman"/>
          <w:color w:val="auto"/>
          <w:sz w:val="24"/>
          <w:szCs w:val="24"/>
          <w:highlight w:val="none"/>
          <w:lang w:val="en-US" w:eastAsia="zh-CN"/>
        </w:rPr>
        <w:t>1.92</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/d，</w:t>
      </w:r>
      <w:r>
        <w:rPr>
          <w:rFonts w:hint="default" w:ascii="Times New Roman" w:hAnsi="Times New Roman" w:eastAsia="宋体" w:cs="Times New Roman"/>
          <w:color w:val="auto"/>
          <w:sz w:val="24"/>
          <w:szCs w:val="24"/>
          <w:highlight w:val="none"/>
          <w:lang w:val="en-US" w:eastAsia="zh-CN"/>
        </w:rPr>
        <w:t>480</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/a，生活污水在厂区化粪池暂存，定期拉运处理。</w:t>
      </w:r>
    </w:p>
    <w:p w14:paraId="28DA50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供电</w:t>
      </w:r>
    </w:p>
    <w:p w14:paraId="1E88BC08">
      <w:pPr>
        <w:pStyle w:val="9"/>
        <w:rPr>
          <w:rFonts w:hint="eastAsia"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电网统一供电</w:t>
      </w: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利用厂区</w:t>
      </w:r>
      <w:r>
        <w:rPr>
          <w:rFonts w:hint="eastAsia" w:cs="Times New Roman"/>
          <w:color w:val="auto"/>
          <w:kern w:val="2"/>
          <w:sz w:val="24"/>
          <w:szCs w:val="24"/>
          <w:highlight w:val="none"/>
          <w:lang w:val="en-US" w:eastAsia="zh-CN" w:bidi="ar-SA"/>
        </w:rPr>
        <w:t>现有</w:t>
      </w:r>
      <w:r>
        <w:rPr>
          <w:rFonts w:hint="eastAsia" w:ascii="Times New Roman" w:hAnsi="Times New Roman" w:eastAsia="宋体" w:cs="Times New Roman"/>
          <w:color w:val="auto"/>
          <w:kern w:val="2"/>
          <w:sz w:val="24"/>
          <w:szCs w:val="24"/>
          <w:highlight w:val="none"/>
          <w:lang w:val="en-US" w:eastAsia="zh-CN" w:bidi="ar-SA"/>
        </w:rPr>
        <w:t>供电设施。</w:t>
      </w:r>
    </w:p>
    <w:p w14:paraId="1066AC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供热</w:t>
      </w:r>
    </w:p>
    <w:p w14:paraId="085719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w:t>
      </w:r>
      <w:r>
        <w:rPr>
          <w:rFonts w:hint="default" w:ascii="Times New Roman" w:hAnsi="Times New Roman" w:cs="Times New Roman"/>
          <w:color w:val="auto"/>
          <w:kern w:val="0"/>
          <w:sz w:val="24"/>
          <w:szCs w:val="24"/>
          <w:highlight w:val="none"/>
          <w:lang w:val="en-US" w:eastAsia="zh-CN"/>
        </w:rPr>
        <w:t>生产厂房</w:t>
      </w:r>
      <w:r>
        <w:rPr>
          <w:rFonts w:hint="default" w:ascii="Times New Roman" w:hAnsi="Times New Roman" w:cs="Times New Roman"/>
          <w:color w:val="auto"/>
          <w:kern w:val="0"/>
          <w:sz w:val="24"/>
          <w:szCs w:val="24"/>
          <w:highlight w:val="none"/>
        </w:rPr>
        <w:t>无需供热，员工生活依托生活区电锅炉供暖。</w:t>
      </w:r>
    </w:p>
    <w:p w14:paraId="56EF11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（5）</w:t>
      </w:r>
      <w:bookmarkStart w:id="109" w:name="_Hlk150596777"/>
      <w:bookmarkStart w:id="110" w:name="_Hlk150728132"/>
      <w:bookmarkStart w:id="111" w:name="_Toc10331"/>
      <w:r>
        <w:rPr>
          <w:rFonts w:hint="default" w:ascii="Times New Roman" w:hAnsi="Times New Roman" w:eastAsia="宋体" w:cs="Times New Roman"/>
          <w:color w:val="auto"/>
          <w:sz w:val="24"/>
          <w:szCs w:val="24"/>
          <w:highlight w:val="none"/>
          <w:lang w:eastAsia="zh-CN"/>
        </w:rPr>
        <w:t>水平衡</w:t>
      </w:r>
    </w:p>
    <w:bookmarkEnd w:id="109"/>
    <w:bookmarkEnd w:id="110"/>
    <w:p w14:paraId="059981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8"/>
          <w:highlight w:val="none"/>
        </w:rPr>
      </w:pPr>
      <w:r>
        <w:rPr>
          <w:rFonts w:hint="eastAsia" w:cs="Times New Roman"/>
          <w:color w:val="auto"/>
          <w:kern w:val="0"/>
          <w:szCs w:val="28"/>
          <w:highlight w:val="none"/>
          <w:lang w:val="en-US" w:eastAsia="zh-CN"/>
        </w:rPr>
        <w:t>本项目</w:t>
      </w:r>
      <w:r>
        <w:rPr>
          <w:rFonts w:hint="default" w:ascii="Times New Roman" w:hAnsi="Times New Roman" w:cs="Times New Roman"/>
          <w:color w:val="auto"/>
          <w:kern w:val="0"/>
          <w:szCs w:val="28"/>
          <w:highlight w:val="none"/>
        </w:rPr>
        <w:t>水量平衡见表</w:t>
      </w:r>
      <w:r>
        <w:rPr>
          <w:rFonts w:hint="default" w:ascii="Times New Roman" w:hAnsi="Times New Roman" w:cs="Times New Roman"/>
          <w:color w:val="auto"/>
          <w:kern w:val="0"/>
          <w:szCs w:val="28"/>
          <w:highlight w:val="none"/>
          <w:lang w:val="en-US" w:eastAsia="zh-CN"/>
        </w:rPr>
        <w:t>3.2-</w:t>
      </w:r>
      <w:r>
        <w:rPr>
          <w:rFonts w:hint="eastAsia" w:cs="Times New Roman"/>
          <w:color w:val="auto"/>
          <w:kern w:val="0"/>
          <w:szCs w:val="28"/>
          <w:highlight w:val="none"/>
          <w:lang w:val="en-US" w:eastAsia="zh-CN"/>
        </w:rPr>
        <w:t>6</w:t>
      </w:r>
      <w:r>
        <w:rPr>
          <w:rFonts w:hint="default" w:ascii="Times New Roman" w:hAnsi="Times New Roman" w:cs="Times New Roman"/>
          <w:color w:val="auto"/>
          <w:kern w:val="0"/>
          <w:szCs w:val="28"/>
          <w:highlight w:val="none"/>
        </w:rPr>
        <w:t>、图</w:t>
      </w:r>
      <w:r>
        <w:rPr>
          <w:rFonts w:hint="default" w:ascii="Times New Roman" w:hAnsi="Times New Roman" w:cs="Times New Roman"/>
          <w:color w:val="auto"/>
          <w:kern w:val="0"/>
          <w:szCs w:val="28"/>
          <w:highlight w:val="none"/>
          <w:lang w:val="en-US" w:eastAsia="zh-CN"/>
        </w:rPr>
        <w:t>3.2-1</w:t>
      </w:r>
      <w:r>
        <w:rPr>
          <w:rFonts w:hint="default" w:ascii="Times New Roman" w:hAnsi="Times New Roman" w:cs="Times New Roman"/>
          <w:color w:val="auto"/>
          <w:kern w:val="0"/>
          <w:szCs w:val="28"/>
          <w:highlight w:val="none"/>
        </w:rPr>
        <w:t>。</w:t>
      </w:r>
    </w:p>
    <w:p w14:paraId="4029BD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表</w:t>
      </w:r>
      <w:r>
        <w:rPr>
          <w:rFonts w:hint="default" w:ascii="Times New Roman" w:hAnsi="Times New Roman" w:cs="Times New Roman"/>
          <w:b/>
          <w:color w:val="auto"/>
          <w:kern w:val="0"/>
          <w:sz w:val="21"/>
          <w:szCs w:val="21"/>
          <w:highlight w:val="none"/>
          <w:lang w:val="en-US" w:eastAsia="zh-CN"/>
        </w:rPr>
        <w:t>3.2-</w:t>
      </w:r>
      <w:r>
        <w:rPr>
          <w:rFonts w:hint="eastAsia" w:cs="Times New Roman"/>
          <w:b/>
          <w:color w:val="auto"/>
          <w:kern w:val="0"/>
          <w:sz w:val="21"/>
          <w:szCs w:val="21"/>
          <w:highlight w:val="none"/>
          <w:lang w:val="en-US" w:eastAsia="zh-CN"/>
        </w:rPr>
        <w:t>6</w:t>
      </w:r>
      <w:r>
        <w:rPr>
          <w:rFonts w:hint="default" w:ascii="Times New Roman" w:hAnsi="Times New Roman" w:cs="Times New Roman"/>
          <w:b/>
          <w:color w:val="auto"/>
          <w:kern w:val="0"/>
          <w:sz w:val="21"/>
          <w:szCs w:val="21"/>
          <w:highlight w:val="none"/>
        </w:rPr>
        <w:t xml:space="preserve">    水量平衡表</w:t>
      </w:r>
      <w:r>
        <w:rPr>
          <w:rFonts w:hint="default" w:ascii="Times New Roman" w:hAnsi="Times New Roman" w:cs="Times New Roman"/>
          <w:b/>
          <w:color w:val="auto"/>
          <w:kern w:val="0"/>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09"/>
        <w:gridCol w:w="1461"/>
        <w:gridCol w:w="1138"/>
        <w:gridCol w:w="1074"/>
        <w:gridCol w:w="1030"/>
        <w:gridCol w:w="1991"/>
      </w:tblGrid>
      <w:tr w14:paraId="5D2768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vAlign w:val="top"/>
          </w:tcPr>
          <w:p w14:paraId="4A1F98B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给水环节</w:t>
            </w:r>
          </w:p>
        </w:tc>
        <w:tc>
          <w:tcPr>
            <w:tcW w:w="880" w:type="pct"/>
            <w:tcBorders>
              <w:tl2br w:val="nil"/>
              <w:tr2bl w:val="nil"/>
            </w:tcBorders>
            <w:vAlign w:val="top"/>
          </w:tcPr>
          <w:p w14:paraId="7A49A04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新鲜</w:t>
            </w:r>
            <w:r>
              <w:rPr>
                <w:rFonts w:hint="default" w:ascii="Times New Roman" w:hAnsi="Times New Roman" w:cs="Times New Roman"/>
                <w:b/>
                <w:bCs/>
                <w:color w:val="auto"/>
                <w:sz w:val="21"/>
                <w:szCs w:val="21"/>
                <w:highlight w:val="none"/>
                <w:lang w:val="en-US" w:eastAsia="zh-CN"/>
              </w:rPr>
              <w:t>用</w:t>
            </w:r>
            <w:r>
              <w:rPr>
                <w:rFonts w:hint="default" w:ascii="Times New Roman" w:hAnsi="Times New Roman" w:eastAsia="宋体" w:cs="Times New Roman"/>
                <w:b/>
                <w:bCs/>
                <w:color w:val="auto"/>
                <w:sz w:val="21"/>
                <w:szCs w:val="21"/>
                <w:highlight w:val="none"/>
              </w:rPr>
              <w:t>水量</w:t>
            </w:r>
          </w:p>
        </w:tc>
        <w:tc>
          <w:tcPr>
            <w:tcW w:w="685" w:type="pct"/>
            <w:tcBorders>
              <w:tl2br w:val="nil"/>
              <w:tr2bl w:val="nil"/>
            </w:tcBorders>
            <w:vAlign w:val="top"/>
          </w:tcPr>
          <w:p w14:paraId="730067E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回用水量</w:t>
            </w:r>
          </w:p>
        </w:tc>
        <w:tc>
          <w:tcPr>
            <w:tcW w:w="647" w:type="pct"/>
            <w:tcBorders>
              <w:tl2br w:val="nil"/>
              <w:tr2bl w:val="nil"/>
            </w:tcBorders>
            <w:vAlign w:val="top"/>
          </w:tcPr>
          <w:p w14:paraId="1F503E6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损耗水量</w:t>
            </w:r>
          </w:p>
        </w:tc>
        <w:tc>
          <w:tcPr>
            <w:tcW w:w="620" w:type="pct"/>
            <w:tcBorders>
              <w:tl2br w:val="nil"/>
              <w:tr2bl w:val="nil"/>
            </w:tcBorders>
            <w:vAlign w:val="top"/>
          </w:tcPr>
          <w:p w14:paraId="387F6C2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废水</w:t>
            </w:r>
            <w:r>
              <w:rPr>
                <w:rFonts w:hint="default" w:ascii="Times New Roman" w:hAnsi="Times New Roman" w:eastAsia="宋体" w:cs="Times New Roman"/>
                <w:b/>
                <w:bCs/>
                <w:color w:val="auto"/>
                <w:sz w:val="21"/>
                <w:szCs w:val="21"/>
                <w:highlight w:val="none"/>
              </w:rPr>
              <w:t>水量</w:t>
            </w:r>
          </w:p>
        </w:tc>
        <w:tc>
          <w:tcPr>
            <w:tcW w:w="1195" w:type="pct"/>
            <w:tcBorders>
              <w:tl2br w:val="nil"/>
              <w:tr2bl w:val="nil"/>
            </w:tcBorders>
            <w:vAlign w:val="top"/>
          </w:tcPr>
          <w:p w14:paraId="77869F9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w:t>
            </w:r>
          </w:p>
        </w:tc>
      </w:tr>
      <w:tr w14:paraId="1CD08D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969" w:type="pct"/>
            <w:tcBorders>
              <w:tl2br w:val="nil"/>
              <w:tr2bl w:val="nil"/>
            </w:tcBorders>
            <w:vAlign w:val="top"/>
          </w:tcPr>
          <w:p w14:paraId="6B8EB44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生活用水</w:t>
            </w:r>
          </w:p>
        </w:tc>
        <w:tc>
          <w:tcPr>
            <w:tcW w:w="880" w:type="pct"/>
            <w:tcBorders>
              <w:tl2br w:val="nil"/>
              <w:tr2bl w:val="nil"/>
            </w:tcBorders>
            <w:vAlign w:val="top"/>
          </w:tcPr>
          <w:p w14:paraId="6AE2108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2.4</w:t>
            </w:r>
          </w:p>
        </w:tc>
        <w:tc>
          <w:tcPr>
            <w:tcW w:w="685" w:type="pct"/>
            <w:tcBorders>
              <w:tl2br w:val="nil"/>
              <w:tr2bl w:val="nil"/>
            </w:tcBorders>
            <w:vAlign w:val="top"/>
          </w:tcPr>
          <w:p w14:paraId="081A067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w:t>
            </w:r>
          </w:p>
        </w:tc>
        <w:tc>
          <w:tcPr>
            <w:tcW w:w="647" w:type="pct"/>
            <w:tcBorders>
              <w:tl2br w:val="nil"/>
              <w:tr2bl w:val="nil"/>
            </w:tcBorders>
            <w:vAlign w:val="top"/>
          </w:tcPr>
          <w:p w14:paraId="3F7B9FF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0.48</w:t>
            </w:r>
          </w:p>
        </w:tc>
        <w:tc>
          <w:tcPr>
            <w:tcW w:w="620" w:type="pct"/>
            <w:tcBorders>
              <w:tl2br w:val="nil"/>
              <w:tr2bl w:val="nil"/>
            </w:tcBorders>
            <w:vAlign w:val="top"/>
          </w:tcPr>
          <w:p w14:paraId="2E3FE3F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1.92</w:t>
            </w:r>
          </w:p>
        </w:tc>
        <w:tc>
          <w:tcPr>
            <w:tcW w:w="1195" w:type="pct"/>
            <w:tcBorders>
              <w:tl2br w:val="nil"/>
              <w:tr2bl w:val="nil"/>
            </w:tcBorders>
            <w:vAlign w:val="top"/>
          </w:tcPr>
          <w:p w14:paraId="5798F94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03DAE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vAlign w:val="top"/>
          </w:tcPr>
          <w:p w14:paraId="3492126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球磨</w:t>
            </w:r>
            <w:r>
              <w:rPr>
                <w:rFonts w:hint="eastAsia" w:cs="Times New Roman"/>
                <w:color w:val="auto"/>
                <w:sz w:val="21"/>
                <w:szCs w:val="21"/>
                <w:highlight w:val="none"/>
                <w:lang w:val="en-US" w:eastAsia="zh-CN"/>
              </w:rPr>
              <w:t>用水</w:t>
            </w:r>
          </w:p>
        </w:tc>
        <w:tc>
          <w:tcPr>
            <w:tcW w:w="880" w:type="pct"/>
            <w:tcBorders>
              <w:tl2br w:val="nil"/>
              <w:tr2bl w:val="nil"/>
            </w:tcBorders>
            <w:vAlign w:val="top"/>
          </w:tcPr>
          <w:p w14:paraId="2E108DB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3360</w:t>
            </w:r>
          </w:p>
        </w:tc>
        <w:tc>
          <w:tcPr>
            <w:tcW w:w="685" w:type="pct"/>
            <w:tcBorders>
              <w:tl2br w:val="nil"/>
              <w:tr2bl w:val="nil"/>
            </w:tcBorders>
            <w:vAlign w:val="top"/>
          </w:tcPr>
          <w:p w14:paraId="5CE65FB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3357.5</w:t>
            </w:r>
          </w:p>
        </w:tc>
        <w:tc>
          <w:tcPr>
            <w:tcW w:w="647" w:type="pct"/>
            <w:tcBorders>
              <w:tl2br w:val="nil"/>
              <w:tr2bl w:val="nil"/>
            </w:tcBorders>
            <w:vAlign w:val="top"/>
          </w:tcPr>
          <w:p w14:paraId="4D6CAF5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p>
        </w:tc>
        <w:tc>
          <w:tcPr>
            <w:tcW w:w="620" w:type="pct"/>
            <w:tcBorders>
              <w:tl2br w:val="nil"/>
              <w:tr2bl w:val="nil"/>
            </w:tcBorders>
            <w:vAlign w:val="top"/>
          </w:tcPr>
          <w:p w14:paraId="6367FE2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95" w:type="pct"/>
            <w:tcBorders>
              <w:tl2br w:val="nil"/>
              <w:tr2bl w:val="nil"/>
            </w:tcBorders>
            <w:vAlign w:val="top"/>
          </w:tcPr>
          <w:p w14:paraId="3695E33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2C444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969" w:type="pct"/>
            <w:tcBorders>
              <w:tl2br w:val="nil"/>
              <w:tr2bl w:val="nil"/>
            </w:tcBorders>
            <w:vAlign w:val="top"/>
          </w:tcPr>
          <w:p w14:paraId="1538F94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浸出用水</w:t>
            </w:r>
          </w:p>
        </w:tc>
        <w:tc>
          <w:tcPr>
            <w:tcW w:w="880" w:type="pct"/>
            <w:tcBorders>
              <w:tl2br w:val="nil"/>
              <w:tr2bl w:val="nil"/>
            </w:tcBorders>
            <w:vAlign w:val="top"/>
          </w:tcPr>
          <w:p w14:paraId="0CCDC3B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540*</w:t>
            </w:r>
          </w:p>
        </w:tc>
        <w:tc>
          <w:tcPr>
            <w:tcW w:w="685" w:type="pct"/>
            <w:tcBorders>
              <w:tl2br w:val="nil"/>
              <w:tr2bl w:val="nil"/>
            </w:tcBorders>
            <w:vAlign w:val="top"/>
          </w:tcPr>
          <w:p w14:paraId="7B39015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537.5*</w:t>
            </w:r>
          </w:p>
        </w:tc>
        <w:tc>
          <w:tcPr>
            <w:tcW w:w="647" w:type="pct"/>
            <w:tcBorders>
              <w:tl2br w:val="nil"/>
              <w:tr2bl w:val="nil"/>
            </w:tcBorders>
            <w:vAlign w:val="top"/>
          </w:tcPr>
          <w:p w14:paraId="5AEE8D2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620" w:type="pct"/>
            <w:tcBorders>
              <w:tl2br w:val="nil"/>
              <w:tr2bl w:val="nil"/>
            </w:tcBorders>
            <w:vAlign w:val="top"/>
          </w:tcPr>
          <w:p w14:paraId="1C2329E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95" w:type="pct"/>
            <w:tcBorders>
              <w:tl2br w:val="nil"/>
              <w:tr2bl w:val="nil"/>
            </w:tcBorders>
            <w:vAlign w:val="top"/>
          </w:tcPr>
          <w:p w14:paraId="1F84284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回用水来自过滤、洗渣及</w:t>
            </w:r>
            <w:r>
              <w:rPr>
                <w:rFonts w:hint="default" w:ascii="Times New Roman" w:hAnsi="Times New Roman" w:eastAsia="宋体" w:cs="Times New Roman"/>
                <w:color w:val="auto"/>
                <w:sz w:val="21"/>
                <w:szCs w:val="21"/>
                <w:highlight w:val="none"/>
              </w:rPr>
              <w:t>萃取-电积间用水</w:t>
            </w:r>
          </w:p>
        </w:tc>
      </w:tr>
      <w:tr w14:paraId="1E9A1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vAlign w:val="top"/>
          </w:tcPr>
          <w:p w14:paraId="02B2879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洗渣用水</w:t>
            </w:r>
          </w:p>
        </w:tc>
        <w:tc>
          <w:tcPr>
            <w:tcW w:w="880" w:type="pct"/>
            <w:tcBorders>
              <w:tl2br w:val="nil"/>
              <w:tr2bl w:val="nil"/>
            </w:tcBorders>
            <w:vAlign w:val="top"/>
          </w:tcPr>
          <w:p w14:paraId="21BD9C0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85" w:type="pct"/>
            <w:tcBorders>
              <w:tl2br w:val="nil"/>
              <w:tr2bl w:val="nil"/>
            </w:tcBorders>
            <w:vAlign w:val="top"/>
          </w:tcPr>
          <w:p w14:paraId="02927D5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47" w:type="pct"/>
            <w:tcBorders>
              <w:tl2br w:val="nil"/>
              <w:tr2bl w:val="nil"/>
            </w:tcBorders>
            <w:vAlign w:val="top"/>
          </w:tcPr>
          <w:p w14:paraId="36AF11F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620" w:type="pct"/>
            <w:tcBorders>
              <w:tl2br w:val="nil"/>
              <w:tr2bl w:val="nil"/>
            </w:tcBorders>
            <w:vAlign w:val="top"/>
          </w:tcPr>
          <w:p w14:paraId="5880C89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c>
          <w:tcPr>
            <w:tcW w:w="1195" w:type="pct"/>
            <w:tcBorders>
              <w:tl2br w:val="nil"/>
              <w:tr2bl w:val="nil"/>
            </w:tcBorders>
            <w:vAlign w:val="top"/>
          </w:tcPr>
          <w:p w14:paraId="681FF6B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用水来自</w:t>
            </w:r>
            <w:r>
              <w:rPr>
                <w:rFonts w:hint="default" w:ascii="Times New Roman" w:hAnsi="Times New Roman" w:eastAsia="宋体" w:cs="Times New Roman"/>
                <w:color w:val="auto"/>
                <w:sz w:val="21"/>
                <w:szCs w:val="21"/>
                <w:highlight w:val="none"/>
              </w:rPr>
              <w:t>萃取-电积间用水</w:t>
            </w:r>
          </w:p>
        </w:tc>
      </w:tr>
      <w:tr w14:paraId="7B31A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shd w:val="clear" w:color="auto" w:fill="auto"/>
            <w:vAlign w:val="top"/>
          </w:tcPr>
          <w:p w14:paraId="0A36D4F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rPr>
              <w:t>萃取-电积间用水</w:t>
            </w:r>
          </w:p>
        </w:tc>
        <w:tc>
          <w:tcPr>
            <w:tcW w:w="880" w:type="pct"/>
            <w:tcBorders>
              <w:tl2br w:val="nil"/>
              <w:tr2bl w:val="nil"/>
            </w:tcBorders>
            <w:shd w:val="clear" w:color="auto" w:fill="auto"/>
            <w:vAlign w:val="top"/>
          </w:tcPr>
          <w:p w14:paraId="47733DF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468*</w:t>
            </w:r>
          </w:p>
        </w:tc>
        <w:tc>
          <w:tcPr>
            <w:tcW w:w="685" w:type="pct"/>
            <w:tcBorders>
              <w:tl2br w:val="nil"/>
              <w:tr2bl w:val="nil"/>
            </w:tcBorders>
            <w:shd w:val="clear" w:color="auto" w:fill="auto"/>
            <w:vAlign w:val="top"/>
          </w:tcPr>
          <w:p w14:paraId="1ED0630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647" w:type="pct"/>
            <w:tcBorders>
              <w:tl2br w:val="nil"/>
              <w:tr2bl w:val="nil"/>
            </w:tcBorders>
            <w:shd w:val="clear" w:color="auto" w:fill="auto"/>
            <w:vAlign w:val="top"/>
          </w:tcPr>
          <w:p w14:paraId="1302D5E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20" w:type="pct"/>
            <w:tcBorders>
              <w:tl2br w:val="nil"/>
              <w:tr2bl w:val="nil"/>
            </w:tcBorders>
            <w:shd w:val="clear" w:color="auto" w:fill="auto"/>
            <w:vAlign w:val="top"/>
          </w:tcPr>
          <w:p w14:paraId="7A08046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8*</w:t>
            </w:r>
          </w:p>
        </w:tc>
        <w:tc>
          <w:tcPr>
            <w:tcW w:w="1195" w:type="pct"/>
            <w:tcBorders>
              <w:tl2br w:val="nil"/>
              <w:tr2bl w:val="nil"/>
            </w:tcBorders>
            <w:shd w:val="clear" w:color="auto" w:fill="auto"/>
            <w:vAlign w:val="top"/>
          </w:tcPr>
          <w:p w14:paraId="59746D6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val="0"/>
                <w:color w:val="auto"/>
                <w:sz w:val="21"/>
                <w:szCs w:val="21"/>
                <w:highlight w:val="none"/>
                <w:lang w:val="en-US" w:eastAsia="zh-CN"/>
              </w:rPr>
              <w:t>458</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b w:val="0"/>
                <w:bCs w:val="0"/>
                <w:color w:val="auto"/>
                <w:sz w:val="21"/>
                <w:szCs w:val="21"/>
                <w:highlight w:val="none"/>
                <w:vertAlign w:val="baseline"/>
                <w:lang w:val="en-US" w:eastAsia="zh-CN"/>
              </w:rPr>
              <w:t>直接回用于浸出，10m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vertAlign w:val="baseline"/>
                <w:lang w:val="en-US" w:eastAsia="zh-CN"/>
              </w:rPr>
              <w:t>用于洗渣</w:t>
            </w:r>
          </w:p>
        </w:tc>
      </w:tr>
      <w:tr w14:paraId="38F13C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shd w:val="clear" w:color="auto" w:fill="auto"/>
            <w:vAlign w:val="top"/>
          </w:tcPr>
          <w:p w14:paraId="3C42093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碱液吸收塔</w:t>
            </w:r>
          </w:p>
        </w:tc>
        <w:tc>
          <w:tcPr>
            <w:tcW w:w="880" w:type="pct"/>
            <w:tcBorders>
              <w:tl2br w:val="nil"/>
              <w:tr2bl w:val="nil"/>
            </w:tcBorders>
            <w:shd w:val="clear" w:color="auto" w:fill="auto"/>
            <w:vAlign w:val="top"/>
          </w:tcPr>
          <w:p w14:paraId="34032D9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1.385</w:t>
            </w:r>
          </w:p>
        </w:tc>
        <w:tc>
          <w:tcPr>
            <w:tcW w:w="685" w:type="pct"/>
            <w:tcBorders>
              <w:tl2br w:val="nil"/>
              <w:tr2bl w:val="nil"/>
            </w:tcBorders>
            <w:shd w:val="clear" w:color="auto" w:fill="auto"/>
            <w:vAlign w:val="top"/>
          </w:tcPr>
          <w:p w14:paraId="463A003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1.246</w:t>
            </w:r>
          </w:p>
        </w:tc>
        <w:tc>
          <w:tcPr>
            <w:tcW w:w="647" w:type="pct"/>
            <w:tcBorders>
              <w:tl2br w:val="nil"/>
              <w:tr2bl w:val="nil"/>
            </w:tcBorders>
            <w:shd w:val="clear" w:color="auto" w:fill="auto"/>
            <w:vAlign w:val="top"/>
          </w:tcPr>
          <w:p w14:paraId="4DB2F6F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0.139</w:t>
            </w:r>
          </w:p>
        </w:tc>
        <w:tc>
          <w:tcPr>
            <w:tcW w:w="620" w:type="pct"/>
            <w:tcBorders>
              <w:tl2br w:val="nil"/>
              <w:tr2bl w:val="nil"/>
            </w:tcBorders>
            <w:shd w:val="clear" w:color="auto" w:fill="auto"/>
            <w:vAlign w:val="top"/>
          </w:tcPr>
          <w:p w14:paraId="5667FED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195" w:type="pct"/>
            <w:tcBorders>
              <w:tl2br w:val="nil"/>
              <w:tr2bl w:val="nil"/>
            </w:tcBorders>
            <w:shd w:val="clear" w:color="auto" w:fill="auto"/>
            <w:vAlign w:val="top"/>
          </w:tcPr>
          <w:p w14:paraId="53236BB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14:paraId="1F5570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vAlign w:val="top"/>
          </w:tcPr>
          <w:p w14:paraId="6E431BB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总量</w:t>
            </w:r>
          </w:p>
        </w:tc>
        <w:tc>
          <w:tcPr>
            <w:tcW w:w="880" w:type="pct"/>
            <w:tcBorders>
              <w:tl2br w:val="nil"/>
              <w:tr2bl w:val="nil"/>
            </w:tcBorders>
            <w:vAlign w:val="top"/>
          </w:tcPr>
          <w:p w14:paraId="61A2FD49">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336</w:t>
            </w:r>
            <w:r>
              <w:rPr>
                <w:rFonts w:hint="eastAsia" w:cs="Times New Roman"/>
                <w:color w:val="auto"/>
                <w:sz w:val="21"/>
                <w:szCs w:val="21"/>
                <w:highlight w:val="none"/>
                <w:lang w:val="en-US" w:eastAsia="zh-CN"/>
              </w:rPr>
              <w:t>3.785</w:t>
            </w:r>
          </w:p>
        </w:tc>
        <w:tc>
          <w:tcPr>
            <w:tcW w:w="685" w:type="pct"/>
            <w:tcBorders>
              <w:tl2br w:val="nil"/>
              <w:tr2bl w:val="nil"/>
            </w:tcBorders>
            <w:vAlign w:val="top"/>
          </w:tcPr>
          <w:p w14:paraId="48D5D77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335</w:t>
            </w:r>
            <w:r>
              <w:rPr>
                <w:rFonts w:hint="eastAsia" w:cs="Times New Roman"/>
                <w:color w:val="auto"/>
                <w:sz w:val="21"/>
                <w:szCs w:val="21"/>
                <w:highlight w:val="none"/>
                <w:lang w:val="en-US" w:eastAsia="zh-CN"/>
              </w:rPr>
              <w:t>8.746</w:t>
            </w:r>
          </w:p>
        </w:tc>
        <w:tc>
          <w:tcPr>
            <w:tcW w:w="647" w:type="pct"/>
            <w:tcBorders>
              <w:tl2br w:val="nil"/>
              <w:tr2bl w:val="nil"/>
            </w:tcBorders>
            <w:vAlign w:val="top"/>
          </w:tcPr>
          <w:p w14:paraId="30E9FC6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3.119</w:t>
            </w:r>
          </w:p>
        </w:tc>
        <w:tc>
          <w:tcPr>
            <w:tcW w:w="620" w:type="pct"/>
            <w:tcBorders>
              <w:tl2br w:val="nil"/>
              <w:tr2bl w:val="nil"/>
            </w:tcBorders>
            <w:vAlign w:val="top"/>
          </w:tcPr>
          <w:p w14:paraId="3B57DB5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1.92</w:t>
            </w:r>
          </w:p>
        </w:tc>
        <w:tc>
          <w:tcPr>
            <w:tcW w:w="1195" w:type="pct"/>
            <w:tcBorders>
              <w:tl2br w:val="nil"/>
              <w:tr2bl w:val="nil"/>
            </w:tcBorders>
            <w:vAlign w:val="top"/>
          </w:tcPr>
          <w:p w14:paraId="0A449D3B">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65CD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5000" w:type="pct"/>
            <w:gridSpan w:val="6"/>
            <w:tcBorders>
              <w:tl2br w:val="nil"/>
              <w:tr2bl w:val="nil"/>
            </w:tcBorders>
            <w:vAlign w:val="top"/>
          </w:tcPr>
          <w:p w14:paraId="6BA08E5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备注：</w:t>
            </w:r>
            <w:bookmarkStart w:id="112" w:name="OLE_LINK35"/>
            <w:r>
              <w:rPr>
                <w:rFonts w:hint="default" w:ascii="Times New Roman" w:hAnsi="Times New Roman" w:eastAsia="宋体" w:cs="Times New Roman"/>
                <w:snapToGrid w:val="0"/>
                <w:color w:val="auto"/>
                <w:sz w:val="21"/>
                <w:szCs w:val="21"/>
                <w:highlight w:val="none"/>
                <w:lang w:val="en-US" w:eastAsia="zh-CN"/>
              </w:rPr>
              <w:t>*</w:t>
            </w:r>
            <w:bookmarkEnd w:id="112"/>
            <w:r>
              <w:rPr>
                <w:rFonts w:hint="default" w:ascii="Times New Roman" w:hAnsi="Times New Roman" w:eastAsia="宋体" w:cs="Times New Roman"/>
                <w:snapToGrid w:val="0"/>
                <w:color w:val="auto"/>
                <w:sz w:val="21"/>
                <w:szCs w:val="21"/>
                <w:highlight w:val="none"/>
                <w:lang w:val="en-US" w:eastAsia="zh-CN"/>
              </w:rPr>
              <w:t>表示重复计算，不计入总数</w:t>
            </w:r>
          </w:p>
        </w:tc>
      </w:tr>
    </w:tbl>
    <w:p w14:paraId="4CA564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p w14:paraId="60D0CA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highlight w:val="none"/>
        </w:rPr>
      </w:pPr>
      <w:r>
        <w:rPr>
          <w:rFonts w:hint="default" w:ascii="Times New Roman" w:hAnsi="Times New Roman" w:cs="Times New Roman"/>
          <w:b/>
          <w:bCs/>
          <w:color w:val="auto"/>
          <w:sz w:val="21"/>
          <w:szCs w:val="21"/>
          <w:highlight w:val="none"/>
        </w:rPr>
        <w:t>图</w:t>
      </w:r>
      <w:r>
        <w:rPr>
          <w:rFonts w:hint="default" w:ascii="Times New Roman" w:hAnsi="Times New Roman" w:cs="Times New Roman"/>
          <w:b/>
          <w:bCs/>
          <w:color w:val="auto"/>
          <w:sz w:val="21"/>
          <w:szCs w:val="21"/>
          <w:highlight w:val="none"/>
          <w:lang w:val="en-US" w:eastAsia="zh-CN"/>
        </w:rPr>
        <w:t>3.2-1</w:t>
      </w:r>
      <w:r>
        <w:rPr>
          <w:rFonts w:hint="default" w:ascii="Times New Roman" w:hAnsi="Times New Roman" w:cs="Times New Roman"/>
          <w:b/>
          <w:bCs/>
          <w:color w:val="auto"/>
          <w:sz w:val="21"/>
          <w:szCs w:val="21"/>
          <w:highlight w:val="none"/>
        </w:rPr>
        <w:t xml:space="preserve">     水平衡（m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d</w:t>
      </w:r>
      <w:r>
        <w:rPr>
          <w:rFonts w:hint="default" w:ascii="Times New Roman" w:hAnsi="Times New Roman" w:cs="Times New Roman"/>
          <w:b/>
          <w:bCs/>
          <w:color w:val="auto"/>
          <w:sz w:val="21"/>
          <w:szCs w:val="21"/>
          <w:highlight w:val="none"/>
        </w:rPr>
        <w:t>）</w:t>
      </w:r>
    </w:p>
    <w:bookmarkEnd w:id="111"/>
    <w:p w14:paraId="25E349B8">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13" w:name="_Toc24415"/>
      <w:bookmarkStart w:id="114" w:name="_Toc1057"/>
      <w:r>
        <w:rPr>
          <w:rFonts w:hint="default" w:ascii="Times New Roman" w:hAnsi="Times New Roman" w:eastAsia="宋体" w:cs="Times New Roman"/>
          <w:color w:val="auto"/>
          <w:highlight w:val="none"/>
        </w:rPr>
        <w:t>3.3 工艺流程及产污环节</w:t>
      </w:r>
      <w:bookmarkEnd w:id="108"/>
      <w:bookmarkEnd w:id="113"/>
      <w:bookmarkEnd w:id="114"/>
    </w:p>
    <w:p w14:paraId="0586F3E3">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rPr>
      </w:pPr>
      <w:bookmarkStart w:id="115" w:name="_Hlk149943761"/>
      <w:r>
        <w:rPr>
          <w:rFonts w:hint="default" w:ascii="Times New Roman" w:hAnsi="Times New Roman" w:eastAsia="宋体" w:cs="Times New Roman"/>
          <w:color w:val="auto"/>
          <w:highlight w:val="none"/>
          <w:lang w:val="en-US" w:eastAsia="zh-CN"/>
        </w:rPr>
        <w:t>3.3.1施工期</w:t>
      </w:r>
    </w:p>
    <w:p w14:paraId="3E4CFF49">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本项目施工已经基本完成，大部分新增设备已经安装完成，只有少数设备没安装</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施工期主要工程为设备安装，施工量较小</w:t>
      </w:r>
      <w:r>
        <w:rPr>
          <w:rFonts w:hint="eastAsia" w:cs="Times New Roman"/>
          <w:color w:val="auto"/>
          <w:highlight w:val="none"/>
          <w:lang w:val="en-US" w:eastAsia="zh-CN"/>
        </w:rPr>
        <w:t>，对</w:t>
      </w:r>
      <w:r>
        <w:rPr>
          <w:rFonts w:hint="default" w:ascii="Times New Roman" w:hAnsi="Times New Roman" w:eastAsia="宋体" w:cs="Times New Roman"/>
          <w:color w:val="auto"/>
          <w:highlight w:val="none"/>
          <w:lang w:val="en-US" w:eastAsia="zh-CN"/>
        </w:rPr>
        <w:t>环境影响较小，施工期主要受噪声影响以及产生少量的设备包装物，随施工期结束而消除。</w:t>
      </w:r>
    </w:p>
    <w:p w14:paraId="45FBE32E">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3.3.</w:t>
      </w:r>
      <w:r>
        <w:rPr>
          <w:rFonts w:hint="default" w:ascii="Times New Roman" w:hAnsi="Times New Roman" w:cs="Times New Roman"/>
          <w:color w:val="auto"/>
          <w:highlight w:val="none"/>
          <w:lang w:val="en-US" w:eastAsia="zh-CN"/>
        </w:rPr>
        <w:t>2运营期</w:t>
      </w:r>
    </w:p>
    <w:bookmarkEnd w:id="115"/>
    <w:p w14:paraId="6FDE345C">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矿料的预处理</w:t>
      </w:r>
    </w:p>
    <w:p w14:paraId="71F2F6CC">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把含铜</w:t>
      </w:r>
      <w:r>
        <w:rPr>
          <w:rFonts w:hint="eastAsia" w:cs="Times New Roman"/>
          <w:color w:val="auto"/>
          <w:kern w:val="0"/>
          <w:szCs w:val="28"/>
          <w:highlight w:val="none"/>
          <w:lang w:val="en-US" w:eastAsia="zh-CN"/>
        </w:rPr>
        <w:t>＞</w:t>
      </w:r>
      <w:r>
        <w:rPr>
          <w:rFonts w:hint="default" w:ascii="Times New Roman" w:hAnsi="Times New Roman" w:cs="Times New Roman"/>
          <w:color w:val="auto"/>
          <w:highlight w:val="none"/>
          <w:lang w:val="en-US" w:eastAsia="zh-CN"/>
        </w:rPr>
        <w:t>0.8%</w:t>
      </w:r>
      <w:r>
        <w:rPr>
          <w:rFonts w:hint="default" w:ascii="Times New Roman" w:hAnsi="Times New Roman" w:cs="Times New Roman"/>
          <w:color w:val="auto"/>
          <w:highlight w:val="none"/>
        </w:rPr>
        <w:t>的原料倒入颚式破碎机（一破）中，破碎的原矿粒径不大于35mm，经封闭的1#输送带把矿料送入</w:t>
      </w:r>
      <w:r>
        <w:rPr>
          <w:rFonts w:hint="eastAsia" w:cs="Times New Roman"/>
          <w:color w:val="auto"/>
          <w:highlight w:val="none"/>
          <w:lang w:val="en-US" w:eastAsia="zh-CN"/>
        </w:rPr>
        <w:t>锤式</w:t>
      </w:r>
      <w:r>
        <w:rPr>
          <w:rFonts w:hint="default" w:ascii="Times New Roman" w:hAnsi="Times New Roman" w:cs="Times New Roman"/>
          <w:color w:val="auto"/>
          <w:highlight w:val="none"/>
        </w:rPr>
        <w:t>破碎机（二破）中，使矿料粒径不大于15mm，再经封闭的2#输送带把矿料送入粉矿仓，</w:t>
      </w:r>
      <w:r>
        <w:rPr>
          <w:rFonts w:hint="eastAsia" w:cs="Times New Roman"/>
          <w:color w:val="auto"/>
          <w:highlight w:val="none"/>
          <w:lang w:val="en-US" w:eastAsia="zh-CN"/>
        </w:rPr>
        <w:t>粉矿仓原料经输送带输送至</w:t>
      </w:r>
      <w:r>
        <w:rPr>
          <w:rFonts w:hint="default" w:ascii="Times New Roman" w:hAnsi="Times New Roman" w:cs="Times New Roman"/>
          <w:color w:val="auto"/>
          <w:highlight w:val="none"/>
        </w:rPr>
        <w:t>球磨机</w:t>
      </w:r>
      <w:r>
        <w:rPr>
          <w:rFonts w:hint="eastAsia" w:cs="Times New Roman"/>
          <w:color w:val="auto"/>
          <w:highlight w:val="none"/>
          <w:lang w:eastAsia="zh-CN"/>
        </w:rPr>
        <w:t>，</w:t>
      </w:r>
      <w:r>
        <w:rPr>
          <w:rFonts w:hint="eastAsia" w:cs="Times New Roman"/>
          <w:color w:val="auto"/>
          <w:highlight w:val="none"/>
          <w:lang w:val="en-US" w:eastAsia="zh-CN"/>
        </w:rPr>
        <w:t>球磨机</w:t>
      </w:r>
      <w:r>
        <w:rPr>
          <w:rFonts w:hint="default" w:ascii="Times New Roman" w:hAnsi="Times New Roman" w:cs="Times New Roman"/>
          <w:color w:val="auto"/>
          <w:highlight w:val="none"/>
        </w:rPr>
        <w:t>进料的同时加入</w:t>
      </w:r>
      <w:r>
        <w:rPr>
          <w:rFonts w:hint="default" w:ascii="Times New Roman" w:hAnsi="Times New Roman" w:cs="Times New Roman"/>
          <w:color w:val="auto"/>
          <w:highlight w:val="none"/>
          <w:lang w:val="en-US" w:eastAsia="zh-CN"/>
        </w:rPr>
        <w:t>新鲜水</w:t>
      </w:r>
      <w:r>
        <w:rPr>
          <w:rFonts w:hint="default" w:ascii="Times New Roman" w:hAnsi="Times New Roman" w:cs="Times New Roman"/>
          <w:color w:val="auto"/>
          <w:highlight w:val="none"/>
        </w:rPr>
        <w:t>和浓密机上清液（回用水），矿料经湿式球磨形成的矿浆从球磨机</w:t>
      </w:r>
      <w:r>
        <w:rPr>
          <w:rFonts w:hint="eastAsia" w:cs="Times New Roman"/>
          <w:color w:val="auto"/>
          <w:highlight w:val="none"/>
          <w:lang w:eastAsia="zh-CN"/>
        </w:rPr>
        <w:t>溢流口</w:t>
      </w:r>
      <w:r>
        <w:rPr>
          <w:rFonts w:hint="default" w:ascii="Times New Roman" w:hAnsi="Times New Roman" w:cs="Times New Roman"/>
          <w:color w:val="auto"/>
          <w:highlight w:val="none"/>
        </w:rPr>
        <w:t>流入分级旋流器中，进一步把矿浆细分，确保分级旋流器上溢流口出来的矿浆符合浸出对矿浆粒度的</w:t>
      </w:r>
      <w:r>
        <w:rPr>
          <w:rFonts w:hint="eastAsia" w:cs="Times New Roman"/>
          <w:color w:val="auto"/>
          <w:highlight w:val="none"/>
          <w:lang w:val="en-US" w:eastAsia="zh-CN"/>
        </w:rPr>
        <w:t>要求</w:t>
      </w:r>
      <w:r>
        <w:rPr>
          <w:rFonts w:hint="default" w:ascii="Times New Roman" w:hAnsi="Times New Roman" w:cs="Times New Roman"/>
          <w:color w:val="auto"/>
          <w:highlight w:val="none"/>
        </w:rPr>
        <w:t>（-200目占比不小于75%），合格的细矿浆自流进入中转槽，再经砂浆泵送入浓密旋流器中</w:t>
      </w:r>
      <w:r>
        <w:rPr>
          <w:rFonts w:hint="eastAsia" w:cs="Times New Roman"/>
          <w:color w:val="auto"/>
          <w:highlight w:val="none"/>
          <w:lang w:eastAsia="zh-CN"/>
        </w:rPr>
        <w:t>。</w:t>
      </w:r>
      <w:r>
        <w:rPr>
          <w:rFonts w:hint="default" w:ascii="Times New Roman" w:hAnsi="Times New Roman" w:cs="Times New Roman"/>
          <w:color w:val="auto"/>
          <w:highlight w:val="none"/>
          <w:lang w:val="en-US" w:eastAsia="zh-CN"/>
        </w:rPr>
        <w:t>该过程产生废气、噪声。</w:t>
      </w:r>
    </w:p>
    <w:p w14:paraId="4F768E6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矿浆的浸出</w:t>
      </w:r>
    </w:p>
    <w:p w14:paraId="5D742E23">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浓密旋流器对矿浆进行初步的固液分离，浓密后的矿浆（浓度约50</w:t>
      </w:r>
      <w:r>
        <w:rPr>
          <w:rFonts w:hint="eastAsia" w:cs="Times New Roman"/>
          <w:color w:val="auto"/>
          <w:highlight w:val="none"/>
          <w:lang w:eastAsia="zh-CN"/>
        </w:rPr>
        <w:t>%～</w:t>
      </w:r>
      <w:r>
        <w:rPr>
          <w:rFonts w:hint="default" w:ascii="Times New Roman" w:hAnsi="Times New Roman" w:cs="Times New Roman"/>
          <w:color w:val="auto"/>
          <w:highlight w:val="none"/>
        </w:rPr>
        <w:t>70%）从底流口自流入</w:t>
      </w:r>
      <w:r>
        <w:rPr>
          <w:rFonts w:hint="default" w:ascii="Times New Roman" w:hAnsi="Times New Roman" w:cs="Times New Roman"/>
          <w:color w:val="auto"/>
          <w:highlight w:val="none"/>
          <w:lang w:eastAsia="zh-CN"/>
        </w:rPr>
        <w:t>浆化罐</w:t>
      </w:r>
      <w:r>
        <w:rPr>
          <w:rFonts w:hint="default" w:ascii="Times New Roman" w:hAnsi="Times New Roman" w:cs="Times New Roman"/>
          <w:color w:val="auto"/>
          <w:highlight w:val="none"/>
        </w:rPr>
        <w:t>中，浓密旋流器上溢流口出来的稀矿浆（浓度约5</w:t>
      </w:r>
      <w:r>
        <w:rPr>
          <w:rFonts w:hint="eastAsia" w:cs="Times New Roman"/>
          <w:color w:val="auto"/>
          <w:highlight w:val="none"/>
          <w:lang w:eastAsia="zh-CN"/>
        </w:rPr>
        <w:t>%～</w:t>
      </w:r>
      <w:r>
        <w:rPr>
          <w:rFonts w:hint="default" w:ascii="Times New Roman" w:hAnsi="Times New Roman" w:cs="Times New Roman"/>
          <w:color w:val="auto"/>
          <w:highlight w:val="none"/>
        </w:rPr>
        <w:t>8%）进入浓密机</w:t>
      </w:r>
      <w:r>
        <w:rPr>
          <w:rFonts w:hint="default" w:ascii="Times New Roman" w:hAnsi="Times New Roman" w:cs="Times New Roman"/>
          <w:color w:val="auto"/>
          <w:highlight w:val="none"/>
          <w:lang w:val="en-US" w:eastAsia="zh-CN"/>
        </w:rPr>
        <w:t>中</w:t>
      </w:r>
      <w:r>
        <w:rPr>
          <w:rFonts w:hint="default" w:ascii="Times New Roman" w:hAnsi="Times New Roman" w:cs="Times New Roman"/>
          <w:color w:val="auto"/>
          <w:highlight w:val="none"/>
        </w:rPr>
        <w:t>进一步对稀矿浆进行固液分离，浓密机的底</w:t>
      </w:r>
      <w:r>
        <w:rPr>
          <w:rFonts w:hint="default" w:ascii="Times New Roman" w:hAnsi="Times New Roman" w:cs="Times New Roman"/>
          <w:color w:val="auto"/>
          <w:highlight w:val="none"/>
          <w:lang w:val="en-US" w:eastAsia="zh-CN"/>
        </w:rPr>
        <w:t>液</w:t>
      </w:r>
      <w:r>
        <w:rPr>
          <w:rFonts w:hint="default" w:ascii="Times New Roman" w:hAnsi="Times New Roman" w:cs="Times New Roman"/>
          <w:color w:val="auto"/>
          <w:highlight w:val="none"/>
        </w:rPr>
        <w:t>经泵也送入</w:t>
      </w:r>
      <w:r>
        <w:rPr>
          <w:rFonts w:hint="default" w:ascii="Times New Roman" w:hAnsi="Times New Roman" w:cs="Times New Roman"/>
          <w:color w:val="auto"/>
          <w:highlight w:val="none"/>
          <w:lang w:eastAsia="zh-CN"/>
        </w:rPr>
        <w:t>浆化罐</w:t>
      </w:r>
      <w:r>
        <w:rPr>
          <w:rFonts w:hint="default" w:ascii="Times New Roman" w:hAnsi="Times New Roman" w:cs="Times New Roman"/>
          <w:color w:val="auto"/>
          <w:highlight w:val="none"/>
        </w:rPr>
        <w:t>中，而浓密机的上清液自流回磨矿</w:t>
      </w:r>
      <w:r>
        <w:rPr>
          <w:rFonts w:hint="default" w:ascii="Times New Roman" w:hAnsi="Times New Roman" w:cs="Times New Roman"/>
          <w:color w:val="auto"/>
          <w:highlight w:val="none"/>
          <w:lang w:val="en-US" w:eastAsia="zh-CN"/>
        </w:rPr>
        <w:t>工段</w:t>
      </w:r>
      <w:r>
        <w:rPr>
          <w:rFonts w:hint="default" w:ascii="Times New Roman" w:hAnsi="Times New Roman" w:cs="Times New Roman"/>
          <w:color w:val="auto"/>
          <w:highlight w:val="none"/>
        </w:rPr>
        <w:t>。在浓密旋流器底流和浓密机底流进入</w:t>
      </w:r>
      <w:r>
        <w:rPr>
          <w:rFonts w:hint="default" w:ascii="Times New Roman" w:hAnsi="Times New Roman" w:cs="Times New Roman"/>
          <w:color w:val="auto"/>
          <w:highlight w:val="none"/>
          <w:lang w:eastAsia="zh-CN"/>
        </w:rPr>
        <w:t>浆化罐</w:t>
      </w:r>
      <w:r>
        <w:rPr>
          <w:rFonts w:hint="default" w:ascii="Times New Roman" w:hAnsi="Times New Roman" w:cs="Times New Roman"/>
          <w:color w:val="auto"/>
          <w:highlight w:val="none"/>
        </w:rPr>
        <w:t>的</w:t>
      </w:r>
      <w:r>
        <w:rPr>
          <w:rFonts w:hint="eastAsia" w:cs="Times New Roman"/>
          <w:color w:val="auto"/>
          <w:highlight w:val="none"/>
          <w:lang w:eastAsia="zh-CN"/>
        </w:rPr>
        <w:t>同时</w:t>
      </w:r>
      <w:r>
        <w:rPr>
          <w:rFonts w:hint="default" w:ascii="Times New Roman" w:hAnsi="Times New Roman" w:cs="Times New Roman"/>
          <w:color w:val="auto"/>
          <w:highlight w:val="none"/>
        </w:rPr>
        <w:t>加入萃铜的萃余液和洗水，再经砂浆泵送入浸出槽中，同时加入浸出剂硫酸，经2小时浸出后，矿浆中的铜以离子的形式进入溶液中，浸出结束后硫酸铜矿浆经带式过滤机进入固液分离，带式过滤机的后段有三段逆流洗涤，把矿渣中的铜离子洗入洗水中，洗水再返回浸出段作为浆化底水回用，矿渣经过三段洗涤后</w:t>
      </w:r>
      <w:r>
        <w:rPr>
          <w:rFonts w:hint="eastAsia" w:cs="Times New Roman"/>
          <w:color w:val="auto"/>
          <w:highlight w:val="none"/>
          <w:lang w:val="en-US" w:eastAsia="zh-CN"/>
        </w:rPr>
        <w:t>得到的含水率25%的浸出渣</w:t>
      </w:r>
      <w:r>
        <w:rPr>
          <w:rFonts w:hint="default" w:ascii="Times New Roman" w:hAnsi="Times New Roman" w:cs="Times New Roman"/>
          <w:color w:val="auto"/>
          <w:highlight w:val="none"/>
        </w:rPr>
        <w:t>经过输送带送到</w:t>
      </w:r>
      <w:r>
        <w:rPr>
          <w:rFonts w:hint="default" w:ascii="Times New Roman" w:hAnsi="Times New Roman" w:cs="Times New Roman"/>
          <w:color w:val="auto"/>
          <w:highlight w:val="none"/>
          <w:lang w:val="en-US" w:eastAsia="zh-CN"/>
        </w:rPr>
        <w:t>尾矿库</w:t>
      </w:r>
      <w:r>
        <w:rPr>
          <w:rFonts w:hint="default" w:ascii="Times New Roman" w:hAnsi="Times New Roman" w:cs="Times New Roman"/>
          <w:color w:val="auto"/>
          <w:highlight w:val="none"/>
        </w:rPr>
        <w:t>临时堆放或直接装车送水泥建材企业利用，最后</w:t>
      </w:r>
      <w:r>
        <w:rPr>
          <w:rFonts w:hint="eastAsia" w:cs="Times New Roman"/>
          <w:color w:val="auto"/>
          <w:highlight w:val="none"/>
          <w:lang w:val="en-US" w:eastAsia="zh-CN"/>
        </w:rPr>
        <w:t>全部</w:t>
      </w:r>
      <w:r>
        <w:rPr>
          <w:rFonts w:hint="default" w:ascii="Times New Roman" w:hAnsi="Times New Roman" w:cs="Times New Roman"/>
          <w:color w:val="auto"/>
          <w:highlight w:val="none"/>
          <w:lang w:val="en-US" w:eastAsia="zh-CN"/>
        </w:rPr>
        <w:t>外售给下游企业</w:t>
      </w:r>
      <w:r>
        <w:rPr>
          <w:rFonts w:hint="default" w:ascii="Times New Roman" w:hAnsi="Times New Roman" w:cs="Times New Roman"/>
          <w:color w:val="auto"/>
          <w:highlight w:val="none"/>
        </w:rPr>
        <w:t>。氧化铜矿石和硫酸混合在一起，它们之间就会发生化学反应，生成硫酸铜（溶液）和水，其化学反应方程式：</w:t>
      </w:r>
    </w:p>
    <w:p w14:paraId="5EAE3C30">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CuO+H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（稀）=CuSO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p>
    <w:p w14:paraId="7511BD78">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其离子方程式：CuO+2H</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=Cu</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p>
    <w:p w14:paraId="0E0444E4">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③</w:t>
      </w:r>
      <w:r>
        <w:rPr>
          <w:rFonts w:hint="default" w:ascii="Times New Roman" w:hAnsi="Times New Roman" w:cs="Times New Roman"/>
          <w:color w:val="auto"/>
          <w:highlight w:val="none"/>
        </w:rPr>
        <w:t>铜的萃取</w:t>
      </w:r>
    </w:p>
    <w:p w14:paraId="6B1C9904">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带式过滤机前段的硫酸铜清液经泵送</w:t>
      </w:r>
      <w:r>
        <w:rPr>
          <w:rFonts w:hint="default" w:ascii="Times New Roman" w:hAnsi="Times New Roman" w:cs="Times New Roman"/>
          <w:color w:val="auto"/>
          <w:highlight w:val="none"/>
          <w:lang w:val="en-US" w:eastAsia="zh-CN"/>
        </w:rPr>
        <w:t>至密闭萃取罐</w:t>
      </w:r>
      <w:r>
        <w:rPr>
          <w:rFonts w:hint="default" w:ascii="Times New Roman" w:hAnsi="Times New Roman" w:cs="Times New Roman"/>
          <w:color w:val="auto"/>
          <w:highlight w:val="none"/>
        </w:rPr>
        <w:t>，有机相中的质子与水相中的铜交换，使铜被萃入到有机相中，萃取了铜的有机叫作负载有机，负载有机中的铜在反萃段被含酸160</w:t>
      </w:r>
      <w:r>
        <w:rPr>
          <w:rFonts w:hint="eastAsia" w:cs="Times New Roman"/>
          <w:color w:val="auto"/>
          <w:highlight w:val="none"/>
          <w:lang w:eastAsia="zh-CN"/>
        </w:rPr>
        <w:t>～</w:t>
      </w:r>
      <w:r>
        <w:rPr>
          <w:rFonts w:hint="default" w:ascii="Times New Roman" w:hAnsi="Times New Roman" w:cs="Times New Roman"/>
          <w:color w:val="auto"/>
          <w:highlight w:val="none"/>
        </w:rPr>
        <w:t>180g/L</w:t>
      </w:r>
      <w:r>
        <w:rPr>
          <w:rFonts w:hint="eastAsia" w:cs="Times New Roman"/>
          <w:color w:val="auto"/>
          <w:highlight w:val="none"/>
          <w:lang w:eastAsia="zh-CN"/>
        </w:rPr>
        <w:t>、</w:t>
      </w:r>
      <w:r>
        <w:rPr>
          <w:rFonts w:hint="default" w:ascii="Times New Roman" w:hAnsi="Times New Roman" w:cs="Times New Roman"/>
          <w:color w:val="auto"/>
          <w:highlight w:val="none"/>
        </w:rPr>
        <w:t>含铜30</w:t>
      </w:r>
      <w:r>
        <w:rPr>
          <w:rFonts w:hint="eastAsia" w:cs="Times New Roman"/>
          <w:color w:val="auto"/>
          <w:highlight w:val="none"/>
          <w:lang w:eastAsia="zh-CN"/>
        </w:rPr>
        <w:t>～</w:t>
      </w:r>
      <w:r>
        <w:rPr>
          <w:rFonts w:hint="default" w:ascii="Times New Roman" w:hAnsi="Times New Roman" w:cs="Times New Roman"/>
          <w:color w:val="auto"/>
          <w:highlight w:val="none"/>
        </w:rPr>
        <w:t>40g/L电贫液反萃下来，使铜再进入到水相中，反萃后的铜溶液叫作</w:t>
      </w:r>
      <w:r>
        <w:rPr>
          <w:rFonts w:hint="default" w:ascii="Times New Roman" w:hAnsi="Times New Roman" w:cs="Times New Roman"/>
          <w:color w:val="auto"/>
          <w:highlight w:val="none"/>
          <w:lang w:eastAsia="zh-CN"/>
        </w:rPr>
        <w:t>富铜液</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富铜液</w:t>
      </w:r>
      <w:r>
        <w:rPr>
          <w:rFonts w:hint="default" w:ascii="Times New Roman" w:hAnsi="Times New Roman" w:cs="Times New Roman"/>
          <w:color w:val="auto"/>
          <w:highlight w:val="none"/>
        </w:rPr>
        <w:t>含酸140</w:t>
      </w:r>
      <w:r>
        <w:rPr>
          <w:rFonts w:hint="eastAsia" w:cs="Times New Roman"/>
          <w:color w:val="auto"/>
          <w:highlight w:val="none"/>
          <w:lang w:eastAsia="zh-CN"/>
        </w:rPr>
        <w:t>～</w:t>
      </w:r>
      <w:r>
        <w:rPr>
          <w:rFonts w:hint="default" w:ascii="Times New Roman" w:hAnsi="Times New Roman" w:cs="Times New Roman"/>
          <w:color w:val="auto"/>
          <w:highlight w:val="none"/>
        </w:rPr>
        <w:t>165g/L</w:t>
      </w:r>
      <w:r>
        <w:rPr>
          <w:rFonts w:hint="eastAsia" w:cs="Times New Roman"/>
          <w:color w:val="auto"/>
          <w:highlight w:val="none"/>
          <w:lang w:eastAsia="zh-CN"/>
        </w:rPr>
        <w:t>、</w:t>
      </w:r>
      <w:r>
        <w:rPr>
          <w:rFonts w:hint="default" w:ascii="Times New Roman" w:hAnsi="Times New Roman" w:cs="Times New Roman"/>
          <w:color w:val="auto"/>
          <w:highlight w:val="none"/>
        </w:rPr>
        <w:t>含铜40</w:t>
      </w:r>
      <w:r>
        <w:rPr>
          <w:rFonts w:hint="eastAsia" w:cs="Times New Roman"/>
          <w:color w:val="auto"/>
          <w:highlight w:val="none"/>
          <w:lang w:eastAsia="zh-CN"/>
        </w:rPr>
        <w:t>～</w:t>
      </w:r>
      <w:r>
        <w:rPr>
          <w:rFonts w:hint="default" w:ascii="Times New Roman" w:hAnsi="Times New Roman" w:cs="Times New Roman"/>
          <w:color w:val="auto"/>
          <w:highlight w:val="none"/>
        </w:rPr>
        <w:t>50g/L。萃铜过程是一个产酸的过程，这部分多出来的酸以萃余液为载体，需返回浸出段作为浸出剂的补充；而反萃过程则是一个耗酸的过程，消耗的酸从电贫液中补充。</w:t>
      </w:r>
    </w:p>
    <w:p w14:paraId="7446B603">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萃铜的方程式：2RH+CuSO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=CuR</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p>
    <w:p w14:paraId="27478AB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反萃的方程式：CuR</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=2RH+CuSO</w:t>
      </w:r>
      <w:r>
        <w:rPr>
          <w:rFonts w:hint="default" w:ascii="Times New Roman" w:hAnsi="Times New Roman" w:cs="Times New Roman"/>
          <w:color w:val="auto"/>
          <w:highlight w:val="none"/>
          <w:vertAlign w:val="subscript"/>
        </w:rPr>
        <w:t>4</w:t>
      </w:r>
    </w:p>
    <w:p w14:paraId="29E38172">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④</w:t>
      </w:r>
      <w:r>
        <w:rPr>
          <w:rFonts w:hint="default" w:ascii="Times New Roman" w:hAnsi="Times New Roman" w:cs="Times New Roman"/>
          <w:color w:val="auto"/>
          <w:highlight w:val="none"/>
        </w:rPr>
        <w:t>铜的电积</w:t>
      </w:r>
    </w:p>
    <w:p w14:paraId="0A70EC35">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铜电沉积就是将Cu</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变成金属铜，其化学反应如下：</w:t>
      </w:r>
    </w:p>
    <w:p w14:paraId="09C00244">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阳极反应：H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 1/2O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+2H</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+2e</w:t>
      </w:r>
      <w:r>
        <w:rPr>
          <w:rFonts w:hint="default" w:ascii="Times New Roman" w:hAnsi="Times New Roman" w:cs="Times New Roman"/>
          <w:color w:val="auto"/>
          <w:highlight w:val="none"/>
          <w:vertAlign w:val="superscript"/>
        </w:rPr>
        <w:t>-</w:t>
      </w:r>
    </w:p>
    <w:p w14:paraId="30A8C78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阴极反应：Cu</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+2e</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→Cu</w:t>
      </w:r>
    </w:p>
    <w:p w14:paraId="42AFF93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总反应：CuSO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O=Cu+H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+1/2O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tab/>
      </w:r>
    </w:p>
    <w:p w14:paraId="04E8787B">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由反萃送来的富硫酸铜溶液进入电积槽进行电积。电积用阴极为316L不锈钢板，阳极为合金板。电积液循环方式为下进上出，控制一定的循环流量，电流密度180A/m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，槽电压2V和槽温约30~35℃，阴极铜板出铜周期约7</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10天，在电积槽中</w:t>
      </w:r>
      <w:r>
        <w:rPr>
          <w:rFonts w:hint="eastAsia" w:cs="Times New Roman"/>
          <w:color w:val="auto"/>
          <w:highlight w:val="none"/>
          <w:lang w:eastAsia="zh-CN"/>
        </w:rPr>
        <w:t>阴极</w:t>
      </w:r>
      <w:r>
        <w:rPr>
          <w:rFonts w:hint="default" w:ascii="Times New Roman" w:hAnsi="Times New Roman" w:cs="Times New Roman"/>
          <w:color w:val="auto"/>
          <w:highlight w:val="none"/>
        </w:rPr>
        <w:t>析出金属铜，阳极放出氧气。</w:t>
      </w:r>
    </w:p>
    <w:p w14:paraId="069C700C">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铜电积采用始极片工艺，尽量减少投资，采用较低的电流密度、添加酸雾抑制剂的方式，减少</w:t>
      </w:r>
      <w:r>
        <w:rPr>
          <w:rFonts w:hint="eastAsia" w:cs="Times New Roman"/>
          <w:color w:val="auto"/>
          <w:highlight w:val="none"/>
          <w:lang w:eastAsia="zh-CN"/>
        </w:rPr>
        <w:t>电积槽</w:t>
      </w:r>
      <w:r>
        <w:rPr>
          <w:rFonts w:hint="default" w:ascii="Times New Roman" w:hAnsi="Times New Roman" w:cs="Times New Roman"/>
          <w:color w:val="auto"/>
          <w:highlight w:val="none"/>
        </w:rPr>
        <w:t>酸雾的产生；本项目规模</w:t>
      </w:r>
      <w:r>
        <w:rPr>
          <w:rFonts w:hint="eastAsia" w:cs="Times New Roman"/>
          <w:color w:val="auto"/>
          <w:highlight w:val="none"/>
          <w:lang w:val="en-US" w:eastAsia="zh-CN"/>
        </w:rPr>
        <w:t>较小</w:t>
      </w:r>
      <w:r>
        <w:rPr>
          <w:rFonts w:hint="default" w:ascii="Times New Roman" w:hAnsi="Times New Roman" w:cs="Times New Roman"/>
          <w:color w:val="auto"/>
          <w:highlight w:val="none"/>
        </w:rPr>
        <w:t>，电积电流密度低，酸雾产生量很少，同时电积槽设罩都是整体式的，一槽一罩，每槽含100多块阴阳极，阴阳极间距50mm，因此不单独设罩。</w:t>
      </w:r>
    </w:p>
    <w:p w14:paraId="598448B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电积铜经过一个生产周期后得到</w:t>
      </w:r>
      <w:r>
        <w:rPr>
          <w:rFonts w:hint="eastAsia" w:cs="Times New Roman"/>
          <w:color w:val="auto"/>
          <w:highlight w:val="none"/>
          <w:lang w:eastAsia="zh-CN"/>
        </w:rPr>
        <w:t>阴极铜</w:t>
      </w:r>
      <w:r>
        <w:rPr>
          <w:rFonts w:hint="default" w:ascii="Times New Roman" w:hAnsi="Times New Roman" w:cs="Times New Roman"/>
          <w:color w:val="auto"/>
          <w:highlight w:val="none"/>
        </w:rPr>
        <w:t>，这是湿法炼铜的最终成品。经出槽，洗板，打包，入库。</w:t>
      </w:r>
    </w:p>
    <w:p w14:paraId="212E8A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p w14:paraId="3AE4F4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图3.3-</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生产工艺及产污环节图</w:t>
      </w:r>
    </w:p>
    <w:p w14:paraId="74F4B41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bookmarkStart w:id="116" w:name="_Hlk149944195"/>
      <w:r>
        <w:rPr>
          <w:rFonts w:hint="default" w:ascii="Times New Roman" w:hAnsi="Times New Roman" w:cs="Times New Roman"/>
          <w:color w:val="auto"/>
          <w:highlight w:val="none"/>
        </w:rPr>
        <w:t>3.3.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产污环节及污染因子</w:t>
      </w:r>
    </w:p>
    <w:p w14:paraId="0ED81D5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本项目生产过程中产污环节点见表3.3-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14:paraId="2305E3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0C2D2C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表3.3-</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生产过程中的产污情况</w:t>
      </w:r>
    </w:p>
    <w:bookmarkEnd w:id="116"/>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73"/>
        <w:gridCol w:w="1548"/>
        <w:gridCol w:w="2140"/>
        <w:gridCol w:w="2861"/>
        <w:gridCol w:w="1081"/>
      </w:tblGrid>
      <w:tr w14:paraId="4DC9A1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blHeader/>
          <w:jc w:val="center"/>
        </w:trPr>
        <w:tc>
          <w:tcPr>
            <w:tcW w:w="405" w:type="pct"/>
            <w:tcBorders>
              <w:tl2br w:val="nil"/>
              <w:tr2bl w:val="nil"/>
            </w:tcBorders>
            <w:vAlign w:val="center"/>
          </w:tcPr>
          <w:p w14:paraId="1D60611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bookmarkStart w:id="117" w:name="_Hlk149944338"/>
            <w:r>
              <w:rPr>
                <w:rFonts w:hint="default" w:ascii="Times New Roman" w:hAnsi="Times New Roman" w:eastAsia="宋体" w:cs="Times New Roman"/>
                <w:b/>
                <w:bCs/>
                <w:snapToGrid/>
                <w:color w:val="auto"/>
                <w:sz w:val="21"/>
                <w:szCs w:val="21"/>
                <w:highlight w:val="none"/>
              </w:rPr>
              <w:t>类别</w:t>
            </w:r>
          </w:p>
        </w:tc>
        <w:tc>
          <w:tcPr>
            <w:tcW w:w="932" w:type="pct"/>
            <w:tcBorders>
              <w:tl2br w:val="nil"/>
              <w:tr2bl w:val="nil"/>
            </w:tcBorders>
            <w:vAlign w:val="center"/>
          </w:tcPr>
          <w:p w14:paraId="01DF7D8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产生环节</w:t>
            </w:r>
          </w:p>
        </w:tc>
        <w:tc>
          <w:tcPr>
            <w:tcW w:w="1288" w:type="pct"/>
            <w:tcBorders>
              <w:tl2br w:val="nil"/>
              <w:tr2bl w:val="nil"/>
            </w:tcBorders>
            <w:vAlign w:val="center"/>
          </w:tcPr>
          <w:p w14:paraId="35F0BD0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污染物名称</w:t>
            </w:r>
          </w:p>
        </w:tc>
        <w:tc>
          <w:tcPr>
            <w:tcW w:w="1722" w:type="pct"/>
            <w:tcBorders>
              <w:tl2br w:val="nil"/>
              <w:tr2bl w:val="nil"/>
            </w:tcBorders>
            <w:vAlign w:val="center"/>
          </w:tcPr>
          <w:p w14:paraId="61DA9B2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处理方式</w:t>
            </w:r>
          </w:p>
        </w:tc>
        <w:tc>
          <w:tcPr>
            <w:tcW w:w="650" w:type="pct"/>
            <w:tcBorders>
              <w:tl2br w:val="nil"/>
              <w:tr2bl w:val="nil"/>
            </w:tcBorders>
            <w:vAlign w:val="center"/>
          </w:tcPr>
          <w:p w14:paraId="2BF1834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排放方式</w:t>
            </w:r>
          </w:p>
        </w:tc>
      </w:tr>
      <w:tr w14:paraId="1C8BB8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7" w:hRule="atLeast"/>
          <w:jc w:val="center"/>
        </w:trPr>
        <w:tc>
          <w:tcPr>
            <w:tcW w:w="405" w:type="pct"/>
            <w:vMerge w:val="restart"/>
            <w:tcBorders>
              <w:tl2br w:val="nil"/>
              <w:tr2bl w:val="nil"/>
            </w:tcBorders>
            <w:vAlign w:val="center"/>
          </w:tcPr>
          <w:p w14:paraId="30FB4ED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废气</w:t>
            </w:r>
          </w:p>
        </w:tc>
        <w:tc>
          <w:tcPr>
            <w:tcW w:w="932" w:type="pct"/>
            <w:tcBorders>
              <w:tl2br w:val="nil"/>
              <w:tr2bl w:val="nil"/>
            </w:tcBorders>
            <w:vAlign w:val="center"/>
          </w:tcPr>
          <w:p w14:paraId="0B7DF0E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破碎</w:t>
            </w:r>
          </w:p>
        </w:tc>
        <w:tc>
          <w:tcPr>
            <w:tcW w:w="1288" w:type="pct"/>
            <w:tcBorders>
              <w:tl2br w:val="nil"/>
              <w:tr2bl w:val="nil"/>
            </w:tcBorders>
            <w:vAlign w:val="center"/>
          </w:tcPr>
          <w:p w14:paraId="3E9DFCA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vertAlign w:val="subscript"/>
                <w:lang w:val="en-US" w:eastAsia="zh-CN"/>
              </w:rPr>
            </w:pPr>
            <w:r>
              <w:rPr>
                <w:rFonts w:hint="eastAsia" w:cs="Times New Roman"/>
                <w:snapToGrid/>
                <w:color w:val="auto"/>
                <w:sz w:val="21"/>
                <w:szCs w:val="21"/>
                <w:highlight w:val="none"/>
                <w:lang w:val="en-US" w:eastAsia="zh-CN"/>
              </w:rPr>
              <w:t>颗粒物</w:t>
            </w:r>
          </w:p>
        </w:tc>
        <w:tc>
          <w:tcPr>
            <w:tcW w:w="1722" w:type="pct"/>
            <w:tcBorders>
              <w:tl2br w:val="nil"/>
              <w:tr2bl w:val="nil"/>
            </w:tcBorders>
            <w:vAlign w:val="center"/>
          </w:tcPr>
          <w:p w14:paraId="5712E8D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脉冲袋式除尘器</w:t>
            </w:r>
            <w:r>
              <w:rPr>
                <w:rFonts w:hint="default" w:ascii="Times New Roman" w:hAnsi="Times New Roman" w:cs="Times New Roman"/>
                <w:snapToGrid/>
                <w:color w:val="auto"/>
                <w:sz w:val="21"/>
                <w:szCs w:val="21"/>
                <w:highlight w:val="none"/>
                <w:lang w:val="en-US" w:eastAsia="zh-CN"/>
              </w:rPr>
              <w:t>+15m高排气筒</w:t>
            </w:r>
          </w:p>
        </w:tc>
        <w:tc>
          <w:tcPr>
            <w:tcW w:w="650" w:type="pct"/>
            <w:tcBorders>
              <w:tl2br w:val="nil"/>
              <w:tr2bl w:val="nil"/>
            </w:tcBorders>
            <w:vAlign w:val="center"/>
          </w:tcPr>
          <w:p w14:paraId="58E8798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cs="Times New Roman"/>
                <w:snapToGrid/>
                <w:color w:val="auto"/>
                <w:sz w:val="21"/>
                <w:szCs w:val="21"/>
                <w:highlight w:val="none"/>
                <w:lang w:val="en-US" w:eastAsia="zh-CN"/>
              </w:rPr>
              <w:t>有组织</w:t>
            </w:r>
          </w:p>
        </w:tc>
      </w:tr>
      <w:tr w14:paraId="5D8213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7" w:hRule="atLeast"/>
          <w:jc w:val="center"/>
        </w:trPr>
        <w:tc>
          <w:tcPr>
            <w:tcW w:w="405" w:type="pct"/>
            <w:vMerge w:val="continue"/>
            <w:tcBorders>
              <w:tl2br w:val="nil"/>
              <w:tr2bl w:val="nil"/>
            </w:tcBorders>
            <w:vAlign w:val="center"/>
          </w:tcPr>
          <w:p w14:paraId="39EC65E9">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rPr>
            </w:pPr>
          </w:p>
        </w:tc>
        <w:tc>
          <w:tcPr>
            <w:tcW w:w="932" w:type="pct"/>
            <w:tcBorders>
              <w:tl2br w:val="nil"/>
              <w:tr2bl w:val="nil"/>
            </w:tcBorders>
            <w:vAlign w:val="center"/>
          </w:tcPr>
          <w:p w14:paraId="592EC15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萃取</w:t>
            </w:r>
          </w:p>
        </w:tc>
        <w:tc>
          <w:tcPr>
            <w:tcW w:w="1288" w:type="pct"/>
            <w:tcBorders>
              <w:tl2br w:val="nil"/>
              <w:tr2bl w:val="nil"/>
            </w:tcBorders>
            <w:vAlign w:val="center"/>
          </w:tcPr>
          <w:p w14:paraId="019A75B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非甲烷总烃</w:t>
            </w:r>
          </w:p>
        </w:tc>
        <w:tc>
          <w:tcPr>
            <w:tcW w:w="1722" w:type="pct"/>
            <w:vMerge w:val="restart"/>
            <w:tcBorders>
              <w:tl2br w:val="nil"/>
              <w:tr2bl w:val="nil"/>
            </w:tcBorders>
            <w:vAlign w:val="center"/>
          </w:tcPr>
          <w:p w14:paraId="78C09BD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碱液吸收塔+15m排气筒排放</w:t>
            </w:r>
          </w:p>
        </w:tc>
        <w:tc>
          <w:tcPr>
            <w:tcW w:w="650" w:type="pct"/>
            <w:vMerge w:val="restart"/>
            <w:tcBorders>
              <w:tl2br w:val="nil"/>
              <w:tr2bl w:val="nil"/>
            </w:tcBorders>
            <w:vAlign w:val="center"/>
          </w:tcPr>
          <w:p w14:paraId="51A0393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有组织</w:t>
            </w:r>
            <w:r>
              <w:rPr>
                <w:rFonts w:hint="eastAsia" w:ascii="Times New Roman" w:hAnsi="Times New Roman" w:cs="Times New Roman"/>
                <w:snapToGrid/>
                <w:color w:val="auto"/>
                <w:sz w:val="21"/>
                <w:szCs w:val="21"/>
                <w:highlight w:val="none"/>
                <w:lang w:val="en-US" w:eastAsia="zh-CN"/>
              </w:rPr>
              <w:t>+无组织</w:t>
            </w:r>
          </w:p>
        </w:tc>
      </w:tr>
      <w:tr w14:paraId="635126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7" w:hRule="atLeast"/>
          <w:jc w:val="center"/>
        </w:trPr>
        <w:tc>
          <w:tcPr>
            <w:tcW w:w="405" w:type="pct"/>
            <w:vMerge w:val="continue"/>
            <w:tcBorders>
              <w:tl2br w:val="nil"/>
              <w:tr2bl w:val="nil"/>
            </w:tcBorders>
            <w:vAlign w:val="center"/>
          </w:tcPr>
          <w:p w14:paraId="1C97AC8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p>
        </w:tc>
        <w:tc>
          <w:tcPr>
            <w:tcW w:w="932" w:type="pct"/>
            <w:tcBorders>
              <w:tl2br w:val="nil"/>
              <w:tr2bl w:val="nil"/>
            </w:tcBorders>
            <w:vAlign w:val="center"/>
          </w:tcPr>
          <w:p w14:paraId="120CC4D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电积</w:t>
            </w:r>
          </w:p>
        </w:tc>
        <w:tc>
          <w:tcPr>
            <w:tcW w:w="1288" w:type="pct"/>
            <w:tcBorders>
              <w:tl2br w:val="nil"/>
              <w:tr2bl w:val="nil"/>
            </w:tcBorders>
            <w:vAlign w:val="center"/>
          </w:tcPr>
          <w:p w14:paraId="43E58D2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硫酸雾</w:t>
            </w:r>
          </w:p>
        </w:tc>
        <w:tc>
          <w:tcPr>
            <w:tcW w:w="1722" w:type="pct"/>
            <w:vMerge w:val="continue"/>
            <w:tcBorders>
              <w:tl2br w:val="nil"/>
              <w:tr2bl w:val="nil"/>
            </w:tcBorders>
            <w:vAlign w:val="center"/>
          </w:tcPr>
          <w:p w14:paraId="087A7CD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p>
        </w:tc>
        <w:tc>
          <w:tcPr>
            <w:tcW w:w="650" w:type="pct"/>
            <w:vMerge w:val="continue"/>
            <w:tcBorders>
              <w:tl2br w:val="nil"/>
              <w:tr2bl w:val="nil"/>
            </w:tcBorders>
            <w:vAlign w:val="center"/>
          </w:tcPr>
          <w:p w14:paraId="598A5E4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p>
        </w:tc>
      </w:tr>
      <w:tr w14:paraId="65E89C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05" w:type="pct"/>
            <w:vMerge w:val="continue"/>
            <w:tcBorders>
              <w:tl2br w:val="nil"/>
              <w:tr2bl w:val="nil"/>
            </w:tcBorders>
            <w:vAlign w:val="center"/>
          </w:tcPr>
          <w:p w14:paraId="351BF84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689178C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装卸料</w:t>
            </w:r>
          </w:p>
        </w:tc>
        <w:tc>
          <w:tcPr>
            <w:tcW w:w="1288" w:type="pct"/>
            <w:tcBorders>
              <w:tl2br w:val="nil"/>
              <w:tr2bl w:val="nil"/>
            </w:tcBorders>
            <w:vAlign w:val="center"/>
          </w:tcPr>
          <w:p w14:paraId="3BDE907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TSP</w:t>
            </w:r>
          </w:p>
        </w:tc>
        <w:tc>
          <w:tcPr>
            <w:tcW w:w="1722" w:type="pct"/>
            <w:tcBorders>
              <w:tl2br w:val="nil"/>
              <w:tr2bl w:val="nil"/>
            </w:tcBorders>
            <w:vAlign w:val="center"/>
          </w:tcPr>
          <w:p w14:paraId="6A541CE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eastAsia="宋体" w:cs="Times New Roman"/>
                <w:snapToGrid/>
                <w:color w:val="auto"/>
                <w:sz w:val="21"/>
                <w:szCs w:val="21"/>
                <w:highlight w:val="none"/>
              </w:rPr>
              <w:t>洒水降尘、篷布覆盖</w:t>
            </w:r>
            <w:r>
              <w:rPr>
                <w:rFonts w:hint="default" w:ascii="Times New Roman" w:hAnsi="Times New Roman" w:eastAsia="宋体" w:cs="Times New Roman"/>
                <w:snapToGrid/>
                <w:color w:val="auto"/>
                <w:sz w:val="21"/>
                <w:szCs w:val="21"/>
                <w:highlight w:val="none"/>
                <w:lang w:eastAsia="zh-CN"/>
              </w:rPr>
              <w:t>。</w:t>
            </w:r>
          </w:p>
        </w:tc>
        <w:tc>
          <w:tcPr>
            <w:tcW w:w="650" w:type="pct"/>
            <w:tcBorders>
              <w:tl2br w:val="nil"/>
              <w:tr2bl w:val="nil"/>
            </w:tcBorders>
            <w:vAlign w:val="center"/>
          </w:tcPr>
          <w:p w14:paraId="49AB68F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无组织</w:t>
            </w:r>
          </w:p>
        </w:tc>
      </w:tr>
      <w:tr w14:paraId="1A623C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7" w:hRule="atLeast"/>
          <w:jc w:val="center"/>
        </w:trPr>
        <w:tc>
          <w:tcPr>
            <w:tcW w:w="405" w:type="pct"/>
            <w:vMerge w:val="continue"/>
            <w:tcBorders>
              <w:tl2br w:val="nil"/>
              <w:tr2bl w:val="nil"/>
            </w:tcBorders>
            <w:vAlign w:val="center"/>
          </w:tcPr>
          <w:p w14:paraId="559A4A0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67AAE39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eastAsia" w:cs="Times New Roman"/>
                <w:snapToGrid/>
                <w:color w:val="auto"/>
                <w:sz w:val="21"/>
                <w:szCs w:val="21"/>
                <w:highlight w:val="none"/>
                <w:lang w:val="en-US" w:eastAsia="zh-CN"/>
              </w:rPr>
              <w:t>硫酸储罐</w:t>
            </w:r>
          </w:p>
        </w:tc>
        <w:tc>
          <w:tcPr>
            <w:tcW w:w="1288" w:type="pct"/>
            <w:tcBorders>
              <w:tl2br w:val="nil"/>
              <w:tr2bl w:val="nil"/>
            </w:tcBorders>
            <w:vAlign w:val="center"/>
          </w:tcPr>
          <w:p w14:paraId="3A4F83E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硫酸雾</w:t>
            </w:r>
          </w:p>
        </w:tc>
        <w:tc>
          <w:tcPr>
            <w:tcW w:w="1722" w:type="pct"/>
            <w:tcBorders>
              <w:tl2br w:val="nil"/>
              <w:tr2bl w:val="nil"/>
            </w:tcBorders>
            <w:vAlign w:val="center"/>
          </w:tcPr>
          <w:p w14:paraId="2CD78E1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密闭</w:t>
            </w:r>
            <w:r>
              <w:rPr>
                <w:rFonts w:hint="default" w:ascii="Times New Roman" w:hAnsi="Times New Roman" w:cs="Times New Roman"/>
                <w:snapToGrid/>
                <w:color w:val="auto"/>
                <w:sz w:val="21"/>
                <w:szCs w:val="21"/>
                <w:highlight w:val="none"/>
                <w:lang w:val="en-US" w:eastAsia="zh-CN"/>
              </w:rPr>
              <w:t>罐</w:t>
            </w:r>
          </w:p>
        </w:tc>
        <w:tc>
          <w:tcPr>
            <w:tcW w:w="650" w:type="pct"/>
            <w:tcBorders>
              <w:tl2br w:val="nil"/>
              <w:tr2bl w:val="nil"/>
            </w:tcBorders>
            <w:vAlign w:val="center"/>
          </w:tcPr>
          <w:p w14:paraId="1C8E5CC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无组织</w:t>
            </w:r>
          </w:p>
        </w:tc>
      </w:tr>
      <w:tr w14:paraId="13DB24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405" w:type="pct"/>
            <w:vMerge w:val="continue"/>
            <w:tcBorders>
              <w:tl2br w:val="nil"/>
              <w:tr2bl w:val="nil"/>
            </w:tcBorders>
            <w:vAlign w:val="center"/>
          </w:tcPr>
          <w:p w14:paraId="4126AD5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rPr>
            </w:pPr>
          </w:p>
        </w:tc>
        <w:tc>
          <w:tcPr>
            <w:tcW w:w="932" w:type="pct"/>
            <w:tcBorders>
              <w:tl2br w:val="nil"/>
              <w:tr2bl w:val="nil"/>
            </w:tcBorders>
            <w:vAlign w:val="center"/>
          </w:tcPr>
          <w:p w14:paraId="7EF2342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尾矿库</w:t>
            </w:r>
          </w:p>
        </w:tc>
        <w:tc>
          <w:tcPr>
            <w:tcW w:w="1288" w:type="pct"/>
            <w:tcBorders>
              <w:tl2br w:val="nil"/>
              <w:tr2bl w:val="nil"/>
            </w:tcBorders>
            <w:vAlign w:val="center"/>
          </w:tcPr>
          <w:p w14:paraId="7169DA0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TSP</w:t>
            </w:r>
          </w:p>
        </w:tc>
        <w:tc>
          <w:tcPr>
            <w:tcW w:w="1722" w:type="pct"/>
            <w:tcBorders>
              <w:tl2br w:val="nil"/>
              <w:tr2bl w:val="nil"/>
            </w:tcBorders>
            <w:vAlign w:val="center"/>
          </w:tcPr>
          <w:p w14:paraId="7828A21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洒水降尘</w:t>
            </w:r>
          </w:p>
        </w:tc>
        <w:tc>
          <w:tcPr>
            <w:tcW w:w="650" w:type="pct"/>
            <w:tcBorders>
              <w:tl2br w:val="nil"/>
              <w:tr2bl w:val="nil"/>
            </w:tcBorders>
            <w:vAlign w:val="center"/>
          </w:tcPr>
          <w:p w14:paraId="7127413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无组织</w:t>
            </w:r>
          </w:p>
        </w:tc>
      </w:tr>
      <w:tr w14:paraId="279A93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67" w:hRule="atLeast"/>
          <w:jc w:val="center"/>
        </w:trPr>
        <w:tc>
          <w:tcPr>
            <w:tcW w:w="405" w:type="pct"/>
            <w:vMerge w:val="restart"/>
            <w:tcBorders>
              <w:tl2br w:val="nil"/>
              <w:tr2bl w:val="nil"/>
            </w:tcBorders>
            <w:vAlign w:val="center"/>
          </w:tcPr>
          <w:p w14:paraId="08B2464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废水</w:t>
            </w:r>
          </w:p>
        </w:tc>
        <w:tc>
          <w:tcPr>
            <w:tcW w:w="932" w:type="pct"/>
            <w:tcBorders>
              <w:tl2br w:val="nil"/>
              <w:tr2bl w:val="nil"/>
            </w:tcBorders>
            <w:vAlign w:val="center"/>
          </w:tcPr>
          <w:p w14:paraId="6BCC3879">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生活</w:t>
            </w:r>
            <w:r>
              <w:rPr>
                <w:rFonts w:hint="default" w:ascii="Times New Roman" w:hAnsi="Times New Roman" w:eastAsia="宋体" w:cs="Times New Roman"/>
                <w:snapToGrid/>
                <w:color w:val="auto"/>
                <w:sz w:val="21"/>
                <w:szCs w:val="21"/>
                <w:highlight w:val="none"/>
                <w:lang w:val="en-US" w:eastAsia="zh-CN"/>
              </w:rPr>
              <w:t>污水</w:t>
            </w:r>
          </w:p>
        </w:tc>
        <w:tc>
          <w:tcPr>
            <w:tcW w:w="1288" w:type="pct"/>
            <w:tcBorders>
              <w:tl2br w:val="nil"/>
              <w:tr2bl w:val="nil"/>
            </w:tcBorders>
            <w:vAlign w:val="center"/>
          </w:tcPr>
          <w:p w14:paraId="2ACDCE0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pacing w:val="-6"/>
                <w:sz w:val="21"/>
                <w:szCs w:val="21"/>
                <w:highlight w:val="none"/>
              </w:rPr>
              <w:t>COD、氨氮、</w:t>
            </w:r>
            <w:r>
              <w:rPr>
                <w:rFonts w:hint="default" w:ascii="Times New Roman" w:hAnsi="Times New Roman" w:eastAsia="宋体" w:cs="Times New Roman"/>
                <w:snapToGrid/>
                <w:color w:val="auto"/>
                <w:spacing w:val="-6"/>
                <w:sz w:val="21"/>
                <w:szCs w:val="21"/>
                <w:highlight w:val="none"/>
                <w:lang w:val="en-US" w:eastAsia="zh-CN"/>
              </w:rPr>
              <w:t>SS</w:t>
            </w:r>
            <w:r>
              <w:rPr>
                <w:rFonts w:hint="default" w:ascii="Times New Roman" w:hAnsi="Times New Roman" w:eastAsia="宋体" w:cs="Times New Roman"/>
                <w:snapToGrid/>
                <w:color w:val="auto"/>
                <w:spacing w:val="-6"/>
                <w:sz w:val="21"/>
                <w:szCs w:val="21"/>
                <w:highlight w:val="none"/>
              </w:rPr>
              <w:t>、</w:t>
            </w:r>
            <w:r>
              <w:rPr>
                <w:rFonts w:hint="default" w:ascii="Times New Roman" w:hAnsi="Times New Roman" w:eastAsia="宋体" w:cs="Times New Roman"/>
                <w:snapToGrid/>
                <w:color w:val="auto"/>
                <w:spacing w:val="-6"/>
                <w:sz w:val="21"/>
                <w:szCs w:val="21"/>
                <w:highlight w:val="none"/>
                <w:lang w:val="en-US" w:eastAsia="zh-CN"/>
              </w:rPr>
              <w:t>BOD</w:t>
            </w:r>
            <w:r>
              <w:rPr>
                <w:rFonts w:hint="eastAsia" w:cs="Times New Roman"/>
                <w:snapToGrid/>
                <w:color w:val="auto"/>
                <w:spacing w:val="-6"/>
                <w:sz w:val="21"/>
                <w:szCs w:val="21"/>
                <w:highlight w:val="none"/>
                <w:vertAlign w:val="subscript"/>
                <w:lang w:val="en-US" w:eastAsia="zh-CN"/>
              </w:rPr>
              <w:t>5</w:t>
            </w:r>
            <w:r>
              <w:rPr>
                <w:rFonts w:hint="default" w:ascii="Times New Roman" w:hAnsi="Times New Roman" w:eastAsia="宋体" w:cs="Times New Roman"/>
                <w:snapToGrid/>
                <w:color w:val="auto"/>
                <w:spacing w:val="-6"/>
                <w:sz w:val="21"/>
                <w:szCs w:val="21"/>
                <w:highlight w:val="none"/>
              </w:rPr>
              <w:t>等</w:t>
            </w:r>
          </w:p>
        </w:tc>
        <w:tc>
          <w:tcPr>
            <w:tcW w:w="1722" w:type="pct"/>
            <w:tcBorders>
              <w:tl2br w:val="nil"/>
              <w:tr2bl w:val="nil"/>
            </w:tcBorders>
            <w:vAlign w:val="center"/>
          </w:tcPr>
          <w:p w14:paraId="407C4F4B">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排入化粪池后定期清掏</w:t>
            </w:r>
          </w:p>
        </w:tc>
        <w:tc>
          <w:tcPr>
            <w:tcW w:w="650" w:type="pct"/>
            <w:tcBorders>
              <w:tl2br w:val="nil"/>
              <w:tr2bl w:val="nil"/>
            </w:tcBorders>
            <w:vAlign w:val="center"/>
          </w:tcPr>
          <w:p w14:paraId="015A5B0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cs="Times New Roman"/>
                <w:snapToGrid/>
                <w:color w:val="auto"/>
                <w:sz w:val="21"/>
                <w:szCs w:val="21"/>
                <w:highlight w:val="none"/>
                <w:lang w:val="en-US" w:eastAsia="zh-CN"/>
              </w:rPr>
              <w:t>不外排</w:t>
            </w:r>
          </w:p>
        </w:tc>
      </w:tr>
      <w:tr w14:paraId="21460E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67" w:hRule="atLeast"/>
          <w:jc w:val="center"/>
        </w:trPr>
        <w:tc>
          <w:tcPr>
            <w:tcW w:w="405" w:type="pct"/>
            <w:vMerge w:val="continue"/>
            <w:tcBorders>
              <w:tl2br w:val="nil"/>
              <w:tr2bl w:val="nil"/>
            </w:tcBorders>
            <w:vAlign w:val="center"/>
          </w:tcPr>
          <w:p w14:paraId="2DB537C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highlight w:val="none"/>
              </w:rPr>
            </w:pPr>
          </w:p>
        </w:tc>
        <w:tc>
          <w:tcPr>
            <w:tcW w:w="932" w:type="pct"/>
            <w:tcBorders>
              <w:tl2br w:val="nil"/>
              <w:tr2bl w:val="nil"/>
            </w:tcBorders>
            <w:vAlign w:val="center"/>
          </w:tcPr>
          <w:p w14:paraId="3C19714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生产废水</w:t>
            </w:r>
          </w:p>
        </w:tc>
        <w:tc>
          <w:tcPr>
            <w:tcW w:w="1288" w:type="pct"/>
            <w:tcBorders>
              <w:tl2br w:val="nil"/>
              <w:tr2bl w:val="nil"/>
            </w:tcBorders>
            <w:vAlign w:val="center"/>
          </w:tcPr>
          <w:p w14:paraId="3797DAC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w:t>
            </w:r>
          </w:p>
        </w:tc>
        <w:tc>
          <w:tcPr>
            <w:tcW w:w="1722" w:type="pct"/>
            <w:tcBorders>
              <w:tl2br w:val="nil"/>
              <w:tr2bl w:val="nil"/>
            </w:tcBorders>
            <w:vAlign w:val="center"/>
          </w:tcPr>
          <w:p w14:paraId="05B269F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循环使用</w:t>
            </w:r>
          </w:p>
        </w:tc>
        <w:tc>
          <w:tcPr>
            <w:tcW w:w="650" w:type="pct"/>
            <w:tcBorders>
              <w:tl2br w:val="nil"/>
              <w:tr2bl w:val="nil"/>
            </w:tcBorders>
            <w:vAlign w:val="center"/>
          </w:tcPr>
          <w:p w14:paraId="654DD6E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不外排</w:t>
            </w:r>
          </w:p>
        </w:tc>
      </w:tr>
      <w:tr w14:paraId="5DAE95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05" w:type="pct"/>
            <w:tcBorders>
              <w:tl2br w:val="nil"/>
              <w:tr2bl w:val="nil"/>
            </w:tcBorders>
            <w:vAlign w:val="center"/>
          </w:tcPr>
          <w:p w14:paraId="70935E8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噪声</w:t>
            </w:r>
          </w:p>
        </w:tc>
        <w:tc>
          <w:tcPr>
            <w:tcW w:w="932" w:type="pct"/>
            <w:tcBorders>
              <w:tl2br w:val="nil"/>
              <w:tr2bl w:val="nil"/>
            </w:tcBorders>
            <w:vAlign w:val="center"/>
          </w:tcPr>
          <w:p w14:paraId="5FD41AD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cs="Times New Roman"/>
                <w:snapToGrid/>
                <w:color w:val="auto"/>
                <w:sz w:val="21"/>
                <w:szCs w:val="21"/>
                <w:highlight w:val="none"/>
                <w:lang w:val="en-US" w:eastAsia="zh-CN"/>
              </w:rPr>
              <w:t>破碎</w:t>
            </w:r>
            <w:r>
              <w:rPr>
                <w:rFonts w:hint="default" w:ascii="Times New Roman" w:hAnsi="Times New Roman" w:eastAsia="宋体" w:cs="Times New Roman"/>
                <w:snapToGrid/>
                <w:color w:val="auto"/>
                <w:sz w:val="21"/>
                <w:szCs w:val="21"/>
                <w:highlight w:val="none"/>
              </w:rPr>
              <w:t>、装卸料</w:t>
            </w:r>
          </w:p>
        </w:tc>
        <w:tc>
          <w:tcPr>
            <w:tcW w:w="1288" w:type="pct"/>
            <w:tcBorders>
              <w:tl2br w:val="nil"/>
              <w:tr2bl w:val="nil"/>
            </w:tcBorders>
            <w:vAlign w:val="center"/>
          </w:tcPr>
          <w:p w14:paraId="401D8E5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等效A声级</w:t>
            </w:r>
          </w:p>
        </w:tc>
        <w:tc>
          <w:tcPr>
            <w:tcW w:w="1722" w:type="pct"/>
            <w:tcBorders>
              <w:tl2br w:val="nil"/>
              <w:tr2bl w:val="nil"/>
            </w:tcBorders>
            <w:vAlign w:val="center"/>
          </w:tcPr>
          <w:p w14:paraId="590A94E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eastAsia="宋体" w:cs="Times New Roman"/>
                <w:snapToGrid/>
                <w:color w:val="auto"/>
                <w:sz w:val="21"/>
                <w:szCs w:val="21"/>
                <w:highlight w:val="none"/>
              </w:rPr>
              <w:t>采用低噪设备，主要产噪设备安装隔声罩、</w:t>
            </w:r>
            <w:r>
              <w:rPr>
                <w:rFonts w:hint="eastAsia" w:cs="Times New Roman"/>
                <w:snapToGrid/>
                <w:color w:val="auto"/>
                <w:sz w:val="21"/>
                <w:szCs w:val="21"/>
                <w:highlight w:val="none"/>
                <w:lang w:eastAsia="zh-CN"/>
              </w:rPr>
              <w:t>减振</w:t>
            </w:r>
            <w:r>
              <w:rPr>
                <w:rFonts w:hint="default" w:ascii="Times New Roman" w:hAnsi="Times New Roman" w:eastAsia="宋体" w:cs="Times New Roman"/>
                <w:snapToGrid/>
                <w:color w:val="auto"/>
                <w:sz w:val="21"/>
                <w:szCs w:val="21"/>
                <w:highlight w:val="none"/>
              </w:rPr>
              <w:t>座</w:t>
            </w:r>
            <w:r>
              <w:rPr>
                <w:rFonts w:hint="default" w:ascii="Times New Roman" w:hAnsi="Times New Roman" w:eastAsia="宋体" w:cs="Times New Roman"/>
                <w:snapToGrid/>
                <w:color w:val="auto"/>
                <w:sz w:val="21"/>
                <w:szCs w:val="21"/>
                <w:highlight w:val="none"/>
                <w:lang w:eastAsia="zh-CN"/>
              </w:rPr>
              <w:t>。</w:t>
            </w:r>
          </w:p>
        </w:tc>
        <w:tc>
          <w:tcPr>
            <w:tcW w:w="650" w:type="pct"/>
            <w:tcBorders>
              <w:tl2br w:val="nil"/>
              <w:tr2bl w:val="nil"/>
            </w:tcBorders>
            <w:vAlign w:val="center"/>
          </w:tcPr>
          <w:p w14:paraId="7682C6F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w:t>
            </w:r>
          </w:p>
        </w:tc>
      </w:tr>
      <w:tr w14:paraId="13CC79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405" w:type="pct"/>
            <w:vMerge w:val="restart"/>
            <w:tcBorders>
              <w:tl2br w:val="nil"/>
              <w:tr2bl w:val="nil"/>
            </w:tcBorders>
            <w:vAlign w:val="center"/>
          </w:tcPr>
          <w:p w14:paraId="2C0192A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固废</w:t>
            </w:r>
          </w:p>
        </w:tc>
        <w:tc>
          <w:tcPr>
            <w:tcW w:w="932" w:type="pct"/>
            <w:tcBorders>
              <w:tl2br w:val="nil"/>
              <w:tr2bl w:val="nil"/>
            </w:tcBorders>
            <w:vAlign w:val="center"/>
          </w:tcPr>
          <w:p w14:paraId="5D9927F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破碎</w:t>
            </w:r>
          </w:p>
        </w:tc>
        <w:tc>
          <w:tcPr>
            <w:tcW w:w="1288" w:type="pct"/>
            <w:tcBorders>
              <w:tl2br w:val="nil"/>
              <w:tr2bl w:val="nil"/>
            </w:tcBorders>
            <w:vAlign w:val="center"/>
          </w:tcPr>
          <w:p w14:paraId="7F96C29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粉尘</w:t>
            </w:r>
          </w:p>
        </w:tc>
        <w:tc>
          <w:tcPr>
            <w:tcW w:w="2373" w:type="pct"/>
            <w:gridSpan w:val="2"/>
            <w:tcBorders>
              <w:tl2br w:val="nil"/>
              <w:tr2bl w:val="nil"/>
            </w:tcBorders>
            <w:vAlign w:val="center"/>
          </w:tcPr>
          <w:p w14:paraId="18E5054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回用于生产</w:t>
            </w:r>
          </w:p>
        </w:tc>
      </w:tr>
      <w:tr w14:paraId="5A2139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405" w:type="pct"/>
            <w:vMerge w:val="continue"/>
            <w:tcBorders>
              <w:tl2br w:val="nil"/>
              <w:tr2bl w:val="nil"/>
            </w:tcBorders>
            <w:vAlign w:val="center"/>
          </w:tcPr>
          <w:p w14:paraId="00513AA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2CC27AD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浸出</w:t>
            </w:r>
          </w:p>
        </w:tc>
        <w:tc>
          <w:tcPr>
            <w:tcW w:w="1288" w:type="pct"/>
            <w:tcBorders>
              <w:tl2br w:val="nil"/>
              <w:tr2bl w:val="nil"/>
            </w:tcBorders>
            <w:vAlign w:val="center"/>
          </w:tcPr>
          <w:p w14:paraId="22C8F9F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eastAsia" w:cs="Times New Roman"/>
                <w:snapToGrid/>
                <w:color w:val="auto"/>
                <w:sz w:val="21"/>
                <w:szCs w:val="21"/>
                <w:highlight w:val="none"/>
                <w:lang w:val="en-US" w:eastAsia="zh-CN"/>
              </w:rPr>
              <w:t>浸出渣</w:t>
            </w:r>
          </w:p>
        </w:tc>
        <w:tc>
          <w:tcPr>
            <w:tcW w:w="2373" w:type="pct"/>
            <w:gridSpan w:val="2"/>
            <w:tcBorders>
              <w:tl2br w:val="nil"/>
              <w:tr2bl w:val="nil"/>
            </w:tcBorders>
            <w:vAlign w:val="center"/>
          </w:tcPr>
          <w:p w14:paraId="0624372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eastAsia="宋体" w:cs="Times New Roman"/>
                <w:snapToGrid/>
                <w:color w:val="auto"/>
                <w:sz w:val="21"/>
                <w:szCs w:val="21"/>
                <w:highlight w:val="none"/>
              </w:rPr>
              <w:t>外售下游企业，未出售时暂存于尾矿库</w:t>
            </w:r>
          </w:p>
        </w:tc>
      </w:tr>
      <w:tr w14:paraId="666DD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05" w:type="pct"/>
            <w:vMerge w:val="continue"/>
            <w:tcBorders>
              <w:tl2br w:val="nil"/>
              <w:tr2bl w:val="nil"/>
            </w:tcBorders>
            <w:vAlign w:val="center"/>
          </w:tcPr>
          <w:p w14:paraId="19D6DDFB">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3690B26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生活</w:t>
            </w:r>
          </w:p>
        </w:tc>
        <w:tc>
          <w:tcPr>
            <w:tcW w:w="1288" w:type="pct"/>
            <w:tcBorders>
              <w:tl2br w:val="nil"/>
              <w:tr2bl w:val="nil"/>
            </w:tcBorders>
            <w:vAlign w:val="center"/>
          </w:tcPr>
          <w:p w14:paraId="4F8A8C8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生活垃圾</w:t>
            </w:r>
          </w:p>
        </w:tc>
        <w:tc>
          <w:tcPr>
            <w:tcW w:w="2373" w:type="pct"/>
            <w:gridSpan w:val="2"/>
            <w:tcBorders>
              <w:tl2br w:val="nil"/>
              <w:tr2bl w:val="nil"/>
            </w:tcBorders>
            <w:vAlign w:val="center"/>
          </w:tcPr>
          <w:p w14:paraId="678494F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eastAsia" w:cs="Times New Roman"/>
                <w:snapToGrid/>
                <w:color w:val="auto"/>
                <w:sz w:val="21"/>
                <w:szCs w:val="21"/>
                <w:highlight w:val="none"/>
                <w:lang w:val="en-US" w:eastAsia="zh-CN"/>
              </w:rPr>
              <w:t>集中收集于</w:t>
            </w:r>
            <w:r>
              <w:rPr>
                <w:rFonts w:hint="default" w:ascii="Times New Roman" w:hAnsi="Times New Roman" w:eastAsia="宋体" w:cs="Times New Roman"/>
                <w:snapToGrid/>
                <w:color w:val="auto"/>
                <w:sz w:val="21"/>
                <w:szCs w:val="21"/>
                <w:highlight w:val="none"/>
              </w:rPr>
              <w:t>生活垃圾箱，</w:t>
            </w:r>
            <w:r>
              <w:rPr>
                <w:rFonts w:hint="eastAsia" w:cs="Times New Roman"/>
                <w:snapToGrid/>
                <w:color w:val="auto"/>
                <w:sz w:val="21"/>
                <w:szCs w:val="21"/>
                <w:highlight w:val="none"/>
                <w:lang w:val="en-US" w:eastAsia="zh-CN"/>
              </w:rPr>
              <w:t>由环卫部门</w:t>
            </w:r>
            <w:r>
              <w:rPr>
                <w:rFonts w:hint="default" w:ascii="Times New Roman" w:hAnsi="Times New Roman" w:eastAsia="宋体" w:cs="Times New Roman"/>
                <w:snapToGrid/>
                <w:color w:val="auto"/>
                <w:sz w:val="21"/>
                <w:szCs w:val="21"/>
                <w:highlight w:val="none"/>
              </w:rPr>
              <w:t>定期清运至垃圾填埋场进行处置</w:t>
            </w:r>
            <w:r>
              <w:rPr>
                <w:rFonts w:hint="default" w:ascii="Times New Roman" w:hAnsi="Times New Roman" w:eastAsia="宋体" w:cs="Times New Roman"/>
                <w:snapToGrid/>
                <w:color w:val="auto"/>
                <w:sz w:val="21"/>
                <w:szCs w:val="21"/>
                <w:highlight w:val="none"/>
                <w:lang w:eastAsia="zh-CN"/>
              </w:rPr>
              <w:t>。</w:t>
            </w:r>
          </w:p>
        </w:tc>
      </w:tr>
      <w:tr w14:paraId="4BA5B7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405" w:type="pct"/>
            <w:vMerge w:val="continue"/>
            <w:tcBorders>
              <w:tl2br w:val="nil"/>
              <w:tr2bl w:val="nil"/>
            </w:tcBorders>
            <w:vAlign w:val="center"/>
          </w:tcPr>
          <w:p w14:paraId="738EE9D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48D7B66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萃取-电积</w:t>
            </w:r>
            <w:r>
              <w:rPr>
                <w:rFonts w:hint="default" w:ascii="Times New Roman" w:hAnsi="Times New Roman" w:cs="Times New Roman"/>
                <w:snapToGrid/>
                <w:color w:val="auto"/>
                <w:sz w:val="21"/>
                <w:szCs w:val="21"/>
                <w:highlight w:val="none"/>
                <w:lang w:eastAsia="zh-CN"/>
              </w:rPr>
              <w:t>、</w:t>
            </w:r>
            <w:r>
              <w:rPr>
                <w:rFonts w:hint="default" w:ascii="Times New Roman" w:hAnsi="Times New Roman" w:eastAsia="宋体" w:cs="Times New Roman"/>
                <w:snapToGrid/>
                <w:color w:val="auto"/>
                <w:sz w:val="21"/>
                <w:szCs w:val="21"/>
                <w:highlight w:val="none"/>
              </w:rPr>
              <w:t>设备维护</w:t>
            </w:r>
            <w:r>
              <w:rPr>
                <w:rFonts w:hint="default" w:ascii="Times New Roman" w:hAnsi="Times New Roman" w:cs="Times New Roman"/>
                <w:snapToGrid/>
                <w:color w:val="auto"/>
                <w:sz w:val="21"/>
                <w:szCs w:val="21"/>
                <w:highlight w:val="none"/>
                <w:lang w:eastAsia="zh-CN"/>
              </w:rPr>
              <w:t>、</w:t>
            </w:r>
            <w:r>
              <w:rPr>
                <w:rFonts w:hint="default" w:ascii="Times New Roman" w:hAnsi="Times New Roman" w:cs="Times New Roman"/>
                <w:snapToGrid/>
                <w:color w:val="auto"/>
                <w:sz w:val="21"/>
                <w:szCs w:val="21"/>
                <w:highlight w:val="none"/>
                <w:lang w:val="en-US" w:eastAsia="zh-CN"/>
              </w:rPr>
              <w:t>废气处理</w:t>
            </w:r>
          </w:p>
        </w:tc>
        <w:tc>
          <w:tcPr>
            <w:tcW w:w="1288" w:type="pct"/>
            <w:tcBorders>
              <w:tl2br w:val="nil"/>
              <w:tr2bl w:val="nil"/>
            </w:tcBorders>
            <w:vAlign w:val="center"/>
          </w:tcPr>
          <w:p w14:paraId="317F5E09">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废机油、</w:t>
            </w:r>
            <w:r>
              <w:rPr>
                <w:rFonts w:hint="eastAsia" w:cs="Times New Roman"/>
                <w:snapToGrid/>
                <w:color w:val="auto"/>
                <w:sz w:val="21"/>
                <w:szCs w:val="21"/>
                <w:highlight w:val="none"/>
                <w:lang w:eastAsia="zh-CN"/>
              </w:rPr>
              <w:t>空油桶</w:t>
            </w:r>
            <w:r>
              <w:rPr>
                <w:rFonts w:hint="default" w:ascii="Times New Roman" w:hAnsi="Times New Roman" w:eastAsia="宋体" w:cs="Times New Roman"/>
                <w:snapToGrid/>
                <w:color w:val="auto"/>
                <w:sz w:val="21"/>
                <w:szCs w:val="21"/>
                <w:highlight w:val="none"/>
              </w:rPr>
              <w:t>、</w:t>
            </w:r>
            <w:r>
              <w:rPr>
                <w:rFonts w:hint="eastAsia" w:cs="Times New Roman"/>
                <w:snapToGrid/>
                <w:color w:val="auto"/>
                <w:sz w:val="21"/>
                <w:szCs w:val="21"/>
                <w:highlight w:val="none"/>
                <w:lang w:val="en-US" w:eastAsia="zh-CN"/>
              </w:rPr>
              <w:t>废布袋、氢氧化钠包装袋</w:t>
            </w:r>
          </w:p>
        </w:tc>
        <w:tc>
          <w:tcPr>
            <w:tcW w:w="2373" w:type="pct"/>
            <w:gridSpan w:val="2"/>
            <w:tcBorders>
              <w:tl2br w:val="nil"/>
              <w:tr2bl w:val="nil"/>
            </w:tcBorders>
            <w:vAlign w:val="center"/>
          </w:tcPr>
          <w:p w14:paraId="4A56BD7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eastAsia="宋体" w:cs="Times New Roman"/>
                <w:snapToGrid/>
                <w:color w:val="auto"/>
                <w:sz w:val="21"/>
                <w:szCs w:val="21"/>
                <w:highlight w:val="none"/>
                <w:lang w:val="en-US" w:eastAsia="zh-CN"/>
              </w:rPr>
              <w:t>危废暂存后定期交由有</w:t>
            </w:r>
            <w:r>
              <w:rPr>
                <w:rFonts w:hint="default" w:ascii="Times New Roman" w:hAnsi="Times New Roman" w:eastAsia="宋体" w:cs="Times New Roman"/>
                <w:snapToGrid/>
                <w:color w:val="auto"/>
                <w:sz w:val="21"/>
                <w:szCs w:val="21"/>
                <w:highlight w:val="none"/>
              </w:rPr>
              <w:t>资质单位处置</w:t>
            </w:r>
            <w:r>
              <w:rPr>
                <w:rFonts w:hint="default" w:ascii="Times New Roman" w:hAnsi="Times New Roman" w:eastAsia="宋体" w:cs="Times New Roman"/>
                <w:snapToGrid/>
                <w:color w:val="auto"/>
                <w:sz w:val="21"/>
                <w:szCs w:val="21"/>
                <w:highlight w:val="none"/>
                <w:lang w:eastAsia="zh-CN"/>
              </w:rPr>
              <w:t>。</w:t>
            </w:r>
          </w:p>
        </w:tc>
      </w:tr>
      <w:bookmarkEnd w:id="117"/>
    </w:tbl>
    <w:p w14:paraId="3B273A80">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118" w:name="_Toc27588"/>
      <w:bookmarkStart w:id="119" w:name="_Toc18925"/>
      <w:r>
        <w:rPr>
          <w:rFonts w:hint="default" w:ascii="Times New Roman" w:hAnsi="Times New Roman" w:eastAsia="宋体" w:cs="Times New Roman"/>
          <w:color w:val="auto"/>
          <w:highlight w:val="none"/>
          <w:lang w:val="en-US" w:eastAsia="zh-CN"/>
        </w:rPr>
        <w:t>3.4</w:t>
      </w:r>
      <w:r>
        <w:rPr>
          <w:rFonts w:hint="default" w:ascii="Times New Roman" w:hAnsi="Times New Roman" w:eastAsia="宋体" w:cs="Times New Roman"/>
          <w:color w:val="auto"/>
          <w:highlight w:val="none"/>
        </w:rPr>
        <w:t xml:space="preserve"> 污染源源强分析</w:t>
      </w:r>
      <w:bookmarkEnd w:id="118"/>
      <w:bookmarkEnd w:id="119"/>
    </w:p>
    <w:p w14:paraId="031604B4">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bookmarkStart w:id="120" w:name="_Hlk150370614"/>
      <w:bookmarkStart w:id="121" w:name="_Hlk149944681"/>
      <w:bookmarkStart w:id="122" w:name="_Hlk150728222"/>
      <w:r>
        <w:rPr>
          <w:rFonts w:hint="eastAsia" w:cs="Times New Roman"/>
          <w:color w:val="auto"/>
          <w:highlight w:val="none"/>
          <w:lang w:val="en-US" w:eastAsia="zh-CN"/>
        </w:rPr>
        <w:t>3.4.1</w:t>
      </w:r>
      <w:r>
        <w:rPr>
          <w:rFonts w:hint="default" w:ascii="Times New Roman" w:hAnsi="Times New Roman" w:eastAsia="宋体" w:cs="Times New Roman"/>
          <w:color w:val="auto"/>
          <w:highlight w:val="none"/>
        </w:rPr>
        <w:t>污染源</w:t>
      </w:r>
      <w:r>
        <w:rPr>
          <w:rFonts w:hint="default" w:ascii="Times New Roman" w:hAnsi="Times New Roman" w:eastAsia="宋体" w:cs="Times New Roman"/>
          <w:color w:val="auto"/>
          <w:highlight w:val="none"/>
          <w:lang w:val="en-US" w:eastAsia="zh-CN"/>
        </w:rPr>
        <w:t>源强核算</w:t>
      </w:r>
    </w:p>
    <w:p w14:paraId="5ACCE15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2" w:firstLineChars="200"/>
        <w:textAlignment w:val="auto"/>
        <w:rPr>
          <w:rFonts w:hint="default" w:ascii="Times New Roman" w:hAnsi="Times New Roman" w:cs="Times New Roman"/>
          <w:b/>
          <w:bCs/>
          <w:color w:val="auto"/>
          <w:kern w:val="0"/>
          <w:szCs w:val="28"/>
          <w:highlight w:val="none"/>
        </w:rPr>
      </w:pPr>
      <w:r>
        <w:rPr>
          <w:rFonts w:hint="eastAsia" w:cs="Times New Roman"/>
          <w:b/>
          <w:bCs/>
          <w:color w:val="auto"/>
          <w:kern w:val="0"/>
          <w:szCs w:val="28"/>
          <w:highlight w:val="none"/>
          <w:lang w:eastAsia="zh-CN"/>
        </w:rPr>
        <w:t>3.4.1</w:t>
      </w:r>
      <w:r>
        <w:rPr>
          <w:rFonts w:hint="default" w:ascii="Times New Roman" w:hAnsi="Times New Roman" w:cs="Times New Roman"/>
          <w:b/>
          <w:bCs/>
          <w:color w:val="auto"/>
          <w:kern w:val="0"/>
          <w:szCs w:val="28"/>
          <w:highlight w:val="none"/>
          <w:lang w:val="en-US" w:eastAsia="zh-CN"/>
        </w:rPr>
        <w:t>.1</w:t>
      </w:r>
      <w:r>
        <w:rPr>
          <w:rFonts w:hint="default" w:ascii="Times New Roman" w:hAnsi="Times New Roman" w:cs="Times New Roman"/>
          <w:b/>
          <w:bCs/>
          <w:color w:val="auto"/>
          <w:kern w:val="0"/>
          <w:szCs w:val="28"/>
          <w:highlight w:val="none"/>
        </w:rPr>
        <w:t>废气</w:t>
      </w:r>
    </w:p>
    <w:bookmarkEnd w:id="120"/>
    <w:bookmarkEnd w:id="121"/>
    <w:p w14:paraId="5C77778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rPr>
      </w:pPr>
      <w:bookmarkStart w:id="123" w:name="_Hlk149944782"/>
      <w:bookmarkStart w:id="124" w:name="_Hlk149944897"/>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1</w:t>
      </w: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破碎</w:t>
      </w:r>
      <w:r>
        <w:rPr>
          <w:rFonts w:hint="default" w:ascii="Times New Roman" w:hAnsi="Times New Roman" w:cs="Times New Roman"/>
          <w:color w:val="auto"/>
          <w:kern w:val="0"/>
          <w:szCs w:val="28"/>
          <w:highlight w:val="none"/>
        </w:rPr>
        <w:t>废气</w:t>
      </w:r>
    </w:p>
    <w:p w14:paraId="7AE677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snapToGrid w:val="0"/>
          <w:color w:val="auto"/>
          <w:kern w:val="0"/>
          <w:sz w:val="24"/>
          <w:highlight w:val="none"/>
        </w:rPr>
        <w:t>根据《污染</w:t>
      </w:r>
      <w:r>
        <w:rPr>
          <w:rFonts w:hint="default" w:ascii="Times New Roman" w:hAnsi="Times New Roman" w:eastAsia="宋体" w:cs="Times New Roman"/>
          <w:color w:val="auto"/>
          <w:kern w:val="0"/>
          <w:sz w:val="24"/>
          <w:szCs w:val="24"/>
          <w:highlight w:val="none"/>
          <w:lang w:eastAsia="zh-CN" w:bidi="ar"/>
        </w:rPr>
        <w:t>源源</w:t>
      </w:r>
      <w:r>
        <w:rPr>
          <w:rFonts w:hint="default" w:ascii="Times New Roman" w:hAnsi="Times New Roman" w:cs="Times New Roman"/>
          <w:snapToGrid w:val="0"/>
          <w:color w:val="auto"/>
          <w:kern w:val="0"/>
          <w:sz w:val="24"/>
          <w:highlight w:val="none"/>
        </w:rPr>
        <w:t>强核算技术指南</w:t>
      </w:r>
      <w:r>
        <w:rPr>
          <w:rFonts w:hint="default" w:ascii="Times New Roman" w:hAnsi="Times New Roman" w:cs="Times New Roman"/>
          <w:snapToGrid w:val="0"/>
          <w:color w:val="auto"/>
          <w:kern w:val="0"/>
          <w:sz w:val="24"/>
          <w:highlight w:val="none"/>
          <w:lang w:val="en-US" w:eastAsia="zh-CN"/>
        </w:rPr>
        <w:t xml:space="preserve"> </w:t>
      </w:r>
      <w:r>
        <w:rPr>
          <w:rFonts w:hint="default" w:ascii="Times New Roman" w:hAnsi="Times New Roman" w:cs="Times New Roman"/>
          <w:snapToGrid w:val="0"/>
          <w:color w:val="auto"/>
          <w:kern w:val="0"/>
          <w:sz w:val="24"/>
          <w:highlight w:val="none"/>
        </w:rPr>
        <w:t>准则》（HJ884-2018），破</w:t>
      </w:r>
      <w:r>
        <w:rPr>
          <w:rFonts w:hint="default" w:ascii="Times New Roman" w:hAnsi="Times New Roman" w:eastAsia="宋体" w:cs="Times New Roman"/>
          <w:snapToGrid w:val="0"/>
          <w:color w:val="auto"/>
          <w:kern w:val="0"/>
          <w:sz w:val="24"/>
          <w:highlight w:val="none"/>
        </w:rPr>
        <w:t>碎粉尘</w:t>
      </w:r>
      <w:r>
        <w:rPr>
          <w:rFonts w:hint="default" w:ascii="Times New Roman" w:hAnsi="Times New Roman" w:cs="Times New Roman"/>
          <w:snapToGrid w:val="0"/>
          <w:color w:val="auto"/>
          <w:kern w:val="0"/>
          <w:sz w:val="24"/>
          <w:highlight w:val="none"/>
        </w:rPr>
        <w:t>产生量采用系数法。</w:t>
      </w:r>
      <w:r>
        <w:rPr>
          <w:rFonts w:hint="default" w:ascii="Times New Roman" w:hAnsi="Times New Roman" w:cs="Times New Roman"/>
          <w:color w:val="auto"/>
          <w:sz w:val="24"/>
          <w:highlight w:val="none"/>
        </w:rPr>
        <w:t>参</w:t>
      </w:r>
      <w:r>
        <w:rPr>
          <w:rFonts w:hint="default" w:ascii="Times New Roman" w:hAnsi="Times New Roman" w:cs="Times New Roman"/>
          <w:color w:val="auto"/>
          <w:sz w:val="24"/>
          <w:highlight w:val="none"/>
          <w:lang w:val="en-US" w:eastAsia="zh-CN"/>
        </w:rPr>
        <w:t>照</w:t>
      </w:r>
      <w:r>
        <w:rPr>
          <w:rFonts w:hint="default" w:ascii="Times New Roman" w:hAnsi="Times New Roman" w:cs="Times New Roman"/>
          <w:color w:val="auto"/>
          <w:sz w:val="24"/>
          <w:highlight w:val="none"/>
        </w:rPr>
        <w:t>《</w:t>
      </w:r>
      <w:bookmarkStart w:id="125" w:name="OLE_LINK47"/>
      <w:r>
        <w:rPr>
          <w:rFonts w:hint="default" w:ascii="Times New Roman" w:hAnsi="Times New Roman" w:cs="Times New Roman"/>
          <w:color w:val="auto"/>
          <w:sz w:val="24"/>
          <w:highlight w:val="none"/>
        </w:rPr>
        <w:t>逸散性工业粉尘控制技术</w:t>
      </w:r>
      <w:bookmarkEnd w:id="125"/>
      <w:r>
        <w:rPr>
          <w:rFonts w:hint="default" w:ascii="Times New Roman" w:hAnsi="Times New Roman" w:cs="Times New Roman"/>
          <w:color w:val="auto"/>
          <w:sz w:val="24"/>
          <w:highlight w:val="none"/>
        </w:rPr>
        <w:t>》</w:t>
      </w:r>
      <w:r>
        <w:rPr>
          <w:rFonts w:hint="eastAsia" w:cs="Times New Roman"/>
          <w:color w:val="auto"/>
          <w:sz w:val="24"/>
          <w:highlight w:val="none"/>
          <w:lang w:eastAsia="zh-CN"/>
        </w:rPr>
        <w:t>（</w:t>
      </w:r>
      <w:r>
        <w:rPr>
          <w:rFonts w:hint="default" w:ascii="Times New Roman" w:hAnsi="Times New Roman" w:eastAsia="宋体" w:cs="Times New Roman"/>
          <w:b w:val="0"/>
          <w:bCs w:val="0"/>
          <w:color w:val="auto"/>
          <w:spacing w:val="7"/>
          <w:sz w:val="24"/>
          <w:szCs w:val="24"/>
          <w:highlight w:val="none"/>
          <w:lang w:val="en-US" w:eastAsia="zh-CN"/>
        </w:rPr>
        <w:t>中国环境科学出版社</w:t>
      </w:r>
      <w:r>
        <w:rPr>
          <w:rFonts w:hint="eastAsia" w:cs="Times New Roman"/>
          <w:b w:val="0"/>
          <w:bCs w:val="0"/>
          <w:color w:val="auto"/>
          <w:spacing w:val="7"/>
          <w:sz w:val="24"/>
          <w:szCs w:val="24"/>
          <w:highlight w:val="none"/>
          <w:lang w:val="en-US" w:eastAsia="zh-CN"/>
        </w:rPr>
        <w:t>）</w:t>
      </w:r>
      <w:r>
        <w:rPr>
          <w:rFonts w:hint="default" w:ascii="Times New Roman" w:hAnsi="Times New Roman" w:cs="Times New Roman"/>
          <w:color w:val="auto"/>
          <w:sz w:val="24"/>
          <w:highlight w:val="none"/>
          <w:lang w:val="en-US" w:eastAsia="zh-CN"/>
        </w:rPr>
        <w:t>第十八章表18-1 粒料加工厂</w:t>
      </w:r>
      <w:r>
        <w:rPr>
          <w:rFonts w:hint="default" w:ascii="Times New Roman" w:hAnsi="Times New Roman" w:cs="Times New Roman"/>
          <w:color w:val="auto"/>
          <w:sz w:val="24"/>
          <w:highlight w:val="none"/>
        </w:rPr>
        <w:t>逸散</w:t>
      </w:r>
      <w:r>
        <w:rPr>
          <w:rFonts w:hint="default" w:ascii="Times New Roman" w:hAnsi="Times New Roman" w:cs="Times New Roman"/>
          <w:color w:val="auto"/>
          <w:sz w:val="24"/>
          <w:highlight w:val="none"/>
          <w:lang w:val="en-US" w:eastAsia="zh-CN"/>
        </w:rPr>
        <w:t>尘的排放因子进行计算，一级破碎排放因子按0.25kg/t（破碎料）计，二级破碎排放因子按0.75kg/t（破碎料）计，</w:t>
      </w:r>
      <w:r>
        <w:rPr>
          <w:rFonts w:hint="default" w:ascii="Times New Roman" w:hAnsi="Times New Roman" w:eastAsia="宋体" w:cs="Times New Roman"/>
          <w:color w:val="auto"/>
          <w:highlight w:val="none"/>
          <w:lang w:val="en-US" w:eastAsia="zh-CN"/>
        </w:rPr>
        <w:t>本项目</w:t>
      </w:r>
      <w:r>
        <w:rPr>
          <w:rFonts w:hint="default" w:ascii="Times New Roman" w:hAnsi="Times New Roman" w:cs="Times New Roman"/>
          <w:color w:val="auto"/>
          <w:sz w:val="24"/>
          <w:highlight w:val="none"/>
        </w:rPr>
        <w:t>年破碎矿石</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万</w:t>
      </w:r>
      <w:r>
        <w:rPr>
          <w:rFonts w:hint="eastAsia" w:cs="Times New Roman"/>
          <w:color w:val="auto"/>
          <w:sz w:val="24"/>
          <w:highlight w:val="none"/>
          <w:lang w:val="en-US" w:eastAsia="zh-CN"/>
        </w:rPr>
        <w:t>t</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highlight w:val="none"/>
          <w:lang w:val="en-US" w:eastAsia="zh-CN"/>
        </w:rPr>
        <w:t>一次破碎过程颗粒物产生量为125t/a，二次破碎过程颗粒物产生量为375t/a。</w:t>
      </w:r>
    </w:p>
    <w:p w14:paraId="14AC6E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color w:val="auto"/>
          <w:kern w:val="2"/>
          <w:sz w:val="24"/>
          <w:szCs w:val="21"/>
          <w:highlight w:val="none"/>
          <w:lang w:val="en-US" w:eastAsia="zh-CN" w:bidi="ar-SA"/>
        </w:rPr>
        <w:t>污染治理设施及排放情况：一破工序设置密闭集气罩+</w:t>
      </w:r>
      <w:r>
        <w:rPr>
          <w:rFonts w:hint="eastAsia" w:cs="Times New Roman"/>
          <w:b w:val="0"/>
          <w:bCs/>
          <w:color w:val="auto"/>
          <w:kern w:val="2"/>
          <w:sz w:val="24"/>
          <w:szCs w:val="21"/>
          <w:highlight w:val="none"/>
          <w:lang w:val="en-US" w:eastAsia="zh-CN" w:bidi="ar-SA"/>
        </w:rPr>
        <w:t>脉冲袋式除尘器</w:t>
      </w:r>
      <w:r>
        <w:rPr>
          <w:rFonts w:hint="default" w:ascii="Times New Roman" w:hAnsi="Times New Roman" w:eastAsia="宋体" w:cs="Times New Roman"/>
          <w:b w:val="0"/>
          <w:bCs/>
          <w:color w:val="auto"/>
          <w:kern w:val="2"/>
          <w:sz w:val="24"/>
          <w:szCs w:val="21"/>
          <w:highlight w:val="none"/>
          <w:lang w:val="en-US" w:eastAsia="zh-CN" w:bidi="ar-SA"/>
        </w:rPr>
        <w:t>1套，处理风量6500m</w:t>
      </w:r>
      <w:r>
        <w:rPr>
          <w:rFonts w:hint="default" w:ascii="Times New Roman" w:hAnsi="Times New Roman" w:eastAsia="宋体" w:cs="Times New Roman"/>
          <w:b w:val="0"/>
          <w:bCs/>
          <w:color w:val="auto"/>
          <w:kern w:val="2"/>
          <w:sz w:val="24"/>
          <w:szCs w:val="21"/>
          <w:highlight w:val="none"/>
          <w:vertAlign w:val="superscript"/>
          <w:lang w:val="en-US" w:eastAsia="zh-CN" w:bidi="ar-SA"/>
        </w:rPr>
        <w:t>3</w:t>
      </w:r>
      <w:r>
        <w:rPr>
          <w:rFonts w:hint="default" w:ascii="Times New Roman" w:hAnsi="Times New Roman" w:eastAsia="宋体" w:cs="Times New Roman"/>
          <w:b w:val="0"/>
          <w:bCs/>
          <w:color w:val="auto"/>
          <w:kern w:val="2"/>
          <w:sz w:val="24"/>
          <w:szCs w:val="21"/>
          <w:highlight w:val="none"/>
          <w:lang w:val="en-US" w:eastAsia="zh-CN" w:bidi="ar-SA"/>
        </w:rPr>
        <w:t>/h，处理后废气经过15m高排气筒排放；</w:t>
      </w:r>
      <w:r>
        <w:rPr>
          <w:rFonts w:hint="default" w:ascii="Times New Roman" w:hAnsi="Times New Roman" w:eastAsia="宋体" w:cs="Times New Roman"/>
          <w:b w:val="0"/>
          <w:bCs/>
          <w:color w:val="auto"/>
          <w:highlight w:val="none"/>
          <w:lang w:val="en-US" w:eastAsia="zh-CN"/>
        </w:rPr>
        <w:t>二破工序</w:t>
      </w:r>
      <w:r>
        <w:rPr>
          <w:rFonts w:hint="default" w:ascii="Times New Roman" w:hAnsi="Times New Roman" w:eastAsia="宋体" w:cs="Times New Roman"/>
          <w:b w:val="0"/>
          <w:bCs/>
          <w:color w:val="auto"/>
          <w:kern w:val="2"/>
          <w:sz w:val="24"/>
          <w:szCs w:val="21"/>
          <w:highlight w:val="none"/>
          <w:lang w:val="en-US" w:eastAsia="zh-CN" w:bidi="ar-SA"/>
        </w:rPr>
        <w:t>设置密闭集气罩+</w:t>
      </w:r>
      <w:r>
        <w:rPr>
          <w:rFonts w:hint="eastAsia" w:cs="Times New Roman"/>
          <w:b w:val="0"/>
          <w:bCs/>
          <w:color w:val="auto"/>
          <w:kern w:val="2"/>
          <w:sz w:val="24"/>
          <w:szCs w:val="21"/>
          <w:highlight w:val="none"/>
          <w:lang w:val="en-US" w:eastAsia="zh-CN" w:bidi="ar-SA"/>
        </w:rPr>
        <w:t>脉冲袋式除尘器</w:t>
      </w:r>
      <w:r>
        <w:rPr>
          <w:rFonts w:hint="default" w:ascii="Times New Roman" w:hAnsi="Times New Roman" w:eastAsia="宋体" w:cs="Times New Roman"/>
          <w:b w:val="0"/>
          <w:bCs/>
          <w:color w:val="auto"/>
          <w:kern w:val="2"/>
          <w:sz w:val="24"/>
          <w:szCs w:val="21"/>
          <w:highlight w:val="none"/>
          <w:lang w:val="en-US" w:eastAsia="zh-CN" w:bidi="ar-SA"/>
        </w:rPr>
        <w:t>1套，处理风量</w:t>
      </w:r>
      <w:r>
        <w:rPr>
          <w:rFonts w:hint="default" w:ascii="Times New Roman" w:hAnsi="Times New Roman" w:eastAsia="宋体" w:cs="Times New Roman"/>
          <w:b w:val="0"/>
          <w:bCs/>
          <w:color w:val="auto"/>
          <w:highlight w:val="none"/>
          <w:lang w:val="en-US" w:eastAsia="zh-CN"/>
        </w:rPr>
        <w:t>6500</w:t>
      </w:r>
      <w:r>
        <w:rPr>
          <w:rFonts w:hint="default" w:ascii="Times New Roman" w:hAnsi="Times New Roman" w:eastAsia="宋体" w:cs="Times New Roman"/>
          <w:b w:val="0"/>
          <w:bCs/>
          <w:color w:val="auto"/>
          <w:kern w:val="2"/>
          <w:sz w:val="24"/>
          <w:szCs w:val="21"/>
          <w:highlight w:val="none"/>
          <w:lang w:val="en-US" w:eastAsia="zh-CN" w:bidi="ar-SA"/>
        </w:rPr>
        <w:t>m</w:t>
      </w:r>
      <w:r>
        <w:rPr>
          <w:rFonts w:hint="default" w:ascii="Times New Roman" w:hAnsi="Times New Roman" w:eastAsia="宋体" w:cs="Times New Roman"/>
          <w:b w:val="0"/>
          <w:bCs/>
          <w:color w:val="auto"/>
          <w:kern w:val="2"/>
          <w:sz w:val="24"/>
          <w:szCs w:val="21"/>
          <w:highlight w:val="none"/>
          <w:vertAlign w:val="superscript"/>
          <w:lang w:val="en-US" w:eastAsia="zh-CN" w:bidi="ar-SA"/>
        </w:rPr>
        <w:t>3</w:t>
      </w:r>
      <w:r>
        <w:rPr>
          <w:rFonts w:hint="default" w:ascii="Times New Roman" w:hAnsi="Times New Roman" w:eastAsia="宋体" w:cs="Times New Roman"/>
          <w:b w:val="0"/>
          <w:bCs/>
          <w:color w:val="auto"/>
          <w:kern w:val="2"/>
          <w:sz w:val="24"/>
          <w:szCs w:val="21"/>
          <w:highlight w:val="none"/>
          <w:lang w:val="en-US" w:eastAsia="zh-CN" w:bidi="ar-SA"/>
        </w:rPr>
        <w:t>/h，处理后废气经过15m高排气筒排放。</w:t>
      </w:r>
      <w:r>
        <w:rPr>
          <w:rFonts w:hint="default" w:ascii="Times New Roman" w:hAnsi="Times New Roman" w:cs="Times New Roman"/>
          <w:color w:val="auto"/>
          <w:highlight w:val="none"/>
        </w:rPr>
        <w:t>粉尘经</w:t>
      </w:r>
      <w:r>
        <w:rPr>
          <w:rFonts w:hint="eastAsia" w:cs="Times New Roman"/>
          <w:color w:val="auto"/>
          <w:highlight w:val="none"/>
          <w:lang w:eastAsia="zh-CN"/>
        </w:rPr>
        <w:t>密闭</w:t>
      </w:r>
      <w:r>
        <w:rPr>
          <w:rFonts w:hint="default" w:ascii="Times New Roman" w:hAnsi="Times New Roman" w:cs="Times New Roman"/>
          <w:color w:val="auto"/>
          <w:highlight w:val="none"/>
          <w:lang w:eastAsia="zh-CN"/>
        </w:rPr>
        <w:t>集气罩</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eastAsia" w:cs="Times New Roman"/>
          <w:color w:val="auto"/>
          <w:highlight w:val="none"/>
          <w:lang w:val="en-US" w:eastAsia="zh-CN"/>
        </w:rPr>
        <w:t>5</w:t>
      </w:r>
      <w:r>
        <w:rPr>
          <w:rFonts w:hint="default" w:ascii="Times New Roman" w:hAnsi="Times New Roman" w:cs="Times New Roman"/>
          <w:color w:val="auto"/>
          <w:highlight w:val="none"/>
        </w:rPr>
        <w:t>%收集效率）收集后，经袋式除尘器处理（99%除尘效率）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未收集的粉尘以无组织形式排放，排放量为总粉尘产生量的10%，粉尘在厂区内自然沉降。</w:t>
      </w:r>
    </w:p>
    <w:p w14:paraId="683F5B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lang w:val="en-US" w:eastAsia="zh-CN"/>
        </w:rPr>
      </w:pPr>
    </w:p>
    <w:p w14:paraId="589329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textAlignment w:val="auto"/>
        <w:rPr>
          <w:rFonts w:hint="default" w:ascii="Times New Roman" w:hAnsi="Times New Roman" w:cs="Times New Roman"/>
          <w:color w:val="auto"/>
          <w:highlight w:val="none"/>
          <w:lang w:val="en-US" w:eastAsia="zh-CN"/>
        </w:rPr>
      </w:pPr>
    </w:p>
    <w:p w14:paraId="3B6A0D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表</w:t>
      </w:r>
      <w:r>
        <w:rPr>
          <w:rFonts w:hint="default" w:ascii="Times New Roman" w:hAnsi="Times New Roman" w:cs="Times New Roman"/>
          <w:b/>
          <w:bCs w:val="0"/>
          <w:color w:val="auto"/>
          <w:kern w:val="0"/>
          <w:sz w:val="21"/>
          <w:szCs w:val="21"/>
          <w:highlight w:val="none"/>
          <w:lang w:eastAsia="zh-CN"/>
        </w:rPr>
        <w:t>3.4-</w:t>
      </w:r>
      <w:r>
        <w:rPr>
          <w:rFonts w:hint="eastAsia" w:cs="Times New Roman"/>
          <w:b/>
          <w:bCs w:val="0"/>
          <w:color w:val="auto"/>
          <w:kern w:val="0"/>
          <w:sz w:val="21"/>
          <w:szCs w:val="21"/>
          <w:highlight w:val="none"/>
          <w:lang w:val="en-US" w:eastAsia="zh-CN"/>
        </w:rPr>
        <w:t>1</w:t>
      </w:r>
      <w:r>
        <w:rPr>
          <w:rFonts w:hint="default" w:ascii="Times New Roman" w:hAnsi="Times New Roman" w:eastAsia="宋体" w:cs="Times New Roman"/>
          <w:b/>
          <w:bCs w:val="0"/>
          <w:color w:val="auto"/>
          <w:kern w:val="0"/>
          <w:sz w:val="21"/>
          <w:szCs w:val="21"/>
          <w:highlight w:val="none"/>
        </w:rPr>
        <w:t xml:space="preserve">    </w:t>
      </w:r>
      <w:r>
        <w:rPr>
          <w:rFonts w:hint="default" w:ascii="Times New Roman" w:hAnsi="Times New Roman" w:cs="Times New Roman"/>
          <w:b/>
          <w:bCs w:val="0"/>
          <w:color w:val="auto"/>
          <w:kern w:val="0"/>
          <w:sz w:val="21"/>
          <w:szCs w:val="21"/>
          <w:highlight w:val="none"/>
          <w:lang w:val="en-US" w:eastAsia="zh-CN"/>
        </w:rPr>
        <w:t>废气</w:t>
      </w:r>
      <w:r>
        <w:rPr>
          <w:rFonts w:hint="default" w:ascii="Times New Roman" w:hAnsi="Times New Roman" w:eastAsia="宋体" w:cs="Times New Roman"/>
          <w:b/>
          <w:bCs w:val="0"/>
          <w:color w:val="auto"/>
          <w:kern w:val="0"/>
          <w:sz w:val="21"/>
          <w:szCs w:val="21"/>
          <w:highlight w:val="none"/>
        </w:rPr>
        <w:t>产生情况</w:t>
      </w:r>
    </w:p>
    <w:tbl>
      <w:tblPr>
        <w:tblStyle w:val="121"/>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60"/>
        <w:gridCol w:w="358"/>
        <w:gridCol w:w="603"/>
        <w:gridCol w:w="640"/>
        <w:gridCol w:w="989"/>
        <w:gridCol w:w="804"/>
        <w:gridCol w:w="1049"/>
        <w:gridCol w:w="420"/>
        <w:gridCol w:w="989"/>
        <w:gridCol w:w="804"/>
        <w:gridCol w:w="640"/>
        <w:gridCol w:w="220"/>
        <w:gridCol w:w="530"/>
      </w:tblGrid>
      <w:tr w14:paraId="087A9B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tcBorders>
              <w:tl2br w:val="nil"/>
              <w:tr2bl w:val="nil"/>
            </w:tcBorders>
            <w:vAlign w:val="center"/>
          </w:tcPr>
          <w:p w14:paraId="62C974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工序</w:t>
            </w:r>
          </w:p>
        </w:tc>
        <w:tc>
          <w:tcPr>
            <w:tcW w:w="382" w:type="pct"/>
            <w:tcBorders>
              <w:tl2br w:val="nil"/>
              <w:tr2bl w:val="nil"/>
            </w:tcBorders>
            <w:vAlign w:val="center"/>
          </w:tcPr>
          <w:p w14:paraId="5B350E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污染物</w:t>
            </w:r>
          </w:p>
        </w:tc>
        <w:tc>
          <w:tcPr>
            <w:tcW w:w="336" w:type="pct"/>
            <w:tcBorders>
              <w:tl2br w:val="nil"/>
              <w:tr2bl w:val="nil"/>
            </w:tcBorders>
            <w:vAlign w:val="center"/>
          </w:tcPr>
          <w:p w14:paraId="4EE61D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废气量（万</w:t>
            </w:r>
            <w:r>
              <w:rPr>
                <w:rFonts w:hint="default" w:ascii="Times New Roman" w:hAnsi="Times New Roman" w:eastAsia="宋体" w:cs="Times New Roman"/>
                <w:b w:val="0"/>
                <w:bCs/>
                <w:color w:val="auto"/>
                <w:kern w:val="2"/>
                <w:sz w:val="21"/>
                <w:szCs w:val="21"/>
                <w:highlight w:val="none"/>
                <w:lang w:val="en-US" w:eastAsia="zh-CN" w:bidi="ar-SA"/>
              </w:rPr>
              <w:t>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/a</w:t>
            </w:r>
            <w:r>
              <w:rPr>
                <w:rFonts w:hint="default" w:ascii="Times New Roman" w:hAnsi="Times New Roman" w:eastAsia="宋体" w:cs="Times New Roman"/>
                <w:b w:val="0"/>
                <w:bCs/>
                <w:snapToGrid/>
                <w:color w:val="auto"/>
                <w:kern w:val="2"/>
                <w:sz w:val="21"/>
                <w:szCs w:val="21"/>
                <w:highlight w:val="none"/>
                <w:lang w:val="en-US" w:eastAsia="zh-CN"/>
              </w:rPr>
              <w:t>）</w:t>
            </w:r>
          </w:p>
        </w:tc>
        <w:tc>
          <w:tcPr>
            <w:tcW w:w="357" w:type="pct"/>
            <w:tcBorders>
              <w:tl2br w:val="nil"/>
              <w:tr2bl w:val="nil"/>
            </w:tcBorders>
            <w:vAlign w:val="center"/>
          </w:tcPr>
          <w:p w14:paraId="3215D3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产生量（</w:t>
            </w:r>
            <w:r>
              <w:rPr>
                <w:rFonts w:hint="default" w:ascii="Times New Roman" w:hAnsi="Times New Roman" w:eastAsia="宋体" w:cs="Times New Roman"/>
                <w:b w:val="0"/>
                <w:bCs/>
                <w:snapToGrid/>
                <w:color w:val="auto"/>
                <w:kern w:val="2"/>
                <w:sz w:val="21"/>
                <w:szCs w:val="21"/>
                <w:highlight w:val="none"/>
                <w:lang w:val="en-US" w:eastAsia="zh-CN"/>
              </w:rPr>
              <w:t>t/a</w:t>
            </w:r>
            <w:r>
              <w:rPr>
                <w:rFonts w:hint="default" w:ascii="Times New Roman" w:hAnsi="Times New Roman" w:eastAsia="宋体" w:cs="Times New Roman"/>
                <w:b w:val="0"/>
                <w:bCs/>
                <w:snapToGrid/>
                <w:color w:val="auto"/>
                <w:kern w:val="2"/>
                <w:sz w:val="21"/>
                <w:szCs w:val="21"/>
                <w:highlight w:val="none"/>
                <w:lang w:eastAsia="zh-CN"/>
              </w:rPr>
              <w:t>）</w:t>
            </w:r>
          </w:p>
        </w:tc>
        <w:tc>
          <w:tcPr>
            <w:tcW w:w="552" w:type="pct"/>
            <w:tcBorders>
              <w:tl2br w:val="nil"/>
              <w:tr2bl w:val="nil"/>
            </w:tcBorders>
            <w:vAlign w:val="center"/>
          </w:tcPr>
          <w:p w14:paraId="005B63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产生浓度</w:t>
            </w:r>
            <w:r>
              <w:rPr>
                <w:rFonts w:hint="default" w:ascii="Times New Roman" w:hAnsi="Times New Roman" w:eastAsia="宋体" w:cs="Times New Roman"/>
                <w:b w:val="0"/>
                <w:bCs/>
                <w:snapToGrid/>
                <w:color w:val="auto"/>
                <w:kern w:val="2"/>
                <w:sz w:val="21"/>
                <w:szCs w:val="21"/>
                <w:highlight w:val="none"/>
                <w:lang w:eastAsia="zh-CN"/>
              </w:rPr>
              <w:t>（</w:t>
            </w:r>
            <w:r>
              <w:rPr>
                <w:rFonts w:hint="default" w:ascii="Times New Roman" w:hAnsi="Times New Roman" w:eastAsia="宋体" w:cs="Times New Roman"/>
                <w:b w:val="0"/>
                <w:bCs/>
                <w:snapToGrid/>
                <w:color w:val="auto"/>
                <w:kern w:val="2"/>
                <w:sz w:val="21"/>
                <w:szCs w:val="21"/>
                <w:highlight w:val="none"/>
                <w:lang w:val="en-US" w:eastAsia="zh-CN"/>
              </w:rPr>
              <w:t>mg/m</w:t>
            </w:r>
            <w:r>
              <w:rPr>
                <w:rFonts w:hint="default" w:ascii="Times New Roman" w:hAnsi="Times New Roman" w:eastAsia="宋体" w:cs="Times New Roman"/>
                <w:b w:val="0"/>
                <w:bCs/>
                <w:snapToGrid/>
                <w:color w:val="auto"/>
                <w:kern w:val="2"/>
                <w:sz w:val="21"/>
                <w:szCs w:val="21"/>
                <w:highlight w:val="none"/>
                <w:vertAlign w:val="superscript"/>
                <w:lang w:val="en-US" w:eastAsia="zh-CN"/>
              </w:rPr>
              <w:t>3</w:t>
            </w:r>
            <w:r>
              <w:rPr>
                <w:rFonts w:hint="default" w:ascii="Times New Roman" w:hAnsi="Times New Roman" w:eastAsia="宋体" w:cs="Times New Roman"/>
                <w:b w:val="0"/>
                <w:bCs/>
                <w:snapToGrid/>
                <w:color w:val="auto"/>
                <w:kern w:val="2"/>
                <w:sz w:val="21"/>
                <w:szCs w:val="21"/>
                <w:highlight w:val="none"/>
                <w:lang w:eastAsia="zh-CN"/>
              </w:rPr>
              <w:t>）</w:t>
            </w:r>
          </w:p>
        </w:tc>
        <w:tc>
          <w:tcPr>
            <w:tcW w:w="448" w:type="pct"/>
            <w:tcBorders>
              <w:tl2br w:val="nil"/>
              <w:tr2bl w:val="nil"/>
            </w:tcBorders>
            <w:vAlign w:val="center"/>
          </w:tcPr>
          <w:p w14:paraId="4994DE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产生速率（kg/h）</w:t>
            </w:r>
          </w:p>
        </w:tc>
        <w:tc>
          <w:tcPr>
            <w:tcW w:w="585" w:type="pct"/>
            <w:tcBorders>
              <w:tl2br w:val="nil"/>
              <w:tr2bl w:val="nil"/>
            </w:tcBorders>
            <w:vAlign w:val="center"/>
          </w:tcPr>
          <w:p w14:paraId="418F5C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处理设施</w:t>
            </w:r>
          </w:p>
        </w:tc>
        <w:tc>
          <w:tcPr>
            <w:tcW w:w="234" w:type="pct"/>
            <w:tcBorders>
              <w:tl2br w:val="nil"/>
              <w:tr2bl w:val="nil"/>
            </w:tcBorders>
            <w:vAlign w:val="center"/>
          </w:tcPr>
          <w:p w14:paraId="1C8354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cs="Times New Roman"/>
                <w:b w:val="0"/>
                <w:bCs/>
                <w:snapToGrid/>
                <w:color w:val="auto"/>
                <w:kern w:val="2"/>
                <w:sz w:val="21"/>
                <w:szCs w:val="21"/>
                <w:highlight w:val="none"/>
                <w:lang w:val="en-US" w:eastAsia="zh-CN"/>
              </w:rPr>
              <w:t>处理效率</w:t>
            </w:r>
            <w:r>
              <w:rPr>
                <w:rFonts w:hint="default" w:ascii="Times New Roman" w:hAnsi="Times New Roman" w:cs="Times New Roman"/>
                <w:color w:val="auto"/>
                <w:highlight w:val="none"/>
              </w:rPr>
              <w:t>%</w:t>
            </w:r>
          </w:p>
        </w:tc>
        <w:tc>
          <w:tcPr>
            <w:tcW w:w="552" w:type="pct"/>
            <w:tcBorders>
              <w:tl2br w:val="nil"/>
              <w:tr2bl w:val="nil"/>
            </w:tcBorders>
            <w:vAlign w:val="center"/>
          </w:tcPr>
          <w:p w14:paraId="0B90AB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排放浓度（</w:t>
            </w:r>
            <w:r>
              <w:rPr>
                <w:rFonts w:hint="default" w:ascii="Times New Roman" w:hAnsi="Times New Roman" w:eastAsia="宋体" w:cs="Times New Roman"/>
                <w:b w:val="0"/>
                <w:bCs/>
                <w:snapToGrid/>
                <w:color w:val="auto"/>
                <w:kern w:val="2"/>
                <w:sz w:val="21"/>
                <w:szCs w:val="21"/>
                <w:highlight w:val="none"/>
                <w:lang w:val="en-US" w:eastAsia="zh-CN"/>
              </w:rPr>
              <w:t>mg/m</w:t>
            </w:r>
            <w:r>
              <w:rPr>
                <w:rFonts w:hint="default" w:ascii="Times New Roman" w:hAnsi="Times New Roman" w:eastAsia="宋体" w:cs="Times New Roman"/>
                <w:b w:val="0"/>
                <w:bCs/>
                <w:snapToGrid/>
                <w:color w:val="auto"/>
                <w:kern w:val="2"/>
                <w:sz w:val="21"/>
                <w:szCs w:val="21"/>
                <w:highlight w:val="none"/>
                <w:vertAlign w:val="superscript"/>
                <w:lang w:val="en-US" w:eastAsia="zh-CN"/>
              </w:rPr>
              <w:t>3</w:t>
            </w:r>
            <w:r>
              <w:rPr>
                <w:rFonts w:hint="default" w:ascii="Times New Roman" w:hAnsi="Times New Roman" w:eastAsia="宋体" w:cs="Times New Roman"/>
                <w:b w:val="0"/>
                <w:bCs/>
                <w:snapToGrid/>
                <w:color w:val="auto"/>
                <w:kern w:val="2"/>
                <w:sz w:val="21"/>
                <w:szCs w:val="21"/>
                <w:highlight w:val="none"/>
                <w:lang w:eastAsia="zh-CN"/>
              </w:rPr>
              <w:t>）</w:t>
            </w:r>
          </w:p>
        </w:tc>
        <w:tc>
          <w:tcPr>
            <w:tcW w:w="448" w:type="pct"/>
            <w:tcBorders>
              <w:tl2br w:val="nil"/>
              <w:tr2bl w:val="nil"/>
            </w:tcBorders>
            <w:vAlign w:val="center"/>
          </w:tcPr>
          <w:p w14:paraId="1B9696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排放速率（kg/h）</w:t>
            </w:r>
          </w:p>
        </w:tc>
        <w:tc>
          <w:tcPr>
            <w:tcW w:w="357" w:type="pct"/>
            <w:tcBorders>
              <w:tl2br w:val="nil"/>
              <w:tr2bl w:val="nil"/>
            </w:tcBorders>
            <w:vAlign w:val="center"/>
          </w:tcPr>
          <w:p w14:paraId="29C225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排放量（</w:t>
            </w:r>
            <w:r>
              <w:rPr>
                <w:rFonts w:hint="default" w:ascii="Times New Roman" w:hAnsi="Times New Roman" w:eastAsia="宋体" w:cs="Times New Roman"/>
                <w:b w:val="0"/>
                <w:bCs/>
                <w:snapToGrid/>
                <w:color w:val="auto"/>
                <w:kern w:val="2"/>
                <w:sz w:val="21"/>
                <w:szCs w:val="21"/>
                <w:highlight w:val="none"/>
                <w:lang w:val="en-US" w:eastAsia="zh-CN"/>
              </w:rPr>
              <w:t>t/a</w:t>
            </w:r>
            <w:r>
              <w:rPr>
                <w:rFonts w:hint="default" w:ascii="Times New Roman" w:hAnsi="Times New Roman" w:eastAsia="宋体" w:cs="Times New Roman"/>
                <w:b w:val="0"/>
                <w:bCs/>
                <w:snapToGrid/>
                <w:color w:val="auto"/>
                <w:kern w:val="2"/>
                <w:sz w:val="21"/>
                <w:szCs w:val="21"/>
                <w:highlight w:val="none"/>
                <w:lang w:eastAsia="zh-CN"/>
              </w:rPr>
              <w:t>）</w:t>
            </w:r>
          </w:p>
        </w:tc>
        <w:tc>
          <w:tcPr>
            <w:tcW w:w="123" w:type="pct"/>
            <w:tcBorders>
              <w:tl2br w:val="nil"/>
              <w:tr2bl w:val="nil"/>
            </w:tcBorders>
            <w:vAlign w:val="center"/>
          </w:tcPr>
          <w:p w14:paraId="735976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排放方式</w:t>
            </w:r>
          </w:p>
        </w:tc>
        <w:tc>
          <w:tcPr>
            <w:tcW w:w="297" w:type="pct"/>
            <w:tcBorders>
              <w:tl2br w:val="nil"/>
              <w:tr2bl w:val="nil"/>
            </w:tcBorders>
            <w:vAlign w:val="center"/>
          </w:tcPr>
          <w:p w14:paraId="52E627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年运行时间</w:t>
            </w:r>
          </w:p>
        </w:tc>
      </w:tr>
      <w:tr w14:paraId="560429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vMerge w:val="restart"/>
            <w:tcBorders>
              <w:tl2br w:val="nil"/>
              <w:tr2bl w:val="nil"/>
            </w:tcBorders>
            <w:vAlign w:val="center"/>
          </w:tcPr>
          <w:p w14:paraId="056617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一级破碎</w:t>
            </w:r>
          </w:p>
        </w:tc>
        <w:tc>
          <w:tcPr>
            <w:tcW w:w="382" w:type="pct"/>
            <w:vMerge w:val="restart"/>
            <w:tcBorders>
              <w:tl2br w:val="nil"/>
              <w:tr2bl w:val="nil"/>
            </w:tcBorders>
            <w:vAlign w:val="center"/>
          </w:tcPr>
          <w:p w14:paraId="1B9DC4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颗粒物</w:t>
            </w:r>
          </w:p>
        </w:tc>
        <w:tc>
          <w:tcPr>
            <w:tcW w:w="336" w:type="pct"/>
            <w:tcBorders>
              <w:tl2br w:val="nil"/>
              <w:tr2bl w:val="nil"/>
            </w:tcBorders>
            <w:vAlign w:val="center"/>
          </w:tcPr>
          <w:p w14:paraId="1978D1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3900</w:t>
            </w:r>
          </w:p>
        </w:tc>
        <w:tc>
          <w:tcPr>
            <w:tcW w:w="357" w:type="pct"/>
            <w:tcBorders>
              <w:tl2br w:val="nil"/>
              <w:tr2bl w:val="nil"/>
            </w:tcBorders>
            <w:vAlign w:val="center"/>
          </w:tcPr>
          <w:p w14:paraId="177EA4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118.75</w:t>
            </w:r>
          </w:p>
        </w:tc>
        <w:tc>
          <w:tcPr>
            <w:tcW w:w="552" w:type="pct"/>
            <w:tcBorders>
              <w:tl2br w:val="nil"/>
              <w:tr2bl w:val="nil"/>
            </w:tcBorders>
            <w:vAlign w:val="center"/>
          </w:tcPr>
          <w:p w14:paraId="2E5213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3077.87</w:t>
            </w:r>
          </w:p>
        </w:tc>
        <w:tc>
          <w:tcPr>
            <w:tcW w:w="448" w:type="pct"/>
            <w:tcBorders>
              <w:tl2br w:val="nil"/>
              <w:tr2bl w:val="nil"/>
            </w:tcBorders>
            <w:vAlign w:val="center"/>
          </w:tcPr>
          <w:p w14:paraId="7F09E3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19.79</w:t>
            </w:r>
          </w:p>
        </w:tc>
        <w:tc>
          <w:tcPr>
            <w:tcW w:w="585" w:type="pct"/>
            <w:tcBorders>
              <w:tl2br w:val="nil"/>
              <w:tr2bl w:val="nil"/>
            </w:tcBorders>
            <w:vAlign w:val="center"/>
          </w:tcPr>
          <w:p w14:paraId="601BD1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15m高排气筒排放（DA001）</w:t>
            </w:r>
          </w:p>
        </w:tc>
        <w:tc>
          <w:tcPr>
            <w:tcW w:w="234" w:type="pct"/>
            <w:tcBorders>
              <w:tl2br w:val="nil"/>
              <w:tr2bl w:val="nil"/>
            </w:tcBorders>
            <w:vAlign w:val="center"/>
          </w:tcPr>
          <w:p w14:paraId="431515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99</w:t>
            </w:r>
          </w:p>
        </w:tc>
        <w:tc>
          <w:tcPr>
            <w:tcW w:w="552" w:type="pct"/>
            <w:tcBorders>
              <w:tl2br w:val="nil"/>
              <w:tr2bl w:val="nil"/>
            </w:tcBorders>
            <w:vAlign w:val="center"/>
          </w:tcPr>
          <w:p w14:paraId="0BA746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30.79</w:t>
            </w:r>
          </w:p>
        </w:tc>
        <w:tc>
          <w:tcPr>
            <w:tcW w:w="448" w:type="pct"/>
            <w:tcBorders>
              <w:tl2br w:val="nil"/>
              <w:tr2bl w:val="nil"/>
            </w:tcBorders>
            <w:vAlign w:val="center"/>
          </w:tcPr>
          <w:p w14:paraId="55F9F1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0.2</w:t>
            </w:r>
          </w:p>
        </w:tc>
        <w:tc>
          <w:tcPr>
            <w:tcW w:w="357" w:type="pct"/>
            <w:tcBorders>
              <w:tl2br w:val="nil"/>
              <w:tr2bl w:val="nil"/>
            </w:tcBorders>
            <w:vAlign w:val="center"/>
          </w:tcPr>
          <w:p w14:paraId="5E2B21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1.19</w:t>
            </w:r>
          </w:p>
        </w:tc>
        <w:tc>
          <w:tcPr>
            <w:tcW w:w="123" w:type="pct"/>
            <w:tcBorders>
              <w:tl2br w:val="nil"/>
              <w:tr2bl w:val="nil"/>
            </w:tcBorders>
            <w:vAlign w:val="center"/>
          </w:tcPr>
          <w:p w14:paraId="23AA79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有组织</w:t>
            </w:r>
          </w:p>
        </w:tc>
        <w:tc>
          <w:tcPr>
            <w:tcW w:w="297" w:type="pct"/>
            <w:vMerge w:val="restart"/>
            <w:tcBorders>
              <w:tl2br w:val="nil"/>
              <w:tr2bl w:val="nil"/>
            </w:tcBorders>
            <w:vAlign w:val="center"/>
          </w:tcPr>
          <w:p w14:paraId="014FED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6000h</w:t>
            </w:r>
          </w:p>
        </w:tc>
      </w:tr>
      <w:tr w14:paraId="6E2F39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vMerge w:val="continue"/>
            <w:tcBorders>
              <w:tl2br w:val="nil"/>
              <w:tr2bl w:val="nil"/>
            </w:tcBorders>
            <w:vAlign w:val="center"/>
          </w:tcPr>
          <w:p w14:paraId="5B93A3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c>
          <w:tcPr>
            <w:tcW w:w="382" w:type="pct"/>
            <w:vMerge w:val="continue"/>
            <w:tcBorders>
              <w:tl2br w:val="nil"/>
              <w:tr2bl w:val="nil"/>
            </w:tcBorders>
            <w:vAlign w:val="center"/>
          </w:tcPr>
          <w:p w14:paraId="3A1D74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c>
          <w:tcPr>
            <w:tcW w:w="336" w:type="pct"/>
            <w:tcBorders>
              <w:tl2br w:val="nil"/>
              <w:tr2bl w:val="nil"/>
            </w:tcBorders>
            <w:vAlign w:val="center"/>
          </w:tcPr>
          <w:p w14:paraId="5746A9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357" w:type="pct"/>
            <w:tcBorders>
              <w:tl2br w:val="nil"/>
              <w:tr2bl w:val="nil"/>
            </w:tcBorders>
            <w:vAlign w:val="center"/>
          </w:tcPr>
          <w:p w14:paraId="5AF550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6.25</w:t>
            </w:r>
          </w:p>
        </w:tc>
        <w:tc>
          <w:tcPr>
            <w:tcW w:w="552" w:type="pct"/>
            <w:tcBorders>
              <w:tl2br w:val="nil"/>
              <w:tr2bl w:val="nil"/>
            </w:tcBorders>
            <w:vAlign w:val="center"/>
          </w:tcPr>
          <w:p w14:paraId="190F57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448" w:type="pct"/>
            <w:tcBorders>
              <w:tl2br w:val="nil"/>
              <w:tr2bl w:val="nil"/>
            </w:tcBorders>
            <w:vAlign w:val="center"/>
          </w:tcPr>
          <w:p w14:paraId="68EEC2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1.04</w:t>
            </w:r>
          </w:p>
        </w:tc>
        <w:tc>
          <w:tcPr>
            <w:tcW w:w="585" w:type="pct"/>
            <w:tcBorders>
              <w:tl2br w:val="nil"/>
              <w:tr2bl w:val="nil"/>
            </w:tcBorders>
            <w:vAlign w:val="center"/>
          </w:tcPr>
          <w:p w14:paraId="74F6FA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cs="Times New Roman"/>
                <w:b w:val="0"/>
                <w:bCs/>
                <w:snapToGrid/>
                <w:color w:val="auto"/>
                <w:kern w:val="2"/>
                <w:sz w:val="21"/>
                <w:szCs w:val="21"/>
                <w:highlight w:val="none"/>
                <w:lang w:val="en-US" w:eastAsia="zh-CN"/>
              </w:rPr>
              <w:t>洒水降尘</w:t>
            </w:r>
          </w:p>
        </w:tc>
        <w:tc>
          <w:tcPr>
            <w:tcW w:w="234" w:type="pct"/>
            <w:tcBorders>
              <w:tl2br w:val="nil"/>
              <w:tr2bl w:val="nil"/>
            </w:tcBorders>
            <w:vAlign w:val="center"/>
          </w:tcPr>
          <w:p w14:paraId="466AA3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74</w:t>
            </w:r>
          </w:p>
        </w:tc>
        <w:tc>
          <w:tcPr>
            <w:tcW w:w="552" w:type="pct"/>
            <w:tcBorders>
              <w:tl2br w:val="nil"/>
              <w:tr2bl w:val="nil"/>
            </w:tcBorders>
            <w:vAlign w:val="center"/>
          </w:tcPr>
          <w:p w14:paraId="394FD6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448" w:type="pct"/>
            <w:tcBorders>
              <w:tl2br w:val="nil"/>
              <w:tr2bl w:val="nil"/>
            </w:tcBorders>
            <w:vAlign w:val="center"/>
          </w:tcPr>
          <w:p w14:paraId="67CB31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0.27</w:t>
            </w:r>
          </w:p>
        </w:tc>
        <w:tc>
          <w:tcPr>
            <w:tcW w:w="357" w:type="pct"/>
            <w:tcBorders>
              <w:tl2br w:val="nil"/>
              <w:tr2bl w:val="nil"/>
            </w:tcBorders>
            <w:vAlign w:val="center"/>
          </w:tcPr>
          <w:p w14:paraId="6B6B77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1.63</w:t>
            </w:r>
          </w:p>
        </w:tc>
        <w:tc>
          <w:tcPr>
            <w:tcW w:w="123" w:type="pct"/>
            <w:tcBorders>
              <w:tl2br w:val="nil"/>
              <w:tr2bl w:val="nil"/>
            </w:tcBorders>
            <w:vAlign w:val="center"/>
          </w:tcPr>
          <w:p w14:paraId="1D6D7A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无组织</w:t>
            </w:r>
          </w:p>
        </w:tc>
        <w:tc>
          <w:tcPr>
            <w:tcW w:w="297" w:type="pct"/>
            <w:vMerge w:val="continue"/>
            <w:tcBorders>
              <w:tl2br w:val="nil"/>
              <w:tr2bl w:val="nil"/>
            </w:tcBorders>
            <w:vAlign w:val="center"/>
          </w:tcPr>
          <w:p w14:paraId="2DF3FB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r>
      <w:tr w14:paraId="4CB933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vMerge w:val="restart"/>
            <w:tcBorders>
              <w:tl2br w:val="nil"/>
              <w:tr2bl w:val="nil"/>
            </w:tcBorders>
            <w:vAlign w:val="center"/>
          </w:tcPr>
          <w:p w14:paraId="6299B8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二级破碎</w:t>
            </w:r>
          </w:p>
        </w:tc>
        <w:tc>
          <w:tcPr>
            <w:tcW w:w="382" w:type="pct"/>
            <w:vMerge w:val="continue"/>
            <w:tcBorders>
              <w:tl2br w:val="nil"/>
              <w:tr2bl w:val="nil"/>
            </w:tcBorders>
            <w:vAlign w:val="center"/>
          </w:tcPr>
          <w:p w14:paraId="25568B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c>
          <w:tcPr>
            <w:tcW w:w="336" w:type="pct"/>
            <w:tcBorders>
              <w:tl2br w:val="nil"/>
              <w:tr2bl w:val="nil"/>
            </w:tcBorders>
            <w:vAlign w:val="center"/>
          </w:tcPr>
          <w:p w14:paraId="5E87CA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3900</w:t>
            </w:r>
          </w:p>
        </w:tc>
        <w:tc>
          <w:tcPr>
            <w:tcW w:w="357" w:type="pct"/>
            <w:tcBorders>
              <w:tl2br w:val="nil"/>
              <w:tr2bl w:val="nil"/>
            </w:tcBorders>
            <w:vAlign w:val="center"/>
          </w:tcPr>
          <w:p w14:paraId="085594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356.25</w:t>
            </w:r>
          </w:p>
        </w:tc>
        <w:tc>
          <w:tcPr>
            <w:tcW w:w="552" w:type="pct"/>
            <w:tcBorders>
              <w:tl2br w:val="nil"/>
              <w:tr2bl w:val="nil"/>
            </w:tcBorders>
            <w:vAlign w:val="center"/>
          </w:tcPr>
          <w:p w14:paraId="227571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9134.62</w:t>
            </w:r>
          </w:p>
        </w:tc>
        <w:tc>
          <w:tcPr>
            <w:tcW w:w="448" w:type="pct"/>
            <w:tcBorders>
              <w:tl2br w:val="nil"/>
              <w:tr2bl w:val="nil"/>
            </w:tcBorders>
            <w:vAlign w:val="center"/>
          </w:tcPr>
          <w:p w14:paraId="456AEB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59.38</w:t>
            </w:r>
          </w:p>
        </w:tc>
        <w:tc>
          <w:tcPr>
            <w:tcW w:w="585" w:type="pct"/>
            <w:tcBorders>
              <w:tl2br w:val="nil"/>
              <w:tr2bl w:val="nil"/>
            </w:tcBorders>
            <w:vAlign w:val="center"/>
          </w:tcPr>
          <w:p w14:paraId="6D017E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15m高排气筒排放（DA002）</w:t>
            </w:r>
          </w:p>
        </w:tc>
        <w:tc>
          <w:tcPr>
            <w:tcW w:w="234" w:type="pct"/>
            <w:tcBorders>
              <w:tl2br w:val="nil"/>
              <w:tr2bl w:val="nil"/>
            </w:tcBorders>
            <w:vAlign w:val="center"/>
          </w:tcPr>
          <w:p w14:paraId="286FDE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99</w:t>
            </w:r>
          </w:p>
        </w:tc>
        <w:tc>
          <w:tcPr>
            <w:tcW w:w="552" w:type="pct"/>
            <w:tcBorders>
              <w:tl2br w:val="nil"/>
              <w:tr2bl w:val="nil"/>
            </w:tcBorders>
            <w:vAlign w:val="center"/>
          </w:tcPr>
          <w:p w14:paraId="329B03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91.38</w:t>
            </w:r>
          </w:p>
        </w:tc>
        <w:tc>
          <w:tcPr>
            <w:tcW w:w="448" w:type="pct"/>
            <w:tcBorders>
              <w:tl2br w:val="nil"/>
              <w:tr2bl w:val="nil"/>
            </w:tcBorders>
            <w:vAlign w:val="center"/>
          </w:tcPr>
          <w:p w14:paraId="3BD7C6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0.59</w:t>
            </w:r>
          </w:p>
        </w:tc>
        <w:tc>
          <w:tcPr>
            <w:tcW w:w="357" w:type="pct"/>
            <w:tcBorders>
              <w:tl2br w:val="nil"/>
              <w:tr2bl w:val="nil"/>
            </w:tcBorders>
            <w:vAlign w:val="center"/>
          </w:tcPr>
          <w:p w14:paraId="06BE92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3.56</w:t>
            </w:r>
          </w:p>
        </w:tc>
        <w:tc>
          <w:tcPr>
            <w:tcW w:w="123" w:type="pct"/>
            <w:tcBorders>
              <w:tl2br w:val="nil"/>
              <w:tr2bl w:val="nil"/>
            </w:tcBorders>
            <w:vAlign w:val="center"/>
          </w:tcPr>
          <w:p w14:paraId="6CDDAC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有组织</w:t>
            </w:r>
          </w:p>
        </w:tc>
        <w:tc>
          <w:tcPr>
            <w:tcW w:w="297" w:type="pct"/>
            <w:vMerge w:val="continue"/>
            <w:tcBorders>
              <w:tl2br w:val="nil"/>
              <w:tr2bl w:val="nil"/>
            </w:tcBorders>
            <w:vAlign w:val="center"/>
          </w:tcPr>
          <w:p w14:paraId="75D842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r>
      <w:tr w14:paraId="5151EF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vMerge w:val="continue"/>
            <w:tcBorders>
              <w:tl2br w:val="nil"/>
              <w:tr2bl w:val="nil"/>
            </w:tcBorders>
            <w:vAlign w:val="center"/>
          </w:tcPr>
          <w:p w14:paraId="107034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382" w:type="pct"/>
            <w:vMerge w:val="continue"/>
            <w:tcBorders>
              <w:tl2br w:val="nil"/>
              <w:tr2bl w:val="nil"/>
            </w:tcBorders>
            <w:vAlign w:val="center"/>
          </w:tcPr>
          <w:p w14:paraId="7C0245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336" w:type="pct"/>
            <w:tcBorders>
              <w:tl2br w:val="nil"/>
              <w:tr2bl w:val="nil"/>
            </w:tcBorders>
            <w:vAlign w:val="center"/>
          </w:tcPr>
          <w:p w14:paraId="790B8F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357" w:type="pct"/>
            <w:tcBorders>
              <w:tl2br w:val="nil"/>
              <w:tr2bl w:val="nil"/>
            </w:tcBorders>
            <w:vAlign w:val="center"/>
          </w:tcPr>
          <w:p w14:paraId="7E10AE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18.75</w:t>
            </w:r>
          </w:p>
        </w:tc>
        <w:tc>
          <w:tcPr>
            <w:tcW w:w="552" w:type="pct"/>
            <w:tcBorders>
              <w:tl2br w:val="nil"/>
              <w:tr2bl w:val="nil"/>
            </w:tcBorders>
            <w:vAlign w:val="center"/>
          </w:tcPr>
          <w:p w14:paraId="726126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448" w:type="pct"/>
            <w:tcBorders>
              <w:tl2br w:val="nil"/>
              <w:tr2bl w:val="nil"/>
            </w:tcBorders>
            <w:vAlign w:val="center"/>
          </w:tcPr>
          <w:p w14:paraId="3F3A9B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3.13</w:t>
            </w:r>
          </w:p>
        </w:tc>
        <w:tc>
          <w:tcPr>
            <w:tcW w:w="585" w:type="pct"/>
            <w:tcBorders>
              <w:tl2br w:val="nil"/>
              <w:tr2bl w:val="nil"/>
            </w:tcBorders>
            <w:vAlign w:val="center"/>
          </w:tcPr>
          <w:p w14:paraId="58F443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snapToGrid/>
                <w:color w:val="auto"/>
                <w:kern w:val="2"/>
                <w:sz w:val="21"/>
                <w:szCs w:val="21"/>
                <w:highlight w:val="none"/>
                <w:lang w:val="en-US" w:eastAsia="zh-CN"/>
              </w:rPr>
              <w:t>洒水降尘</w:t>
            </w:r>
          </w:p>
        </w:tc>
        <w:tc>
          <w:tcPr>
            <w:tcW w:w="234" w:type="pct"/>
            <w:tcBorders>
              <w:tl2br w:val="nil"/>
              <w:tr2bl w:val="nil"/>
            </w:tcBorders>
            <w:vAlign w:val="center"/>
          </w:tcPr>
          <w:p w14:paraId="135874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74</w:t>
            </w:r>
          </w:p>
        </w:tc>
        <w:tc>
          <w:tcPr>
            <w:tcW w:w="552" w:type="pct"/>
            <w:tcBorders>
              <w:tl2br w:val="nil"/>
              <w:tr2bl w:val="nil"/>
            </w:tcBorders>
            <w:vAlign w:val="center"/>
          </w:tcPr>
          <w:p w14:paraId="233C90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448" w:type="pct"/>
            <w:tcBorders>
              <w:tl2br w:val="nil"/>
              <w:tr2bl w:val="nil"/>
            </w:tcBorders>
            <w:vAlign w:val="center"/>
          </w:tcPr>
          <w:p w14:paraId="4A4FE7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0.81</w:t>
            </w:r>
          </w:p>
        </w:tc>
        <w:tc>
          <w:tcPr>
            <w:tcW w:w="357" w:type="pct"/>
            <w:tcBorders>
              <w:tl2br w:val="nil"/>
              <w:tr2bl w:val="nil"/>
            </w:tcBorders>
            <w:vAlign w:val="center"/>
          </w:tcPr>
          <w:p w14:paraId="0BE84C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4.88</w:t>
            </w:r>
          </w:p>
        </w:tc>
        <w:tc>
          <w:tcPr>
            <w:tcW w:w="123" w:type="pct"/>
            <w:tcBorders>
              <w:tl2br w:val="nil"/>
              <w:tr2bl w:val="nil"/>
            </w:tcBorders>
            <w:vAlign w:val="center"/>
          </w:tcPr>
          <w:p w14:paraId="2AE54C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无组织</w:t>
            </w:r>
          </w:p>
        </w:tc>
        <w:tc>
          <w:tcPr>
            <w:tcW w:w="297" w:type="pct"/>
            <w:vMerge w:val="continue"/>
            <w:tcBorders>
              <w:tl2br w:val="nil"/>
              <w:tr2bl w:val="nil"/>
            </w:tcBorders>
            <w:vAlign w:val="center"/>
          </w:tcPr>
          <w:p w14:paraId="56D599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r>
    </w:tbl>
    <w:p w14:paraId="635F71A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2</w:t>
      </w: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装卸粉尘</w:t>
      </w:r>
    </w:p>
    <w:p w14:paraId="579B723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本项目低品位铜矿原料露天堆存，在装卸过程中产生一定的粉尘，为无组织排放。装矿车辆在矿石堆场下方、靠近道路一侧进行装矿，装矿点需满足车辆停靠、掉头等要求，一般面积为20×20m</w:t>
      </w:r>
      <w:r>
        <w:rPr>
          <w:rFonts w:hint="default" w:ascii="Times New Roman" w:hAnsi="Times New Roman" w:cs="Times New Roman"/>
          <w:color w:val="auto"/>
          <w:kern w:val="0"/>
          <w:szCs w:val="28"/>
          <w:highlight w:val="none"/>
          <w:vertAlign w:val="superscript"/>
        </w:rPr>
        <w:t>2</w:t>
      </w:r>
      <w:r>
        <w:rPr>
          <w:rFonts w:hint="default" w:ascii="Times New Roman" w:hAnsi="Times New Roman" w:cs="Times New Roman"/>
          <w:color w:val="auto"/>
          <w:kern w:val="0"/>
          <w:szCs w:val="28"/>
          <w:highlight w:val="none"/>
        </w:rPr>
        <w:t>。</w:t>
      </w:r>
    </w:p>
    <w:p w14:paraId="052E3BB6">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根据《排放源统计调查产排污核算方法和系数手册》中附表2固体物料堆存颗粒物产排污核算系数手册进行核算。碎石和表土堆存过</w:t>
      </w:r>
      <w:r>
        <w:rPr>
          <w:rFonts w:hint="eastAsia" w:cs="Times New Roman"/>
          <w:color w:val="auto"/>
          <w:kern w:val="0"/>
          <w:szCs w:val="28"/>
          <w:highlight w:val="none"/>
          <w:lang w:val="en-US" w:eastAsia="zh-CN"/>
        </w:rPr>
        <w:t>程中</w:t>
      </w:r>
      <w:r>
        <w:rPr>
          <w:rFonts w:hint="default" w:ascii="Times New Roman" w:hAnsi="Times New Roman" w:eastAsia="宋体" w:cs="Times New Roman"/>
          <w:color w:val="auto"/>
          <w:kern w:val="0"/>
          <w:szCs w:val="28"/>
          <w:highlight w:val="none"/>
          <w:lang w:val="en-US" w:eastAsia="zh-CN"/>
        </w:rPr>
        <w:t>产生的颗粒物包括装卸扬尘和风蚀扬尘，颗粒物产生量核算</w:t>
      </w:r>
      <w:r>
        <w:rPr>
          <w:rFonts w:hint="eastAsia" w:cs="Times New Roman"/>
          <w:color w:val="auto"/>
          <w:kern w:val="0"/>
          <w:szCs w:val="28"/>
          <w:highlight w:val="none"/>
          <w:lang w:val="en-US" w:eastAsia="zh-CN"/>
        </w:rPr>
        <w:t>公式</w:t>
      </w:r>
      <w:r>
        <w:rPr>
          <w:rFonts w:hint="default" w:ascii="Times New Roman" w:hAnsi="Times New Roman" w:eastAsia="宋体" w:cs="Times New Roman"/>
          <w:color w:val="auto"/>
          <w:kern w:val="0"/>
          <w:szCs w:val="28"/>
          <w:highlight w:val="none"/>
          <w:lang w:val="en-US" w:eastAsia="zh-CN"/>
        </w:rPr>
        <w:t>如下：</w:t>
      </w:r>
    </w:p>
    <w:p w14:paraId="0B304282">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P=ZC</w:t>
      </w:r>
      <w:r>
        <w:rPr>
          <w:rFonts w:hint="default" w:ascii="Times New Roman" w:hAnsi="Times New Roman" w:eastAsia="宋体" w:cs="Times New Roman"/>
          <w:color w:val="auto"/>
          <w:sz w:val="24"/>
          <w:szCs w:val="24"/>
          <w:highlight w:val="none"/>
          <w:vertAlign w:val="subscript"/>
          <w:lang w:val="en-US" w:eastAsia="zh-CN"/>
        </w:rPr>
        <w:t>y</w:t>
      </w:r>
      <w:r>
        <w:rPr>
          <w:rFonts w:hint="default" w:ascii="Times New Roman" w:hAnsi="Times New Roman" w:eastAsia="宋体" w:cs="Times New Roman"/>
          <w:color w:val="auto"/>
          <w:sz w:val="24"/>
          <w:szCs w:val="24"/>
          <w:highlight w:val="none"/>
          <w:lang w:val="en-US" w:eastAsia="zh-CN"/>
        </w:rPr>
        <w:t>+FC</w:t>
      </w:r>
      <w:r>
        <w:rPr>
          <w:rFonts w:hint="default" w:ascii="Times New Roman" w:hAnsi="Times New Roman" w:eastAsia="宋体" w:cs="Times New Roman"/>
          <w:color w:val="auto"/>
          <w:sz w:val="24"/>
          <w:szCs w:val="24"/>
          <w:highlight w:val="none"/>
          <w:vertAlign w:val="subscript"/>
          <w:lang w:val="en-US" w:eastAsia="zh-CN"/>
        </w:rPr>
        <w:t>y</w:t>
      </w: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vertAlign w:val="subscript"/>
          <w:lang w:val="en-US" w:eastAsia="zh-CN"/>
        </w:rPr>
        <w:t>c</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a/b</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+2×E</w:t>
      </w:r>
      <w:r>
        <w:rPr>
          <w:rFonts w:hint="default" w:ascii="Times New Roman" w:hAnsi="Times New Roman" w:eastAsia="宋体" w:cs="Times New Roman"/>
          <w:color w:val="auto"/>
          <w:sz w:val="24"/>
          <w:szCs w:val="24"/>
          <w:highlight w:val="none"/>
          <w:vertAlign w:val="subscript"/>
          <w:lang w:val="en-US" w:eastAsia="zh-CN"/>
        </w:rPr>
        <w:t>f</w:t>
      </w:r>
      <w:r>
        <w:rPr>
          <w:rFonts w:hint="default" w:ascii="Times New Roman" w:hAnsi="Times New Roman" w:eastAsia="宋体" w:cs="Times New Roman"/>
          <w:color w:val="auto"/>
          <w:sz w:val="24"/>
          <w:szCs w:val="24"/>
          <w:highlight w:val="none"/>
          <w:lang w:val="en-US" w:eastAsia="zh-CN"/>
        </w:rPr>
        <w:t>×S}×10</w:t>
      </w:r>
      <w:r>
        <w:rPr>
          <w:rFonts w:hint="default" w:ascii="Times New Roman" w:hAnsi="Times New Roman" w:eastAsia="宋体" w:cs="Times New Roman"/>
          <w:color w:val="auto"/>
          <w:sz w:val="24"/>
          <w:szCs w:val="24"/>
          <w:highlight w:val="none"/>
          <w:vertAlign w:val="superscript"/>
          <w:lang w:val="en-US" w:eastAsia="zh-CN"/>
        </w:rPr>
        <w:t>-3</w:t>
      </w:r>
    </w:p>
    <w:p w14:paraId="6B43CB1A">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式中：P指颗粒物产生量（单位：t）；</w:t>
      </w:r>
    </w:p>
    <w:p w14:paraId="3A869462">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ZC</w:t>
      </w:r>
      <w:r>
        <w:rPr>
          <w:rFonts w:hint="default" w:ascii="Times New Roman" w:hAnsi="Times New Roman" w:eastAsia="宋体" w:cs="Times New Roman"/>
          <w:color w:val="auto"/>
          <w:sz w:val="24"/>
          <w:szCs w:val="24"/>
          <w:highlight w:val="none"/>
          <w:vertAlign w:val="subscript"/>
          <w:lang w:val="en-US" w:eastAsia="zh-CN"/>
        </w:rPr>
        <w:t>y</w:t>
      </w:r>
      <w:r>
        <w:rPr>
          <w:rFonts w:hint="default" w:ascii="Times New Roman" w:hAnsi="Times New Roman" w:eastAsia="宋体" w:cs="Times New Roman"/>
          <w:color w:val="auto"/>
          <w:sz w:val="24"/>
          <w:szCs w:val="24"/>
          <w:highlight w:val="none"/>
          <w:lang w:val="en-US" w:eastAsia="zh-CN"/>
        </w:rPr>
        <w:t>指装卸扬尘产生量（单位：t）；</w:t>
      </w:r>
    </w:p>
    <w:p w14:paraId="02C11971">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FC</w:t>
      </w:r>
      <w:r>
        <w:rPr>
          <w:rFonts w:hint="default" w:ascii="Times New Roman" w:hAnsi="Times New Roman" w:eastAsia="宋体" w:cs="Times New Roman"/>
          <w:color w:val="auto"/>
          <w:sz w:val="24"/>
          <w:szCs w:val="24"/>
          <w:highlight w:val="none"/>
          <w:vertAlign w:val="subscript"/>
          <w:lang w:val="en-US" w:eastAsia="zh-CN"/>
        </w:rPr>
        <w:t>y</w:t>
      </w:r>
      <w:r>
        <w:rPr>
          <w:rFonts w:hint="default" w:ascii="Times New Roman" w:hAnsi="Times New Roman" w:eastAsia="宋体" w:cs="Times New Roman"/>
          <w:color w:val="auto"/>
          <w:sz w:val="24"/>
          <w:szCs w:val="24"/>
          <w:highlight w:val="none"/>
          <w:lang w:val="en-US" w:eastAsia="zh-CN"/>
        </w:rPr>
        <w:t>指风蚀扬尘产生量（单位：t）；</w:t>
      </w:r>
    </w:p>
    <w:p w14:paraId="03756AF7">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vertAlign w:val="subscript"/>
          <w:lang w:val="en-US" w:eastAsia="zh-CN"/>
        </w:rPr>
        <w:t>c</w:t>
      </w:r>
      <w:r>
        <w:rPr>
          <w:rFonts w:hint="default" w:ascii="Times New Roman" w:hAnsi="Times New Roman" w:eastAsia="宋体" w:cs="Times New Roman"/>
          <w:color w:val="auto"/>
          <w:sz w:val="24"/>
          <w:szCs w:val="24"/>
          <w:highlight w:val="none"/>
          <w:lang w:val="en-US" w:eastAsia="zh-CN"/>
        </w:rPr>
        <w:t>指年物料运载车次（单位：车）；</w:t>
      </w:r>
    </w:p>
    <w:p w14:paraId="3722D46E">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D指单车平均运载量（单位：t）；</w:t>
      </w:r>
    </w:p>
    <w:p w14:paraId="6CD0DBFB">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720" w:firstLineChars="3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（a/b）指装卸扬尘概化系数（单位：t），a指各省风速概化系数，b指物料含水率概化系数，见《固体物料堆存颗粒物产排污核算系数手册》附录1、2；</w:t>
      </w:r>
    </w:p>
    <w:p w14:paraId="29839709">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Ef指堆场风蚀扬尘概化系数，见《固体物料堆存颗粒物产排污核算系数手册》附录3（单位：kg/m²）；</w:t>
      </w:r>
    </w:p>
    <w:p w14:paraId="6AFA4789">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S指堆场占地面积（单位：m²）。</w:t>
      </w:r>
    </w:p>
    <w:p w14:paraId="649B3689">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480" w:firstLineChars="200"/>
        <w:rPr>
          <w:rFonts w:hint="default" w:ascii="Times New Roman" w:hAnsi="Times New Roman" w:eastAsia="宋体" w:cs="Times New Roman"/>
          <w:color w:val="auto"/>
          <w:kern w:val="0"/>
          <w:sz w:val="24"/>
          <w:szCs w:val="28"/>
          <w:highlight w:val="none"/>
          <w:lang w:val="en-US" w:eastAsia="zh-CN"/>
        </w:rPr>
      </w:pPr>
      <w:r>
        <w:rPr>
          <w:rFonts w:hint="default" w:ascii="Times New Roman" w:hAnsi="Times New Roman" w:eastAsia="宋体" w:cs="Times New Roman"/>
          <w:color w:val="auto"/>
          <w:kern w:val="0"/>
          <w:sz w:val="24"/>
          <w:szCs w:val="28"/>
          <w:highlight w:val="none"/>
          <w:lang w:val="en-US" w:eastAsia="zh-CN"/>
        </w:rPr>
        <w:t>根据《固体物料堆存颗粒物产排污核算系数手册》</w:t>
      </w:r>
      <w:r>
        <w:rPr>
          <w:rFonts w:hint="eastAsia"/>
          <w:color w:val="auto"/>
          <w:highlight w:val="none"/>
        </w:rPr>
        <w:t>附录1、2，结合项目所在区域特点和物料特点，</w:t>
      </w:r>
      <w:r>
        <w:rPr>
          <w:rFonts w:hint="default" w:ascii="Times New Roman" w:hAnsi="Times New Roman" w:eastAsia="宋体" w:cs="Times New Roman"/>
          <w:color w:val="auto"/>
          <w:kern w:val="0"/>
          <w:sz w:val="24"/>
          <w:szCs w:val="28"/>
          <w:highlight w:val="none"/>
          <w:lang w:val="en-US" w:eastAsia="zh-CN"/>
        </w:rPr>
        <w:t>a风速概化系数为0.0011，本项目堆场（参照混合矿石）b含水率概化系数为0.0084，E</w:t>
      </w:r>
      <w:r>
        <w:rPr>
          <w:rFonts w:hint="default" w:ascii="Times New Roman" w:hAnsi="Times New Roman" w:eastAsia="宋体" w:cs="Times New Roman"/>
          <w:color w:val="auto"/>
          <w:kern w:val="0"/>
          <w:sz w:val="24"/>
          <w:szCs w:val="28"/>
          <w:highlight w:val="none"/>
          <w:vertAlign w:val="baseline"/>
          <w:lang w:val="en-US" w:eastAsia="zh-CN"/>
        </w:rPr>
        <w:t>f</w:t>
      </w:r>
      <w:r>
        <w:rPr>
          <w:rFonts w:hint="default" w:ascii="Times New Roman" w:hAnsi="Times New Roman" w:eastAsia="宋体" w:cs="Times New Roman"/>
          <w:color w:val="auto"/>
          <w:kern w:val="0"/>
          <w:sz w:val="24"/>
          <w:szCs w:val="28"/>
          <w:highlight w:val="none"/>
          <w:lang w:val="en-US" w:eastAsia="zh-CN"/>
        </w:rPr>
        <w:t>风蚀概化系数为0，D单车平均运载量以30t计，N</w:t>
      </w:r>
      <w:r>
        <w:rPr>
          <w:rFonts w:hint="default" w:ascii="Times New Roman" w:hAnsi="Times New Roman" w:eastAsia="宋体" w:cs="Times New Roman"/>
          <w:color w:val="auto"/>
          <w:kern w:val="0"/>
          <w:sz w:val="24"/>
          <w:szCs w:val="28"/>
          <w:highlight w:val="none"/>
          <w:vertAlign w:val="baseline"/>
          <w:lang w:val="en-US" w:eastAsia="zh-CN"/>
        </w:rPr>
        <w:t>c</w:t>
      </w:r>
      <w:r>
        <w:rPr>
          <w:rFonts w:hint="default" w:ascii="Times New Roman" w:hAnsi="Times New Roman" w:eastAsia="宋体" w:cs="Times New Roman"/>
          <w:color w:val="auto"/>
          <w:kern w:val="0"/>
          <w:sz w:val="24"/>
          <w:szCs w:val="28"/>
          <w:highlight w:val="none"/>
          <w:lang w:val="en-US" w:eastAsia="zh-CN"/>
        </w:rPr>
        <w:t>物料年运载车次为</w:t>
      </w:r>
      <w:r>
        <w:rPr>
          <w:rFonts w:hint="default" w:ascii="Times New Roman" w:hAnsi="Times New Roman" w:cs="Times New Roman"/>
          <w:color w:val="auto"/>
          <w:kern w:val="0"/>
          <w:sz w:val="24"/>
          <w:szCs w:val="28"/>
          <w:highlight w:val="none"/>
          <w:lang w:val="en-US" w:eastAsia="zh-CN"/>
        </w:rPr>
        <w:t>16667</w:t>
      </w:r>
      <w:r>
        <w:rPr>
          <w:rFonts w:hint="default" w:ascii="Times New Roman" w:hAnsi="Times New Roman" w:eastAsia="宋体" w:cs="Times New Roman"/>
          <w:color w:val="auto"/>
          <w:kern w:val="0"/>
          <w:sz w:val="24"/>
          <w:szCs w:val="28"/>
          <w:highlight w:val="none"/>
          <w:lang w:val="en-US" w:eastAsia="zh-CN"/>
        </w:rPr>
        <w:t>车</w:t>
      </w:r>
      <w:r>
        <w:rPr>
          <w:rFonts w:hint="default" w:ascii="Times New Roman" w:hAnsi="Times New Roman" w:cs="Times New Roman"/>
          <w:color w:val="auto"/>
          <w:kern w:val="0"/>
          <w:sz w:val="24"/>
          <w:szCs w:val="28"/>
          <w:highlight w:val="none"/>
          <w:lang w:val="en-US" w:eastAsia="zh-CN"/>
        </w:rPr>
        <w:t>。</w:t>
      </w:r>
      <w:r>
        <w:rPr>
          <w:rFonts w:hint="default" w:ascii="Times New Roman" w:hAnsi="Times New Roman" w:cs="Times New Roman"/>
          <w:color w:val="auto"/>
          <w:kern w:val="0"/>
          <w:sz w:val="24"/>
          <w:szCs w:val="28"/>
          <w:highlight w:val="none"/>
          <w:lang w:val="en-US" w:eastAsia="zh-CN" w:bidi="zh-CN"/>
        </w:rPr>
        <w:t>代入</w:t>
      </w:r>
      <w:r>
        <w:rPr>
          <w:rFonts w:hint="default" w:ascii="Times New Roman" w:hAnsi="Times New Roman" w:eastAsia="宋体" w:cs="Times New Roman"/>
          <w:color w:val="auto"/>
          <w:kern w:val="0"/>
          <w:sz w:val="24"/>
          <w:szCs w:val="28"/>
          <w:highlight w:val="none"/>
          <w:lang w:val="en-US" w:eastAsia="zh-CN"/>
        </w:rPr>
        <w:t>后计算可知，本项目装卸粉尘年产生颗粒物量为</w:t>
      </w:r>
      <w:r>
        <w:rPr>
          <w:rFonts w:hint="default" w:ascii="Times New Roman" w:hAnsi="Times New Roman" w:cs="Times New Roman"/>
          <w:color w:val="auto"/>
          <w:kern w:val="0"/>
          <w:sz w:val="24"/>
          <w:szCs w:val="28"/>
          <w:highlight w:val="none"/>
          <w:lang w:val="en-US" w:eastAsia="zh-CN"/>
        </w:rPr>
        <w:t>65.48</w:t>
      </w:r>
      <w:r>
        <w:rPr>
          <w:rFonts w:hint="default" w:ascii="Times New Roman" w:hAnsi="Times New Roman" w:eastAsia="宋体" w:cs="Times New Roman"/>
          <w:color w:val="auto"/>
          <w:kern w:val="0"/>
          <w:sz w:val="24"/>
          <w:szCs w:val="28"/>
          <w:highlight w:val="none"/>
          <w:lang w:val="en-US" w:eastAsia="zh-CN"/>
        </w:rPr>
        <w:t>t。</w:t>
      </w:r>
    </w:p>
    <w:p w14:paraId="69A3FA8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val="en-US" w:eastAsia="zh-CN"/>
        </w:rPr>
        <w:t>根据《固体物料堆存颗粒物产排污核算系数手册》中“附录 4：粉尘控制措施控制效率”，</w:t>
      </w:r>
      <w:r>
        <w:rPr>
          <w:rFonts w:hint="default" w:ascii="Times New Roman" w:hAnsi="Times New Roman" w:cs="Times New Roman"/>
          <w:color w:val="auto"/>
          <w:kern w:val="0"/>
          <w:szCs w:val="28"/>
          <w:highlight w:val="none"/>
        </w:rPr>
        <w:t>采取洒水降尘、降低装卸高度、禁止大风天作业等措施可减少扬尘约</w:t>
      </w:r>
      <w:r>
        <w:rPr>
          <w:rFonts w:hint="default" w:ascii="Times New Roman" w:hAnsi="Times New Roman" w:cs="Times New Roman"/>
          <w:color w:val="auto"/>
          <w:kern w:val="0"/>
          <w:szCs w:val="28"/>
          <w:highlight w:val="none"/>
          <w:lang w:val="en-US" w:eastAsia="zh-CN"/>
        </w:rPr>
        <w:t>80</w:t>
      </w:r>
      <w:r>
        <w:rPr>
          <w:rFonts w:hint="default" w:ascii="Times New Roman" w:hAnsi="Times New Roman" w:cs="Times New Roman"/>
          <w:color w:val="auto"/>
          <w:kern w:val="0"/>
          <w:szCs w:val="28"/>
          <w:highlight w:val="none"/>
        </w:rPr>
        <w:t>%，则共排放扬尘</w:t>
      </w:r>
      <w:r>
        <w:rPr>
          <w:rFonts w:hint="default" w:ascii="Times New Roman" w:hAnsi="Times New Roman" w:cs="Times New Roman"/>
          <w:color w:val="auto"/>
          <w:kern w:val="0"/>
          <w:szCs w:val="28"/>
          <w:highlight w:val="none"/>
          <w:lang w:val="en-US" w:eastAsia="zh-CN"/>
        </w:rPr>
        <w:t>13.09</w:t>
      </w:r>
      <w:r>
        <w:rPr>
          <w:rFonts w:hint="default" w:ascii="Times New Roman" w:hAnsi="Times New Roman" w:cs="Times New Roman"/>
          <w:color w:val="auto"/>
          <w:kern w:val="0"/>
          <w:szCs w:val="28"/>
          <w:highlight w:val="none"/>
        </w:rPr>
        <w:t>t。</w:t>
      </w:r>
    </w:p>
    <w:p w14:paraId="61D4EF05">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3</w:t>
      </w:r>
      <w:r>
        <w:rPr>
          <w:rFonts w:hint="default" w:ascii="Times New Roman" w:hAnsi="Times New Roman" w:cs="Times New Roman"/>
          <w:color w:val="auto"/>
          <w:kern w:val="0"/>
          <w:szCs w:val="28"/>
          <w:highlight w:val="none"/>
        </w:rPr>
        <w:t>）道路运输扬尘</w:t>
      </w:r>
    </w:p>
    <w:p w14:paraId="0D99288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64" w:firstLineChars="200"/>
        <w:textAlignment w:val="auto"/>
        <w:rPr>
          <w:rFonts w:hint="default" w:ascii="Times New Roman" w:hAnsi="Times New Roman" w:eastAsia="宋体" w:cs="Times New Roman"/>
          <w:b w:val="0"/>
          <w:color w:val="auto"/>
          <w:spacing w:val="-4"/>
          <w:kern w:val="2"/>
          <w:sz w:val="24"/>
          <w:szCs w:val="24"/>
          <w:highlight w:val="none"/>
          <w:lang w:val="en-US" w:eastAsia="zh-CN" w:bidi="ar-SA"/>
        </w:rPr>
      </w:pPr>
      <w:r>
        <w:rPr>
          <w:rFonts w:hint="default" w:ascii="Times New Roman" w:hAnsi="Times New Roman" w:cs="Times New Roman"/>
          <w:color w:val="auto"/>
          <w:spacing w:val="-4"/>
          <w:sz w:val="24"/>
          <w:szCs w:val="24"/>
          <w:highlight w:val="none"/>
        </w:rPr>
        <w:t>本项目距离堆场最远约</w:t>
      </w:r>
      <w:r>
        <w:rPr>
          <w:rFonts w:hint="default" w:ascii="Times New Roman" w:hAnsi="Times New Roman" w:eastAsia="Times New Roman" w:cs="Times New Roman"/>
          <w:color w:val="auto"/>
          <w:spacing w:val="-4"/>
          <w:sz w:val="24"/>
          <w:szCs w:val="24"/>
          <w:highlight w:val="none"/>
        </w:rPr>
        <w:t>50m</w:t>
      </w:r>
      <w:r>
        <w:rPr>
          <w:rFonts w:hint="default" w:ascii="Times New Roman" w:hAnsi="Times New Roman" w:cs="Times New Roman"/>
          <w:color w:val="auto"/>
          <w:spacing w:val="-4"/>
          <w:sz w:val="24"/>
          <w:szCs w:val="24"/>
          <w:highlight w:val="none"/>
        </w:rPr>
        <w:t>，运输道</w:t>
      </w:r>
      <w:r>
        <w:rPr>
          <w:rFonts w:hint="default" w:ascii="Times New Roman" w:hAnsi="Times New Roman" w:cs="Times New Roman"/>
          <w:color w:val="auto"/>
          <w:spacing w:val="-2"/>
          <w:sz w:val="24"/>
          <w:szCs w:val="24"/>
          <w:highlight w:val="none"/>
        </w:rPr>
        <w:t>路为泥结碎石简易路面。</w:t>
      </w:r>
      <w:r>
        <w:rPr>
          <w:rFonts w:hint="default" w:ascii="Times New Roman" w:hAnsi="Times New Roman" w:eastAsia="宋体" w:cs="Times New Roman"/>
          <w:b w:val="0"/>
          <w:color w:val="auto"/>
          <w:spacing w:val="-4"/>
          <w:kern w:val="2"/>
          <w:sz w:val="24"/>
          <w:szCs w:val="24"/>
          <w:highlight w:val="none"/>
          <w:lang w:val="en-US" w:eastAsia="zh-CN" w:bidi="ar-SA"/>
        </w:rPr>
        <w:t>采用公式：</w:t>
      </w:r>
    </w:p>
    <w:p w14:paraId="14E79DC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jc w:val="center"/>
        <w:textAlignment w:val="auto"/>
        <w:rPr>
          <w:rFonts w:hint="default" w:ascii="Times New Roman" w:hAnsi="Times New Roman" w:eastAsia="Times New Roman" w:cs="Times New Roman"/>
          <w:color w:val="auto"/>
          <w:sz w:val="24"/>
          <w:szCs w:val="24"/>
          <w:highlight w:val="none"/>
        </w:rPr>
      </w:pPr>
      <w:r>
        <w:rPr>
          <w:rFonts w:hint="default" w:ascii="Times New Roman" w:hAnsi="Times New Roman" w:eastAsia="Times New Roman" w:cs="Times New Roman"/>
          <w:i/>
          <w:iCs/>
          <w:color w:val="auto"/>
          <w:spacing w:val="-3"/>
          <w:sz w:val="24"/>
          <w:szCs w:val="24"/>
          <w:highlight w:val="none"/>
        </w:rPr>
        <w:t>Q</w:t>
      </w:r>
      <w:r>
        <w:rPr>
          <w:rFonts w:hint="default" w:ascii="Times New Roman" w:hAnsi="Times New Roman" w:eastAsia="Times New Roman" w:cs="Times New Roman"/>
          <w:color w:val="auto"/>
          <w:spacing w:val="-3"/>
          <w:position w:val="-6"/>
          <w:sz w:val="24"/>
          <w:szCs w:val="24"/>
          <w:highlight w:val="none"/>
        </w:rPr>
        <w:t>p</w:t>
      </w:r>
      <w:r>
        <w:rPr>
          <w:rFonts w:hint="default" w:ascii="Times New Roman" w:hAnsi="Times New Roman" w:eastAsia="微软雅黑"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0.123</w:t>
      </w:r>
      <w:r>
        <w:rPr>
          <w:rFonts w:hint="eastAsia" w:eastAsia="宋体" w:cs="Times New Roman"/>
          <w:color w:val="auto"/>
          <w:spacing w:val="1"/>
          <w:sz w:val="24"/>
          <w:szCs w:val="24"/>
          <w:highlight w:val="none"/>
          <w:lang w:eastAsia="zh-CN"/>
        </w:rPr>
        <w:t>(</w:t>
      </w:r>
      <w:r>
        <w:rPr>
          <w:rFonts w:hint="default" w:ascii="Times New Roman" w:hAnsi="Times New Roman" w:eastAsia="Times New Roman" w:cs="Times New Roman"/>
          <w:i/>
          <w:iCs/>
          <w:color w:val="auto"/>
          <w:spacing w:val="1"/>
          <w:sz w:val="24"/>
          <w:szCs w:val="24"/>
          <w:highlight w:val="none"/>
        </w:rPr>
        <w:t>V</w:t>
      </w:r>
      <w:r>
        <w:rPr>
          <w:rFonts w:hint="default" w:ascii="Times New Roman" w:hAnsi="Times New Roman" w:eastAsia="Times New Roman" w:cs="Times New Roman"/>
          <w:color w:val="auto"/>
          <w:spacing w:val="1"/>
          <w:sz w:val="24"/>
          <w:szCs w:val="24"/>
          <w:highlight w:val="none"/>
        </w:rPr>
        <w:t>/5</w:t>
      </w:r>
      <w:r>
        <w:rPr>
          <w:rFonts w:hint="eastAsia" w:eastAsia="宋体" w:cs="Times New Roman"/>
          <w:color w:val="auto"/>
          <w:spacing w:val="1"/>
          <w:sz w:val="24"/>
          <w:szCs w:val="24"/>
          <w:highlight w:val="none"/>
          <w:lang w:eastAsia="zh-CN"/>
        </w:rPr>
        <w:t>)</w:t>
      </w:r>
      <w:r>
        <w:rPr>
          <w:rFonts w:hint="default" w:ascii="Times New Roman" w:hAnsi="Times New Roman" w:eastAsia="微软雅黑" w:cs="Times New Roman"/>
          <w:color w:val="auto"/>
          <w:spacing w:val="1"/>
          <w:sz w:val="24"/>
          <w:szCs w:val="24"/>
          <w:highlight w:val="none"/>
        </w:rPr>
        <w:t>.</w:t>
      </w:r>
      <w:r>
        <w:rPr>
          <w:rFonts w:hint="eastAsia" w:eastAsia="微软雅黑" w:cs="Times New Roman"/>
          <w:color w:val="auto"/>
          <w:spacing w:val="1"/>
          <w:sz w:val="24"/>
          <w:szCs w:val="24"/>
          <w:highlight w:val="none"/>
          <w:lang w:eastAsia="zh-CN"/>
        </w:rPr>
        <w:t>(</w:t>
      </w:r>
      <w:r>
        <w:rPr>
          <w:rFonts w:hint="default" w:ascii="Times New Roman" w:hAnsi="Times New Roman" w:eastAsia="Times New Roman" w:cs="Times New Roman"/>
          <w:i/>
          <w:iCs/>
          <w:color w:val="auto"/>
          <w:spacing w:val="1"/>
          <w:sz w:val="24"/>
          <w:szCs w:val="24"/>
          <w:highlight w:val="none"/>
        </w:rPr>
        <w:t>M</w:t>
      </w:r>
      <w:r>
        <w:rPr>
          <w:rFonts w:hint="default" w:ascii="Times New Roman" w:hAnsi="Times New Roman" w:eastAsia="Times New Roman" w:cs="Times New Roman"/>
          <w:color w:val="auto"/>
          <w:spacing w:val="1"/>
          <w:sz w:val="24"/>
          <w:szCs w:val="24"/>
          <w:highlight w:val="none"/>
        </w:rPr>
        <w:t>/6.8</w:t>
      </w:r>
      <w:r>
        <w:rPr>
          <w:rFonts w:hint="eastAsia" w:eastAsia="宋体" w:cs="Times New Roman"/>
          <w:color w:val="auto"/>
          <w:spacing w:val="1"/>
          <w:sz w:val="24"/>
          <w:szCs w:val="24"/>
          <w:highlight w:val="none"/>
          <w:lang w:eastAsia="zh-CN"/>
        </w:rPr>
        <w:t>)</w:t>
      </w:r>
      <w:r>
        <w:rPr>
          <w:rFonts w:hint="default" w:ascii="Times New Roman" w:hAnsi="Times New Roman" w:eastAsia="Times New Roman" w:cs="Times New Roman"/>
          <w:color w:val="auto"/>
          <w:spacing w:val="1"/>
          <w:position w:val="10"/>
          <w:sz w:val="24"/>
          <w:szCs w:val="24"/>
          <w:highlight w:val="none"/>
        </w:rPr>
        <w:t>0.85</w:t>
      </w:r>
      <w:r>
        <w:rPr>
          <w:rFonts w:hint="default" w:ascii="Times New Roman" w:hAnsi="Times New Roman" w:eastAsia="微软雅黑" w:cs="Times New Roman"/>
          <w:color w:val="auto"/>
          <w:spacing w:val="1"/>
          <w:sz w:val="24"/>
          <w:szCs w:val="24"/>
          <w:highlight w:val="none"/>
        </w:rPr>
        <w:t>.</w:t>
      </w:r>
      <w:r>
        <w:rPr>
          <w:rFonts w:hint="eastAsia" w:eastAsia="微软雅黑" w:cs="Times New Roman"/>
          <w:color w:val="auto"/>
          <w:spacing w:val="1"/>
          <w:sz w:val="24"/>
          <w:szCs w:val="24"/>
          <w:highlight w:val="none"/>
          <w:lang w:eastAsia="zh-CN"/>
        </w:rPr>
        <w:t>(</w:t>
      </w:r>
      <w:r>
        <w:rPr>
          <w:rFonts w:hint="default" w:ascii="Times New Roman" w:hAnsi="Times New Roman" w:eastAsia="Times New Roman" w:cs="Times New Roman"/>
          <w:i/>
          <w:iCs/>
          <w:color w:val="auto"/>
          <w:spacing w:val="1"/>
          <w:sz w:val="24"/>
          <w:szCs w:val="24"/>
          <w:highlight w:val="none"/>
        </w:rPr>
        <w:t>P</w:t>
      </w:r>
      <w:r>
        <w:rPr>
          <w:rFonts w:hint="default" w:ascii="Times New Roman" w:hAnsi="Times New Roman" w:eastAsia="Times New Roman" w:cs="Times New Roman"/>
          <w:color w:val="auto"/>
          <w:spacing w:val="1"/>
          <w:sz w:val="24"/>
          <w:szCs w:val="24"/>
          <w:highlight w:val="none"/>
        </w:rPr>
        <w:t>/0.5</w:t>
      </w:r>
      <w:r>
        <w:rPr>
          <w:rFonts w:hint="eastAsia" w:eastAsia="宋体" w:cs="Times New Roman"/>
          <w:color w:val="auto"/>
          <w:spacing w:val="1"/>
          <w:sz w:val="24"/>
          <w:szCs w:val="24"/>
          <w:highlight w:val="none"/>
          <w:lang w:eastAsia="zh-CN"/>
        </w:rPr>
        <w:t>)</w:t>
      </w:r>
      <w:r>
        <w:rPr>
          <w:rFonts w:hint="default" w:ascii="Times New Roman" w:hAnsi="Times New Roman" w:eastAsia="Times New Roman" w:cs="Times New Roman"/>
          <w:color w:val="auto"/>
          <w:spacing w:val="1"/>
          <w:position w:val="10"/>
          <w:sz w:val="24"/>
          <w:szCs w:val="24"/>
          <w:highlight w:val="none"/>
        </w:rPr>
        <w:t>0.72</w:t>
      </w:r>
    </w:p>
    <w:p w14:paraId="688EFE05">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32" w:firstLineChars="200"/>
        <w:jc w:val="center"/>
        <w:textAlignment w:val="auto"/>
        <w:rPr>
          <w:rFonts w:hint="default" w:ascii="Times New Roman" w:hAnsi="Times New Roman" w:cs="Times New Roman"/>
          <w:color w:val="auto"/>
          <w:spacing w:val="-2"/>
          <w:sz w:val="24"/>
          <w:szCs w:val="24"/>
          <w:highlight w:val="none"/>
        </w:rPr>
      </w:pPr>
      <w:r>
        <w:rPr>
          <w:rFonts w:hint="default" w:ascii="Times New Roman" w:hAnsi="Times New Roman" w:eastAsia="Times New Roman" w:cs="Times New Roman"/>
          <w:i/>
          <w:iCs/>
          <w:color w:val="auto"/>
          <w:spacing w:val="-12"/>
          <w:sz w:val="24"/>
          <w:szCs w:val="24"/>
          <w:highlight w:val="none"/>
        </w:rPr>
        <w:t>Q</w:t>
      </w:r>
      <w:r>
        <w:rPr>
          <w:rFonts w:hint="default" w:ascii="Times New Roman" w:hAnsi="Times New Roman" w:eastAsia="Times New Roman" w:cs="Times New Roman"/>
          <w:color w:val="auto"/>
          <w:spacing w:val="-12"/>
          <w:position w:val="-5"/>
          <w:sz w:val="24"/>
          <w:szCs w:val="24"/>
          <w:highlight w:val="none"/>
        </w:rPr>
        <w:t>p</w:t>
      </w:r>
      <w:r>
        <w:rPr>
          <w:rFonts w:hint="default" w:ascii="Times New Roman" w:hAnsi="Times New Roman" w:eastAsia="Times New Roman" w:cs="Times New Roman"/>
          <w:color w:val="auto"/>
          <w:spacing w:val="-12"/>
          <w:sz w:val="24"/>
          <w:szCs w:val="24"/>
          <w:highlight w:val="none"/>
        </w:rPr>
        <w:t>'</w:t>
      </w:r>
      <w:r>
        <w:rPr>
          <w:rFonts w:hint="default" w:ascii="Times New Roman" w:hAnsi="Times New Roman" w:eastAsia="微软雅黑" w:cs="Times New Roman"/>
          <w:color w:val="auto"/>
          <w:spacing w:val="-12"/>
          <w:sz w:val="24"/>
          <w:szCs w:val="24"/>
          <w:highlight w:val="none"/>
        </w:rPr>
        <w:t>=</w:t>
      </w:r>
      <w:r>
        <w:rPr>
          <w:rFonts w:hint="default" w:ascii="Times New Roman" w:hAnsi="Times New Roman" w:eastAsia="Times New Roman" w:cs="Times New Roman"/>
          <w:i/>
          <w:iCs/>
          <w:color w:val="auto"/>
          <w:spacing w:val="-12"/>
          <w:sz w:val="24"/>
          <w:szCs w:val="24"/>
          <w:highlight w:val="none"/>
        </w:rPr>
        <w:t>Q</w:t>
      </w:r>
      <w:r>
        <w:rPr>
          <w:rFonts w:hint="default" w:ascii="Times New Roman" w:hAnsi="Times New Roman" w:eastAsia="Times New Roman" w:cs="Times New Roman"/>
          <w:color w:val="auto"/>
          <w:spacing w:val="3"/>
          <w:position w:val="-5"/>
          <w:sz w:val="24"/>
          <w:szCs w:val="24"/>
          <w:highlight w:val="none"/>
        </w:rPr>
        <w:t>p</w:t>
      </w:r>
      <w:r>
        <w:rPr>
          <w:rFonts w:hint="default" w:ascii="Times New Roman" w:hAnsi="Times New Roman" w:eastAsia="微软雅黑" w:cs="Times New Roman"/>
          <w:color w:val="auto"/>
          <w:spacing w:val="14"/>
          <w:sz w:val="24"/>
          <w:szCs w:val="24"/>
          <w:highlight w:val="none"/>
        </w:rPr>
        <w:t>.</w:t>
      </w:r>
      <w:r>
        <w:rPr>
          <w:rFonts w:hint="default" w:ascii="Times New Roman" w:hAnsi="Times New Roman" w:eastAsia="Times New Roman" w:cs="Times New Roman"/>
          <w:i/>
          <w:iCs/>
          <w:color w:val="auto"/>
          <w:spacing w:val="14"/>
          <w:sz w:val="24"/>
          <w:szCs w:val="24"/>
          <w:highlight w:val="none"/>
        </w:rPr>
        <w:t>L</w:t>
      </w:r>
      <w:r>
        <w:rPr>
          <w:rFonts w:hint="default" w:ascii="Times New Roman" w:hAnsi="Times New Roman" w:eastAsia="微软雅黑" w:cs="Times New Roman"/>
          <w:color w:val="auto"/>
          <w:spacing w:val="14"/>
          <w:sz w:val="24"/>
          <w:szCs w:val="24"/>
          <w:highlight w:val="none"/>
        </w:rPr>
        <w:t>.</w:t>
      </w:r>
      <w:r>
        <w:rPr>
          <w:rFonts w:hint="default" w:ascii="Times New Roman" w:hAnsi="Times New Roman" w:eastAsia="Times New Roman" w:cs="Times New Roman"/>
          <w:i/>
          <w:iCs/>
          <w:color w:val="auto"/>
          <w:spacing w:val="14"/>
          <w:sz w:val="24"/>
          <w:szCs w:val="24"/>
          <w:highlight w:val="none"/>
        </w:rPr>
        <w:t>Q</w:t>
      </w:r>
      <w:r>
        <w:rPr>
          <w:rFonts w:hint="default" w:ascii="Times New Roman" w:hAnsi="Times New Roman" w:eastAsia="Times New Roman" w:cs="Times New Roman"/>
          <w:color w:val="auto"/>
          <w:spacing w:val="14"/>
          <w:sz w:val="24"/>
          <w:szCs w:val="24"/>
          <w:highlight w:val="none"/>
        </w:rPr>
        <w:t>/</w:t>
      </w:r>
      <w:r>
        <w:rPr>
          <w:rFonts w:hint="default" w:ascii="Times New Roman" w:hAnsi="Times New Roman" w:eastAsia="Times New Roman" w:cs="Times New Roman"/>
          <w:i/>
          <w:iCs/>
          <w:color w:val="auto"/>
          <w:spacing w:val="14"/>
          <w:sz w:val="24"/>
          <w:szCs w:val="24"/>
          <w:highlight w:val="none"/>
        </w:rPr>
        <w:t>M</w:t>
      </w:r>
    </w:p>
    <w:p w14:paraId="73DB4AB1">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计算参数：Q</w:t>
      </w:r>
      <w:r>
        <w:rPr>
          <w:rFonts w:hint="default" w:ascii="Times New Roman" w:hAnsi="Times New Roman" w:cs="Times New Roman"/>
          <w:color w:val="auto"/>
          <w:kern w:val="0"/>
          <w:szCs w:val="28"/>
          <w:highlight w:val="none"/>
          <w:vertAlign w:val="subscript"/>
        </w:rPr>
        <w:t>P</w:t>
      </w:r>
      <w:r>
        <w:rPr>
          <w:rFonts w:hint="default" w:ascii="Times New Roman" w:hAnsi="Times New Roman" w:cs="Times New Roman"/>
          <w:color w:val="auto"/>
          <w:kern w:val="0"/>
          <w:szCs w:val="28"/>
          <w:highlight w:val="none"/>
        </w:rPr>
        <w:t>――道路扬尘量（1.431kg/km·辆）；</w:t>
      </w:r>
    </w:p>
    <w:p w14:paraId="2AF015F4">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Q</w:t>
      </w:r>
      <w:r>
        <w:rPr>
          <w:rFonts w:hint="default" w:ascii="Times New Roman" w:hAnsi="Times New Roman" w:cs="Times New Roman"/>
          <w:color w:val="auto"/>
          <w:kern w:val="0"/>
          <w:szCs w:val="28"/>
          <w:highlight w:val="none"/>
          <w:vertAlign w:val="subscript"/>
        </w:rPr>
        <w:t>P</w:t>
      </w:r>
      <w:r>
        <w:rPr>
          <w:rFonts w:hint="default" w:ascii="Times New Roman" w:hAnsi="Times New Roman" w:cs="Times New Roman"/>
          <w:color w:val="auto"/>
          <w:kern w:val="0"/>
          <w:szCs w:val="28"/>
          <w:highlight w:val="none"/>
        </w:rPr>
        <w:t>′――总扬尘量（kg/a）；</w:t>
      </w:r>
    </w:p>
    <w:p w14:paraId="32EF4239">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V――车辆速度（10km/h）；</w:t>
      </w:r>
    </w:p>
    <w:p w14:paraId="449EB001">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M――车辆载重（30t/辆）；</w:t>
      </w:r>
    </w:p>
    <w:p w14:paraId="173DE856">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P――路面灰尘覆盖率（1.0kg/m</w:t>
      </w:r>
      <w:r>
        <w:rPr>
          <w:rFonts w:hint="default" w:ascii="Times New Roman" w:hAnsi="Times New Roman" w:cs="Times New Roman"/>
          <w:color w:val="auto"/>
          <w:kern w:val="0"/>
          <w:szCs w:val="28"/>
          <w:highlight w:val="none"/>
          <w:vertAlign w:val="superscript"/>
        </w:rPr>
        <w:t>2</w:t>
      </w:r>
      <w:r>
        <w:rPr>
          <w:rFonts w:hint="default" w:ascii="Times New Roman" w:hAnsi="Times New Roman" w:cs="Times New Roman"/>
          <w:color w:val="auto"/>
          <w:kern w:val="0"/>
          <w:szCs w:val="28"/>
          <w:highlight w:val="none"/>
        </w:rPr>
        <w:t>）；</w:t>
      </w:r>
    </w:p>
    <w:p w14:paraId="2C8C82DC">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L――运距，</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rPr>
        <w:t>km，考虑矿区公路的运输距离约50m</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rPr>
        <w:t>；</w:t>
      </w:r>
    </w:p>
    <w:p w14:paraId="3F1B93F7">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Q――运输量，</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lang w:val="en-US" w:eastAsia="zh-CN"/>
        </w:rPr>
        <w:t>500000</w:t>
      </w:r>
      <w:r>
        <w:rPr>
          <w:rFonts w:hint="default" w:ascii="Times New Roman" w:hAnsi="Times New Roman" w:cs="Times New Roman"/>
          <w:color w:val="auto"/>
          <w:kern w:val="0"/>
          <w:szCs w:val="28"/>
          <w:highlight w:val="none"/>
        </w:rPr>
        <w:t>t</w:t>
      </w:r>
      <w:r>
        <w:rPr>
          <w:rFonts w:hint="default" w:ascii="Times New Roman" w:hAnsi="Times New Roman" w:cs="Times New Roman"/>
          <w:color w:val="auto"/>
          <w:kern w:val="0"/>
          <w:szCs w:val="28"/>
          <w:highlight w:val="none"/>
          <w:lang w:eastAsia="zh-CN"/>
        </w:rPr>
        <w:t>）</w:t>
      </w:r>
    </w:p>
    <w:p w14:paraId="58810292">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由上计算得出项目运输共产生34.988kg粉尘，运输持续时间约20d，则产生粉尘1.749kg/d。通过采用洒水降尘与车厢篷布遮盖等措施可抑制约</w:t>
      </w:r>
      <w:r>
        <w:rPr>
          <w:rFonts w:hint="default" w:ascii="Times New Roman" w:hAnsi="Times New Roman" w:cs="Times New Roman"/>
          <w:color w:val="auto"/>
          <w:kern w:val="0"/>
          <w:szCs w:val="28"/>
          <w:highlight w:val="none"/>
          <w:lang w:val="en-US" w:eastAsia="zh-CN"/>
        </w:rPr>
        <w:t>80</w:t>
      </w:r>
      <w:r>
        <w:rPr>
          <w:rFonts w:hint="default" w:ascii="Times New Roman" w:hAnsi="Times New Roman" w:cs="Times New Roman"/>
          <w:color w:val="auto"/>
          <w:kern w:val="0"/>
          <w:szCs w:val="28"/>
          <w:highlight w:val="none"/>
        </w:rPr>
        <w:t>%的道路车辆运输扬尘</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rPr>
        <w:t>则排放粉尘</w:t>
      </w:r>
      <w:r>
        <w:rPr>
          <w:rFonts w:hint="default" w:ascii="Times New Roman" w:hAnsi="Times New Roman" w:cs="Times New Roman"/>
          <w:color w:val="auto"/>
          <w:kern w:val="0"/>
          <w:szCs w:val="28"/>
          <w:highlight w:val="none"/>
          <w:lang w:val="en-US" w:eastAsia="zh-CN"/>
        </w:rPr>
        <w:t>7.0</w:t>
      </w:r>
      <w:r>
        <w:rPr>
          <w:rFonts w:hint="default" w:ascii="Times New Roman" w:hAnsi="Times New Roman" w:cs="Times New Roman"/>
          <w:color w:val="auto"/>
          <w:kern w:val="0"/>
          <w:szCs w:val="28"/>
          <w:highlight w:val="none"/>
        </w:rPr>
        <w:t>kg，</w:t>
      </w:r>
      <w:r>
        <w:rPr>
          <w:rFonts w:hint="default" w:ascii="Times New Roman" w:hAnsi="Times New Roman" w:cs="Times New Roman"/>
          <w:color w:val="auto"/>
          <w:kern w:val="0"/>
          <w:szCs w:val="28"/>
          <w:highlight w:val="none"/>
          <w:lang w:val="en-US" w:eastAsia="zh-CN"/>
        </w:rPr>
        <w:t>0.35</w:t>
      </w:r>
      <w:r>
        <w:rPr>
          <w:rFonts w:hint="default" w:ascii="Times New Roman" w:hAnsi="Times New Roman" w:cs="Times New Roman"/>
          <w:color w:val="auto"/>
          <w:kern w:val="0"/>
          <w:szCs w:val="28"/>
          <w:highlight w:val="none"/>
        </w:rPr>
        <w:t>kg/d。</w:t>
      </w:r>
    </w:p>
    <w:p w14:paraId="1370B2BF">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w:t>
      </w:r>
      <w:r>
        <w:rPr>
          <w:rFonts w:hint="eastAsia" w:cs="Times New Roman"/>
          <w:color w:val="auto"/>
          <w:kern w:val="0"/>
          <w:szCs w:val="28"/>
          <w:highlight w:val="none"/>
          <w:lang w:val="en-US" w:eastAsia="zh-CN"/>
        </w:rPr>
        <w:t>4</w:t>
      </w: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硫酸储罐无组织废气</w:t>
      </w:r>
    </w:p>
    <w:p w14:paraId="7B078E10">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sz w:val="24"/>
          <w:highlight w:val="none"/>
          <w:lang w:val="en-US" w:eastAsia="zh-CN"/>
        </w:rPr>
        <w:t>本项目</w:t>
      </w:r>
      <w:r>
        <w:rPr>
          <w:rFonts w:hint="default" w:ascii="Times New Roman" w:hAnsi="Times New Roman" w:cs="Times New Roman"/>
          <w:color w:val="auto"/>
          <w:szCs w:val="21"/>
          <w:highlight w:val="none"/>
          <w:lang w:val="en-US" w:eastAsia="zh-CN"/>
        </w:rPr>
        <w:t>硫酸</w:t>
      </w:r>
      <w:r>
        <w:rPr>
          <w:rFonts w:hint="eastAsia" w:cs="Times New Roman"/>
          <w:color w:val="auto"/>
          <w:szCs w:val="21"/>
          <w:highlight w:val="none"/>
          <w:lang w:val="en-US" w:eastAsia="zh-CN"/>
        </w:rPr>
        <w:t>储罐</w:t>
      </w:r>
      <w:r>
        <w:rPr>
          <w:rFonts w:hint="default" w:ascii="Times New Roman" w:hAnsi="Times New Roman" w:cs="Times New Roman"/>
          <w:color w:val="auto"/>
          <w:sz w:val="24"/>
          <w:highlight w:val="none"/>
        </w:rPr>
        <w:t>为常压固定顶罐，</w:t>
      </w:r>
      <w:r>
        <w:rPr>
          <w:rFonts w:hint="eastAsia" w:cs="Times New Roman"/>
          <w:color w:val="auto"/>
          <w:sz w:val="24"/>
          <w:highlight w:val="none"/>
          <w:lang w:val="en-US" w:eastAsia="zh-CN"/>
        </w:rPr>
        <w:t>硫酸</w:t>
      </w:r>
      <w:r>
        <w:rPr>
          <w:rFonts w:hint="default" w:ascii="Times New Roman" w:hAnsi="Times New Roman" w:cs="Times New Roman"/>
          <w:color w:val="auto"/>
          <w:sz w:val="24"/>
          <w:highlight w:val="none"/>
        </w:rPr>
        <w:t>装卸时会产生“大呼吸”废气，也会产生少量“小呼吸”废气。</w:t>
      </w:r>
    </w:p>
    <w:p w14:paraId="42FA5087">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Cs w:val="21"/>
          <w:highlight w:val="none"/>
          <w:lang w:val="en-US" w:eastAsia="zh-CN"/>
        </w:rPr>
        <w:t>硫酸</w:t>
      </w:r>
      <w:r>
        <w:rPr>
          <w:rFonts w:hint="default" w:ascii="Times New Roman" w:hAnsi="Times New Roman" w:cs="Times New Roman"/>
          <w:color w:val="auto"/>
          <w:sz w:val="24"/>
          <w:highlight w:val="none"/>
        </w:rPr>
        <w:t>为常压固定顶罐，</w:t>
      </w:r>
      <w:bookmarkStart w:id="126" w:name="OLE_LINK37"/>
      <w:r>
        <w:rPr>
          <w:rFonts w:hint="default" w:ascii="Times New Roman" w:hAnsi="Times New Roman" w:cs="Times New Roman"/>
          <w:color w:val="auto"/>
          <w:sz w:val="24"/>
          <w:highlight w:val="none"/>
        </w:rPr>
        <w:t>“大呼吸废气”</w:t>
      </w:r>
      <w:bookmarkEnd w:id="126"/>
      <w:r>
        <w:rPr>
          <w:rFonts w:hint="default" w:ascii="Times New Roman" w:hAnsi="Times New Roman" w:cs="Times New Roman"/>
          <w:color w:val="auto"/>
          <w:sz w:val="24"/>
          <w:highlight w:val="none"/>
        </w:rPr>
        <w:t>计算如下：</w:t>
      </w:r>
    </w:p>
    <w:p w14:paraId="1CF063E6">
      <w:pPr>
        <w:keepNext w:val="0"/>
        <w:keepLines w:val="0"/>
        <w:pageBreakBefore w:val="0"/>
        <w:kinsoku/>
        <w:wordWrap/>
        <w:overflowPunct/>
        <w:topLinePunct w:val="0"/>
        <w:bidi w:val="0"/>
        <w:adjustRightInd w:val="0"/>
        <w:snapToGrid w:val="0"/>
        <w:spacing w:line="360" w:lineRule="auto"/>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26" o:spt="75" type="#_x0000_t75" style="height:19pt;width:197pt;" o:ole="t" filled="f" o:preferrelative="t" stroked="f" coordsize="21600,21600">
            <v:path/>
            <v:fill on="f" focussize="0,0"/>
            <v:stroke on="f" joinstyle="miter"/>
            <v:imagedata r:id="rId40" o:title=""/>
            <o:lock v:ext="edit" aspectratio="t"/>
            <w10:wrap type="none"/>
            <w10:anchorlock/>
          </v:shape>
          <o:OLEObject Type="Embed" ProgID="Equation.KSEE3" ShapeID="_x0000_i1026" DrawAspect="Content" ObjectID="_1468075726" r:id="rId39">
            <o:LockedField>false</o:LockedField>
          </o:OLEObject>
        </w:object>
      </w:r>
    </w:p>
    <w:p w14:paraId="7D530495">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bookmarkStart w:id="127" w:name="OLE_LINK36"/>
      <w:r>
        <w:rPr>
          <w:rFonts w:hint="default" w:ascii="Times New Roman" w:hAnsi="Times New Roman" w:cs="Times New Roman"/>
          <w:color w:val="auto"/>
          <w:sz w:val="24"/>
          <w:highlight w:val="none"/>
        </w:rPr>
        <w:t>L</w:t>
      </w:r>
      <w:r>
        <w:rPr>
          <w:rFonts w:hint="eastAsia" w:cs="Times New Roman"/>
          <w:color w:val="auto"/>
          <w:sz w:val="24"/>
          <w:highlight w:val="none"/>
          <w:vertAlign w:val="subscript"/>
          <w:lang w:val="en-US" w:eastAsia="zh-CN"/>
        </w:rPr>
        <w:t>dw</w:t>
      </w:r>
      <w:r>
        <w:rPr>
          <w:rFonts w:hint="default" w:ascii="Times New Roman" w:hAnsi="Times New Roman" w:cs="Times New Roman"/>
          <w:color w:val="auto"/>
          <w:sz w:val="24"/>
          <w:highlight w:val="none"/>
        </w:rPr>
        <w:t>-大呼吸蒸发损耗量（kg/a）</w:t>
      </w:r>
      <w:bookmarkEnd w:id="127"/>
      <w:r>
        <w:rPr>
          <w:rFonts w:hint="default" w:ascii="Times New Roman" w:hAnsi="Times New Roman" w:cs="Times New Roman"/>
          <w:color w:val="auto"/>
          <w:sz w:val="24"/>
          <w:highlight w:val="none"/>
        </w:rPr>
        <w:t>；</w:t>
      </w:r>
    </w:p>
    <w:p w14:paraId="133C9C77">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储罐内平均温度下液体的真实蒸汽压（Pa）；</w:t>
      </w:r>
    </w:p>
    <w:p w14:paraId="1470FEBC">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L</w:t>
      </w:r>
      <w:r>
        <w:rPr>
          <w:rFonts w:hint="default" w:ascii="Times New Roman" w:hAnsi="Times New Roman" w:cs="Times New Roman"/>
          <w:color w:val="auto"/>
          <w:sz w:val="24"/>
          <w:highlight w:val="none"/>
        </w:rPr>
        <w:t>-液体年转运量，m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p>
    <w:p w14:paraId="2B2398CB">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M-储罐内蒸汽的分子量，g/mol；</w:t>
      </w:r>
    </w:p>
    <w:p w14:paraId="6C8ACA3E">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K</w:t>
      </w:r>
      <w:r>
        <w:rPr>
          <w:rFonts w:hint="default" w:ascii="Times New Roman" w:hAnsi="Times New Roman" w:cs="Times New Roman"/>
          <w:color w:val="auto"/>
          <w:sz w:val="24"/>
          <w:highlight w:val="none"/>
          <w:vertAlign w:val="subscript"/>
        </w:rPr>
        <w:t>T</w:t>
      </w:r>
      <w:r>
        <w:rPr>
          <w:rFonts w:hint="default" w:ascii="Times New Roman" w:hAnsi="Times New Roman" w:cs="Times New Roman"/>
          <w:color w:val="auto"/>
          <w:sz w:val="24"/>
          <w:highlight w:val="none"/>
        </w:rPr>
        <w:t>-周转系数；取值按年周转次数K确定；K≤36，K</w:t>
      </w:r>
      <w:r>
        <w:rPr>
          <w:rFonts w:hint="default" w:ascii="Times New Roman" w:hAnsi="Times New Roman" w:cs="Times New Roman"/>
          <w:color w:val="auto"/>
          <w:sz w:val="24"/>
          <w:highlight w:val="none"/>
          <w:vertAlign w:val="subscript"/>
        </w:rPr>
        <w:t>T</w:t>
      </w:r>
      <w:r>
        <w:rPr>
          <w:rFonts w:hint="default" w:ascii="Times New Roman" w:hAnsi="Times New Roman" w:cs="Times New Roman"/>
          <w:color w:val="auto"/>
          <w:sz w:val="24"/>
          <w:highlight w:val="none"/>
        </w:rPr>
        <w:t>=1；36＜K≤220，</w:t>
      </w:r>
      <w:r>
        <w:rPr>
          <w:rFonts w:hint="default" w:ascii="Times New Roman" w:hAnsi="Times New Roman" w:cs="Times New Roman"/>
          <w:color w:val="auto"/>
          <w:position w:val="-10"/>
          <w:sz w:val="24"/>
          <w:highlight w:val="none"/>
        </w:rPr>
        <w:object>
          <v:shape id="_x0000_i1027" o:spt="75" type="#_x0000_t75" style="height:18pt;width:105pt;" o:ole="t" filled="f" o:preferrelative="t" stroked="f" coordsize="21600,21600">
            <v:path/>
            <v:fill on="f" focussize="0,0"/>
            <v:stroke on="f" joinstyle="miter"/>
            <v:imagedata r:id="rId42" o:title=""/>
            <o:lock v:ext="edit" aspectratio="t"/>
            <w10:wrap type="none"/>
            <w10:anchorlock/>
          </v:shape>
          <o:OLEObject Type="Embed" ProgID="Equation.KSEE3" ShapeID="_x0000_i1027" DrawAspect="Content" ObjectID="_1468075727" r:id="rId41">
            <o:LockedField>false</o:LockedField>
          </o:OLEObject>
        </w:object>
      </w:r>
      <w:r>
        <w:rPr>
          <w:rFonts w:hint="default" w:ascii="Times New Roman" w:hAnsi="Times New Roman" w:cs="Times New Roman"/>
          <w:color w:val="auto"/>
          <w:sz w:val="24"/>
          <w:highlight w:val="none"/>
        </w:rPr>
        <w:t>；</w:t>
      </w:r>
    </w:p>
    <w:p w14:paraId="6C70C2E5">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K</w:t>
      </w:r>
      <w:r>
        <w:rPr>
          <w:rFonts w:hint="default" w:ascii="Times New Roman" w:hAnsi="Times New Roman" w:cs="Times New Roman"/>
          <w:color w:val="auto"/>
          <w:sz w:val="24"/>
          <w:highlight w:val="none"/>
          <w:vertAlign w:val="subscript"/>
        </w:rPr>
        <w:t>E</w:t>
      </w:r>
      <w:r>
        <w:rPr>
          <w:rFonts w:hint="default" w:ascii="Times New Roman" w:hAnsi="Times New Roman" w:cs="Times New Roman"/>
          <w:color w:val="auto"/>
          <w:sz w:val="24"/>
          <w:highlight w:val="none"/>
        </w:rPr>
        <w:t>-产品因子，石油液体取0.65，</w:t>
      </w:r>
      <w:r>
        <w:rPr>
          <w:rFonts w:hint="default" w:ascii="Times New Roman" w:hAnsi="Times New Roman" w:cs="Times New Roman"/>
          <w:color w:val="auto"/>
          <w:sz w:val="24"/>
          <w:highlight w:val="none"/>
          <w:lang w:val="en-US" w:eastAsia="zh-CN"/>
        </w:rPr>
        <w:t>其他</w:t>
      </w:r>
      <w:r>
        <w:rPr>
          <w:rFonts w:hint="default" w:ascii="Times New Roman" w:hAnsi="Times New Roman" w:cs="Times New Roman"/>
          <w:color w:val="auto"/>
          <w:sz w:val="24"/>
          <w:highlight w:val="none"/>
        </w:rPr>
        <w:t>液体取1。</w:t>
      </w:r>
    </w:p>
    <w:p w14:paraId="5FEC8C16">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“大呼吸废气”计算参数及计算结果见表</w:t>
      </w:r>
      <w:r>
        <w:rPr>
          <w:rFonts w:hint="default" w:ascii="Times New Roman" w:hAnsi="Times New Roman" w:cs="Times New Roman"/>
          <w:color w:val="auto"/>
          <w:sz w:val="24"/>
          <w:highlight w:val="none"/>
          <w:lang w:eastAsia="zh-CN"/>
        </w:rPr>
        <w:t>3.4-</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p>
    <w:p w14:paraId="75F9DA9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eastAsia="zh-CN"/>
        </w:rPr>
        <w:t>3.4-</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大呼吸废气计算参数及计算结果一览表</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14:paraId="7EACA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65" w:type="dxa"/>
            <w:tcBorders>
              <w:tl2br w:val="nil"/>
              <w:tr2bl w:val="nil"/>
            </w:tcBorders>
          </w:tcPr>
          <w:p w14:paraId="51C8FE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065" w:type="dxa"/>
            <w:tcBorders>
              <w:tl2br w:val="nil"/>
              <w:tr2bl w:val="nil"/>
            </w:tcBorders>
          </w:tcPr>
          <w:p w14:paraId="6048306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V</w:t>
            </w:r>
            <w:r>
              <w:rPr>
                <w:rFonts w:hint="default" w:ascii="Times New Roman" w:hAnsi="Times New Roman" w:cs="Times New Roman"/>
                <w:b/>
                <w:bCs/>
                <w:color w:val="auto"/>
                <w:sz w:val="21"/>
                <w:szCs w:val="21"/>
                <w:highlight w:val="none"/>
                <w:vertAlign w:val="subscript"/>
              </w:rPr>
              <w:t>L</w:t>
            </w:r>
          </w:p>
        </w:tc>
        <w:tc>
          <w:tcPr>
            <w:tcW w:w="1065" w:type="dxa"/>
            <w:tcBorders>
              <w:tl2br w:val="nil"/>
              <w:tr2bl w:val="nil"/>
            </w:tcBorders>
          </w:tcPr>
          <w:p w14:paraId="219C692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w:t>
            </w:r>
          </w:p>
        </w:tc>
        <w:tc>
          <w:tcPr>
            <w:tcW w:w="1065" w:type="dxa"/>
            <w:tcBorders>
              <w:tl2br w:val="nil"/>
              <w:tr2bl w:val="nil"/>
            </w:tcBorders>
          </w:tcPr>
          <w:p w14:paraId="1E17FB9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w:t>
            </w:r>
          </w:p>
        </w:tc>
        <w:tc>
          <w:tcPr>
            <w:tcW w:w="1065" w:type="dxa"/>
            <w:tcBorders>
              <w:tl2br w:val="nil"/>
              <w:tr2bl w:val="nil"/>
            </w:tcBorders>
          </w:tcPr>
          <w:p w14:paraId="67B205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K</w:t>
            </w:r>
            <w:r>
              <w:rPr>
                <w:rFonts w:hint="default" w:ascii="Times New Roman" w:hAnsi="Times New Roman" w:cs="Times New Roman"/>
                <w:b/>
                <w:bCs/>
                <w:color w:val="auto"/>
                <w:sz w:val="21"/>
                <w:szCs w:val="21"/>
                <w:highlight w:val="none"/>
                <w:vertAlign w:val="subscript"/>
              </w:rPr>
              <w:t>T</w:t>
            </w:r>
          </w:p>
        </w:tc>
        <w:tc>
          <w:tcPr>
            <w:tcW w:w="1065" w:type="dxa"/>
            <w:tcBorders>
              <w:tl2br w:val="nil"/>
              <w:tr2bl w:val="nil"/>
            </w:tcBorders>
          </w:tcPr>
          <w:p w14:paraId="7911E06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K</w:t>
            </w:r>
            <w:r>
              <w:rPr>
                <w:rFonts w:hint="default" w:ascii="Times New Roman" w:hAnsi="Times New Roman" w:cs="Times New Roman"/>
                <w:b/>
                <w:bCs/>
                <w:color w:val="auto"/>
                <w:sz w:val="21"/>
                <w:szCs w:val="21"/>
                <w:highlight w:val="none"/>
                <w:vertAlign w:val="subscript"/>
              </w:rPr>
              <w:t>E</w:t>
            </w:r>
          </w:p>
        </w:tc>
        <w:tc>
          <w:tcPr>
            <w:tcW w:w="1066" w:type="dxa"/>
            <w:tcBorders>
              <w:tl2br w:val="nil"/>
              <w:tr2bl w:val="nil"/>
            </w:tcBorders>
          </w:tcPr>
          <w:p w14:paraId="5EBBEC0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储罐个数</w:t>
            </w:r>
          </w:p>
        </w:tc>
        <w:tc>
          <w:tcPr>
            <w:tcW w:w="1066" w:type="dxa"/>
            <w:tcBorders>
              <w:tl2br w:val="nil"/>
              <w:tr2bl w:val="nil"/>
            </w:tcBorders>
          </w:tcPr>
          <w:p w14:paraId="7FD4F7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L</w:t>
            </w:r>
            <w:r>
              <w:rPr>
                <w:rFonts w:hint="default" w:ascii="Times New Roman" w:hAnsi="Times New Roman" w:cs="Times New Roman"/>
                <w:b/>
                <w:bCs/>
                <w:color w:val="auto"/>
                <w:sz w:val="21"/>
                <w:szCs w:val="21"/>
                <w:highlight w:val="none"/>
                <w:vertAlign w:val="subscript"/>
              </w:rPr>
              <w:t>dw</w:t>
            </w:r>
          </w:p>
        </w:tc>
      </w:tr>
      <w:tr w14:paraId="219E5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5" w:type="dxa"/>
            <w:tcBorders>
              <w:tl2br w:val="nil"/>
              <w:tr2bl w:val="nil"/>
            </w:tcBorders>
          </w:tcPr>
          <w:p w14:paraId="7D830D3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硫酸</w:t>
            </w:r>
          </w:p>
        </w:tc>
        <w:tc>
          <w:tcPr>
            <w:tcW w:w="1065" w:type="dxa"/>
            <w:tcBorders>
              <w:tl2br w:val="nil"/>
              <w:tr2bl w:val="nil"/>
            </w:tcBorders>
          </w:tcPr>
          <w:p w14:paraId="5AEF388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824</w:t>
            </w:r>
          </w:p>
        </w:tc>
        <w:tc>
          <w:tcPr>
            <w:tcW w:w="1065" w:type="dxa"/>
            <w:tcBorders>
              <w:tl2br w:val="nil"/>
              <w:tr2bl w:val="nil"/>
            </w:tcBorders>
          </w:tcPr>
          <w:p w14:paraId="0D53BE7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98</w:t>
            </w:r>
          </w:p>
        </w:tc>
        <w:tc>
          <w:tcPr>
            <w:tcW w:w="1065" w:type="dxa"/>
            <w:tcBorders>
              <w:tl2br w:val="nil"/>
              <w:tr2bl w:val="nil"/>
            </w:tcBorders>
          </w:tcPr>
          <w:p w14:paraId="1B8C3C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137</w:t>
            </w:r>
          </w:p>
        </w:tc>
        <w:tc>
          <w:tcPr>
            <w:tcW w:w="1065" w:type="dxa"/>
            <w:tcBorders>
              <w:tl2br w:val="nil"/>
              <w:tr2bl w:val="nil"/>
            </w:tcBorders>
          </w:tcPr>
          <w:p w14:paraId="4B5BEBF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11.467</w:t>
            </w:r>
          </w:p>
        </w:tc>
        <w:tc>
          <w:tcPr>
            <w:tcW w:w="1065" w:type="dxa"/>
            <w:tcBorders>
              <w:tl2br w:val="nil"/>
              <w:tr2bl w:val="nil"/>
            </w:tcBorders>
          </w:tcPr>
          <w:p w14:paraId="66AE966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66" w:type="dxa"/>
            <w:tcBorders>
              <w:tl2br w:val="nil"/>
              <w:tr2bl w:val="nil"/>
            </w:tcBorders>
          </w:tcPr>
          <w:p w14:paraId="1156336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w:t>
            </w:r>
          </w:p>
        </w:tc>
        <w:tc>
          <w:tcPr>
            <w:tcW w:w="1066" w:type="dxa"/>
            <w:tcBorders>
              <w:tl2br w:val="nil"/>
              <w:tr2bl w:val="nil"/>
            </w:tcBorders>
          </w:tcPr>
          <w:p w14:paraId="3049828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53.12</w:t>
            </w:r>
            <w:r>
              <w:rPr>
                <w:rFonts w:hint="default" w:ascii="Times New Roman" w:hAnsi="Times New Roman" w:cs="Times New Roman"/>
                <w:color w:val="auto"/>
                <w:sz w:val="21"/>
                <w:szCs w:val="21"/>
                <w:highlight w:val="none"/>
                <w:lang w:val="en-US" w:eastAsia="zh-CN"/>
              </w:rPr>
              <w:t>kg</w:t>
            </w:r>
            <w:r>
              <w:rPr>
                <w:rFonts w:hint="default" w:ascii="Times New Roman" w:hAnsi="Times New Roman" w:cs="Times New Roman"/>
                <w:color w:val="auto"/>
                <w:sz w:val="21"/>
                <w:szCs w:val="21"/>
                <w:highlight w:val="none"/>
              </w:rPr>
              <w:t>/a</w:t>
            </w:r>
          </w:p>
        </w:tc>
      </w:tr>
    </w:tbl>
    <w:p w14:paraId="08E3784E">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固定顶罐“小呼吸废气”按下式估算其污染物排放量：</w:t>
      </w:r>
    </w:p>
    <w:p w14:paraId="65E3AABD">
      <w:pPr>
        <w:pageBreakBefore w:val="0"/>
        <w:wordWrap/>
        <w:topLinePunct w:val="0"/>
        <w:bidi w:val="0"/>
        <w:adjustRightInd w:val="0"/>
        <w:snapToGrid w:val="0"/>
        <w:spacing w:line="480" w:lineRule="exact"/>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position w:val="-14"/>
          <w:highlight w:val="none"/>
        </w:rPr>
        <w:object>
          <v:shape id="_x0000_i1028" o:spt="75" type="#_x0000_t75" style="height:21pt;width:339pt;" o:ole="t" filled="f" o:preferrelative="t" stroked="f" coordsize="21600,21600">
            <v:path/>
            <v:fill on="f" focussize="0,0"/>
            <v:stroke on="f" joinstyle="miter"/>
            <v:imagedata r:id="rId44" o:title=""/>
            <o:lock v:ext="edit" aspectratio="t"/>
            <w10:wrap type="none"/>
            <w10:anchorlock/>
          </v:shape>
          <o:OLEObject Type="Embed" ProgID="Equation.KSEE3" ShapeID="_x0000_i1028" DrawAspect="Content" ObjectID="_1468075728" r:id="rId43">
            <o:LockedField>false</o:LockedField>
          </o:OLEObject>
        </w:object>
      </w:r>
    </w:p>
    <w:p w14:paraId="5E635DFE">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B</w:t>
      </w:r>
      <w:r>
        <w:rPr>
          <w:rFonts w:hint="eastAsia" w:cs="Times New Roman"/>
          <w:color w:val="auto"/>
          <w:sz w:val="24"/>
          <w:highlight w:val="none"/>
          <w:vertAlign w:val="subscript"/>
          <w:lang w:eastAsia="zh-CN"/>
        </w:rPr>
        <w:t>－</w:t>
      </w:r>
      <w:r>
        <w:rPr>
          <w:rFonts w:hint="default" w:ascii="Times New Roman" w:hAnsi="Times New Roman" w:cs="Times New Roman"/>
          <w:color w:val="auto"/>
          <w:sz w:val="24"/>
          <w:highlight w:val="none"/>
        </w:rPr>
        <w:t>固定顶罐的呼吸排放量（kg/a）；</w:t>
      </w:r>
    </w:p>
    <w:p w14:paraId="7F319295">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M-储罐内蒸汽的分子量；</w:t>
      </w:r>
    </w:p>
    <w:p w14:paraId="6313750F">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在大量液体状态下，真实的蒸气压力（Pa）；</w:t>
      </w:r>
    </w:p>
    <w:p w14:paraId="4E464BA8">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D-罐的直径（m）；</w:t>
      </w:r>
    </w:p>
    <w:p w14:paraId="00AB3270">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H</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平均蒸汽空间高度（m）；</w:t>
      </w:r>
    </w:p>
    <w:p w14:paraId="6D25B4D6">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238125" cy="161925"/>
            <wp:effectExtent l="0" t="0" r="0" b="7620"/>
            <wp:docPr id="1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
                    <pic:cNvPicPr>
                      <a:picLocks noChangeAspect="1"/>
                    </pic:cNvPicPr>
                  </pic:nvPicPr>
                  <pic:blipFill>
                    <a:blip r:embed="rId45"/>
                    <a:stretch>
                      <a:fillRect/>
                    </a:stretch>
                  </pic:blipFill>
                  <pic:spPr>
                    <a:xfrm>
                      <a:off x="0" y="0"/>
                      <a:ext cx="238125" cy="161925"/>
                    </a:xfrm>
                    <a:prstGeom prst="rect">
                      <a:avLst/>
                    </a:prstGeom>
                    <a:noFill/>
                    <a:ln>
                      <a:noFill/>
                    </a:ln>
                  </pic:spPr>
                </pic:pic>
              </a:graphicData>
            </a:graphic>
          </wp:inline>
        </w:drawing>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一天之内的平均温差（℃）；</w:t>
      </w:r>
    </w:p>
    <w:p w14:paraId="6542E9DF">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-涂层因子，根据油漆状况取值在1~1.5之间；</w:t>
      </w:r>
    </w:p>
    <w:p w14:paraId="7FFCAF87">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C-用于小直径罐的调节因子（无量纲）；直径在0~9m之间的罐体，</w:t>
      </w:r>
      <w:r>
        <w:rPr>
          <w:rFonts w:hint="default" w:ascii="Times New Roman" w:hAnsi="Times New Roman" w:cs="Times New Roman"/>
          <w:color w:val="auto"/>
          <w:position w:val="-6"/>
          <w:sz w:val="24"/>
          <w:highlight w:val="none"/>
        </w:rPr>
        <w:object>
          <v:shape id="_x0000_i1029" o:spt="75" type="#_x0000_t75" style="height:16pt;width:110pt;" o:ole="t" filled="f" o:preferrelative="t" stroked="f" coordsize="21600,21600">
            <v:path/>
            <v:fill on="f" focussize="0,0"/>
            <v:stroke on="f" joinstyle="miter"/>
            <v:imagedata r:id="rId47" o:title=""/>
            <o:lock v:ext="edit" aspectratio="t"/>
            <w10:wrap type="none"/>
            <w10:anchorlock/>
          </v:shape>
          <o:OLEObject Type="Embed" ProgID="Equation.KSEE3" ShapeID="_x0000_i1029" DrawAspect="Content" ObjectID="_1468075729" r:id="rId46">
            <o:LockedField>false</o:LockedField>
          </o:OLEObject>
        </w:object>
      </w:r>
      <w:r>
        <w:rPr>
          <w:rFonts w:hint="default" w:ascii="Times New Roman" w:hAnsi="Times New Roman" w:cs="Times New Roman"/>
          <w:color w:val="auto"/>
          <w:sz w:val="24"/>
          <w:highlight w:val="none"/>
        </w:rPr>
        <w:t>直径大于9m</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C=1；</w:t>
      </w:r>
    </w:p>
    <w:p w14:paraId="22750615">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K</w:t>
      </w:r>
      <w:r>
        <w:rPr>
          <w:rFonts w:hint="default" w:ascii="Times New Roman" w:hAnsi="Times New Roman" w:cs="Times New Roman"/>
          <w:color w:val="auto"/>
          <w:sz w:val="24"/>
          <w:highlight w:val="none"/>
          <w:vertAlign w:val="subscript"/>
        </w:rPr>
        <w:t>c</w:t>
      </w:r>
      <w:r>
        <w:rPr>
          <w:rFonts w:hint="default" w:ascii="Times New Roman" w:hAnsi="Times New Roman" w:cs="Times New Roman"/>
          <w:color w:val="auto"/>
          <w:sz w:val="24"/>
          <w:highlight w:val="none"/>
        </w:rPr>
        <w:t>-产品因子（石油原油Kc取0.65，其他液体取1.0）。</w:t>
      </w:r>
    </w:p>
    <w:p w14:paraId="05AA2AC8">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0" w:firstLineChars="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Cs w:val="21"/>
          <w:highlight w:val="none"/>
          <w:lang w:val="en-US" w:eastAsia="zh-CN"/>
        </w:rPr>
        <w:t>硫酸</w:t>
      </w:r>
      <w:r>
        <w:rPr>
          <w:rFonts w:hint="default" w:ascii="Times New Roman" w:hAnsi="Times New Roman" w:cs="Times New Roman"/>
          <w:color w:val="auto"/>
          <w:sz w:val="24"/>
          <w:highlight w:val="none"/>
        </w:rPr>
        <w:t>储罐废气计算参数见表</w:t>
      </w:r>
      <w:r>
        <w:rPr>
          <w:rFonts w:hint="default" w:ascii="Times New Roman" w:hAnsi="Times New Roman" w:cs="Times New Roman"/>
          <w:color w:val="auto"/>
          <w:sz w:val="24"/>
          <w:highlight w:val="none"/>
          <w:lang w:eastAsia="zh-CN"/>
        </w:rPr>
        <w:t>3.4-</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。计算结果见表</w:t>
      </w:r>
      <w:r>
        <w:rPr>
          <w:rFonts w:hint="default" w:ascii="Times New Roman" w:hAnsi="Times New Roman" w:cs="Times New Roman"/>
          <w:color w:val="auto"/>
          <w:sz w:val="24"/>
          <w:highlight w:val="none"/>
          <w:lang w:eastAsia="zh-CN"/>
        </w:rPr>
        <w:t>3.4-</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w:t>
      </w:r>
    </w:p>
    <w:p w14:paraId="16C7F52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eastAsia="zh-CN"/>
        </w:rPr>
        <w:t>3.4-</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储罐小呼吸废气排放量计算参数一览表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851"/>
        <w:gridCol w:w="851"/>
        <w:gridCol w:w="853"/>
        <w:gridCol w:w="853"/>
        <w:gridCol w:w="853"/>
        <w:gridCol w:w="854"/>
        <w:gridCol w:w="854"/>
        <w:gridCol w:w="855"/>
      </w:tblGrid>
      <w:tr w14:paraId="5920D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top"/>
          </w:tcPr>
          <w:p w14:paraId="137A63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424" w:type="pct"/>
            <w:tcBorders>
              <w:tl2br w:val="nil"/>
              <w:tr2bl w:val="nil"/>
            </w:tcBorders>
            <w:vAlign w:val="top"/>
          </w:tcPr>
          <w:p w14:paraId="24C48C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w:t>
            </w:r>
          </w:p>
        </w:tc>
        <w:tc>
          <w:tcPr>
            <w:tcW w:w="499" w:type="pct"/>
            <w:tcBorders>
              <w:tl2br w:val="nil"/>
              <w:tr2bl w:val="nil"/>
            </w:tcBorders>
            <w:vAlign w:val="top"/>
          </w:tcPr>
          <w:p w14:paraId="4DC5AC8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w:t>
            </w:r>
          </w:p>
        </w:tc>
        <w:tc>
          <w:tcPr>
            <w:tcW w:w="499" w:type="pct"/>
            <w:tcBorders>
              <w:tl2br w:val="nil"/>
              <w:tr2bl w:val="nil"/>
            </w:tcBorders>
            <w:vAlign w:val="top"/>
          </w:tcPr>
          <w:p w14:paraId="7C96A3F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w:t>
            </w:r>
          </w:p>
        </w:tc>
        <w:tc>
          <w:tcPr>
            <w:tcW w:w="500" w:type="pct"/>
            <w:tcBorders>
              <w:tl2br w:val="nil"/>
              <w:tr2bl w:val="nil"/>
            </w:tcBorders>
            <w:vAlign w:val="top"/>
          </w:tcPr>
          <w:p w14:paraId="14744E8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H</w:t>
            </w:r>
          </w:p>
        </w:tc>
        <w:tc>
          <w:tcPr>
            <w:tcW w:w="500" w:type="pct"/>
            <w:tcBorders>
              <w:tl2br w:val="nil"/>
              <w:tr2bl w:val="nil"/>
            </w:tcBorders>
            <w:vAlign w:val="top"/>
          </w:tcPr>
          <w:p w14:paraId="37440CF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drawing>
                <wp:inline distT="0" distB="0" distL="114300" distR="114300">
                  <wp:extent cx="238125" cy="161925"/>
                  <wp:effectExtent l="0" t="0" r="0" b="7620"/>
                  <wp:docPr id="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pic:cNvPicPr>
                            <a:picLocks noChangeAspect="1"/>
                          </pic:cNvPicPr>
                        </pic:nvPicPr>
                        <pic:blipFill>
                          <a:blip r:embed="rId45"/>
                          <a:stretch>
                            <a:fillRect/>
                          </a:stretch>
                        </pic:blipFill>
                        <pic:spPr>
                          <a:xfrm>
                            <a:off x="0" y="0"/>
                            <a:ext cx="238125" cy="161925"/>
                          </a:xfrm>
                          <a:prstGeom prst="rect">
                            <a:avLst/>
                          </a:prstGeom>
                          <a:noFill/>
                          <a:ln>
                            <a:noFill/>
                          </a:ln>
                        </pic:spPr>
                      </pic:pic>
                    </a:graphicData>
                  </a:graphic>
                </wp:inline>
              </w:drawing>
            </w:r>
          </w:p>
        </w:tc>
        <w:tc>
          <w:tcPr>
            <w:tcW w:w="500" w:type="pct"/>
            <w:tcBorders>
              <w:tl2br w:val="nil"/>
              <w:tr2bl w:val="nil"/>
            </w:tcBorders>
            <w:vAlign w:val="top"/>
          </w:tcPr>
          <w:p w14:paraId="3E480D2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t>F</w:t>
            </w:r>
            <w:r>
              <w:rPr>
                <w:rFonts w:hint="default" w:ascii="Times New Roman" w:hAnsi="Times New Roman" w:cs="Times New Roman"/>
                <w:b/>
                <w:bCs/>
                <w:color w:val="auto"/>
                <w:sz w:val="21"/>
                <w:szCs w:val="21"/>
                <w:highlight w:val="none"/>
                <w:vertAlign w:val="subscript"/>
              </w:rPr>
              <w:t>p</w:t>
            </w:r>
          </w:p>
        </w:tc>
        <w:tc>
          <w:tcPr>
            <w:tcW w:w="501" w:type="pct"/>
            <w:tcBorders>
              <w:tl2br w:val="nil"/>
              <w:tr2bl w:val="nil"/>
            </w:tcBorders>
            <w:vAlign w:val="top"/>
          </w:tcPr>
          <w:p w14:paraId="0AEE13F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t>C</w:t>
            </w:r>
          </w:p>
        </w:tc>
        <w:tc>
          <w:tcPr>
            <w:tcW w:w="501" w:type="pct"/>
            <w:tcBorders>
              <w:tl2br w:val="nil"/>
              <w:tr2bl w:val="nil"/>
            </w:tcBorders>
            <w:vAlign w:val="top"/>
          </w:tcPr>
          <w:p w14:paraId="7E89610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t>K</w:t>
            </w:r>
            <w:r>
              <w:rPr>
                <w:rFonts w:hint="default" w:ascii="Times New Roman" w:hAnsi="Times New Roman" w:cs="Times New Roman"/>
                <w:b/>
                <w:bCs/>
                <w:color w:val="auto"/>
                <w:sz w:val="21"/>
                <w:szCs w:val="21"/>
                <w:highlight w:val="none"/>
                <w:vertAlign w:val="subscript"/>
              </w:rPr>
              <w:t>c</w:t>
            </w:r>
          </w:p>
        </w:tc>
        <w:tc>
          <w:tcPr>
            <w:tcW w:w="501" w:type="pct"/>
            <w:tcBorders>
              <w:tl2br w:val="nil"/>
              <w:tr2bl w:val="nil"/>
            </w:tcBorders>
            <w:vAlign w:val="top"/>
          </w:tcPr>
          <w:p w14:paraId="58FDD9E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数量</w:t>
            </w:r>
          </w:p>
        </w:tc>
      </w:tr>
      <w:tr w14:paraId="75E33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top"/>
          </w:tcPr>
          <w:p w14:paraId="18BCEDA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硫酸</w:t>
            </w:r>
          </w:p>
        </w:tc>
        <w:tc>
          <w:tcPr>
            <w:tcW w:w="424" w:type="pct"/>
            <w:tcBorders>
              <w:tl2br w:val="nil"/>
              <w:tr2bl w:val="nil"/>
            </w:tcBorders>
            <w:vAlign w:val="top"/>
          </w:tcPr>
          <w:p w14:paraId="3F8487C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w:t>
            </w:r>
          </w:p>
        </w:tc>
        <w:tc>
          <w:tcPr>
            <w:tcW w:w="499" w:type="pct"/>
            <w:tcBorders>
              <w:tl2br w:val="nil"/>
              <w:tr2bl w:val="nil"/>
            </w:tcBorders>
            <w:vAlign w:val="top"/>
          </w:tcPr>
          <w:p w14:paraId="5BB0F5B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137</w:t>
            </w:r>
          </w:p>
        </w:tc>
        <w:tc>
          <w:tcPr>
            <w:tcW w:w="499" w:type="pct"/>
            <w:tcBorders>
              <w:tl2br w:val="nil"/>
              <w:tr2bl w:val="nil"/>
            </w:tcBorders>
            <w:vAlign w:val="top"/>
          </w:tcPr>
          <w:p w14:paraId="7184AC4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w:t>
            </w:r>
          </w:p>
        </w:tc>
        <w:tc>
          <w:tcPr>
            <w:tcW w:w="500" w:type="pct"/>
            <w:tcBorders>
              <w:tl2br w:val="nil"/>
              <w:tr2bl w:val="nil"/>
            </w:tcBorders>
            <w:vAlign w:val="top"/>
          </w:tcPr>
          <w:p w14:paraId="0658C06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500" w:type="pct"/>
            <w:tcBorders>
              <w:tl2br w:val="nil"/>
              <w:tr2bl w:val="nil"/>
            </w:tcBorders>
            <w:vAlign w:val="top"/>
          </w:tcPr>
          <w:p w14:paraId="0DF5550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00" w:type="pct"/>
            <w:tcBorders>
              <w:tl2br w:val="nil"/>
              <w:tr2bl w:val="nil"/>
            </w:tcBorders>
            <w:vAlign w:val="top"/>
          </w:tcPr>
          <w:p w14:paraId="42D3D2C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01" w:type="pct"/>
            <w:tcBorders>
              <w:tl2br w:val="nil"/>
              <w:tr2bl w:val="nil"/>
            </w:tcBorders>
            <w:vAlign w:val="top"/>
          </w:tcPr>
          <w:p w14:paraId="0A05654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0.89</w:t>
            </w:r>
          </w:p>
        </w:tc>
        <w:tc>
          <w:tcPr>
            <w:tcW w:w="501" w:type="pct"/>
            <w:tcBorders>
              <w:tl2br w:val="nil"/>
              <w:tr2bl w:val="nil"/>
            </w:tcBorders>
            <w:vAlign w:val="top"/>
          </w:tcPr>
          <w:p w14:paraId="531C4C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01" w:type="pct"/>
            <w:tcBorders>
              <w:tl2br w:val="nil"/>
              <w:tr2bl w:val="nil"/>
            </w:tcBorders>
            <w:vAlign w:val="top"/>
          </w:tcPr>
          <w:p w14:paraId="4AF915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w:t>
            </w:r>
          </w:p>
        </w:tc>
      </w:tr>
    </w:tbl>
    <w:p w14:paraId="4EDBE0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eastAsia="zh-CN"/>
        </w:rPr>
        <w:t>3.4-</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储罐小呼吸废气排放量</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130"/>
        <w:gridCol w:w="2130"/>
        <w:gridCol w:w="2130"/>
      </w:tblGrid>
      <w:tr w14:paraId="1CF23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vAlign w:val="center"/>
          </w:tcPr>
          <w:p w14:paraId="59DB54E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储罐</w:t>
            </w:r>
          </w:p>
        </w:tc>
        <w:tc>
          <w:tcPr>
            <w:tcW w:w="1250" w:type="pct"/>
            <w:tcBorders>
              <w:tl2br w:val="nil"/>
              <w:tr2bl w:val="nil"/>
            </w:tcBorders>
            <w:vAlign w:val="center"/>
          </w:tcPr>
          <w:p w14:paraId="2322226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250" w:type="pct"/>
            <w:tcBorders>
              <w:tl2br w:val="nil"/>
              <w:tr2bl w:val="nil"/>
            </w:tcBorders>
            <w:vAlign w:val="center"/>
          </w:tcPr>
          <w:p w14:paraId="6A8DB25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1250" w:type="pct"/>
            <w:tcBorders>
              <w:tl2br w:val="nil"/>
              <w:tr2bl w:val="nil"/>
            </w:tcBorders>
            <w:vAlign w:val="center"/>
          </w:tcPr>
          <w:p w14:paraId="554B58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tc>
      </w:tr>
      <w:tr w14:paraId="6EB08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vAlign w:val="center"/>
          </w:tcPr>
          <w:p w14:paraId="38D306F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硫酸</w:t>
            </w:r>
            <w:r>
              <w:rPr>
                <w:rFonts w:hint="default" w:ascii="Times New Roman" w:hAnsi="Times New Roman" w:eastAsia="宋体" w:cs="Times New Roman"/>
                <w:color w:val="auto"/>
                <w:sz w:val="21"/>
                <w:szCs w:val="21"/>
                <w:highlight w:val="none"/>
              </w:rPr>
              <w:t>储罐</w:t>
            </w:r>
          </w:p>
        </w:tc>
        <w:tc>
          <w:tcPr>
            <w:tcW w:w="1250" w:type="pct"/>
            <w:tcBorders>
              <w:tl2br w:val="nil"/>
              <w:tr2bl w:val="nil"/>
            </w:tcBorders>
            <w:vAlign w:val="center"/>
          </w:tcPr>
          <w:p w14:paraId="3648649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储罐小呼吸废气</w:t>
            </w:r>
          </w:p>
        </w:tc>
        <w:tc>
          <w:tcPr>
            <w:tcW w:w="1250" w:type="pct"/>
            <w:tcBorders>
              <w:tl2br w:val="nil"/>
              <w:tr2bl w:val="nil"/>
            </w:tcBorders>
            <w:vAlign w:val="center"/>
          </w:tcPr>
          <w:p w14:paraId="5D13DC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lang w:val="en-US" w:eastAsia="zh-CN"/>
              </w:rPr>
              <w:t>H</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vertAlign w:val="baseline"/>
                <w:lang w:val="en-US" w:eastAsia="zh-CN"/>
              </w:rPr>
              <w:t>SO</w:t>
            </w:r>
            <w:r>
              <w:rPr>
                <w:rFonts w:hint="default" w:ascii="Times New Roman" w:hAnsi="Times New Roman" w:cs="Times New Roman"/>
                <w:color w:val="auto"/>
                <w:sz w:val="21"/>
                <w:szCs w:val="21"/>
                <w:highlight w:val="none"/>
                <w:vertAlign w:val="subscript"/>
                <w:lang w:val="en-US" w:eastAsia="zh-CN"/>
              </w:rPr>
              <w:t>4</w:t>
            </w:r>
          </w:p>
        </w:tc>
        <w:tc>
          <w:tcPr>
            <w:tcW w:w="1250" w:type="pct"/>
            <w:tcBorders>
              <w:tl2br w:val="nil"/>
              <w:tr2bl w:val="nil"/>
            </w:tcBorders>
            <w:vAlign w:val="center"/>
          </w:tcPr>
          <w:p w14:paraId="2D3F34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83.89</w:t>
            </w:r>
            <w:r>
              <w:rPr>
                <w:rFonts w:hint="default" w:ascii="Times New Roman" w:hAnsi="Times New Roman" w:eastAsia="宋体"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rPr>
              <w:t>/a</w:t>
            </w:r>
          </w:p>
        </w:tc>
      </w:tr>
    </w:tbl>
    <w:p w14:paraId="7B68F158">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0" w:firstLineChars="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本项目硫酸储罐位于破碎车间旁边，储罐呼吸废气产生量约</w:t>
      </w:r>
      <w:r>
        <w:rPr>
          <w:rFonts w:hint="eastAsia" w:cs="Times New Roman"/>
          <w:color w:val="auto"/>
          <w:sz w:val="24"/>
          <w:highlight w:val="none"/>
          <w:lang w:val="en-US" w:eastAsia="zh-CN"/>
        </w:rPr>
        <w:t>137.01</w:t>
      </w:r>
      <w:r>
        <w:rPr>
          <w:rFonts w:hint="default" w:ascii="Times New Roman" w:hAnsi="Times New Roman" w:eastAsia="宋体" w:cs="Times New Roman"/>
          <w:color w:val="auto"/>
          <w:sz w:val="24"/>
          <w:highlight w:val="none"/>
          <w:lang w:val="en-US" w:eastAsia="zh-CN"/>
        </w:rPr>
        <w:t>kg/a。</w:t>
      </w:r>
    </w:p>
    <w:p w14:paraId="6F76D6D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w:t>
      </w:r>
      <w:r>
        <w:rPr>
          <w:rFonts w:hint="eastAsia" w:cs="Times New Roman"/>
          <w:color w:val="auto"/>
          <w:kern w:val="0"/>
          <w:szCs w:val="28"/>
          <w:highlight w:val="none"/>
          <w:lang w:val="en-US" w:eastAsia="zh-CN"/>
        </w:rPr>
        <w:t>5</w:t>
      </w:r>
      <w:r>
        <w:rPr>
          <w:rFonts w:ascii="Times New Roman" w:hAnsi="Times New Roman" w:cs="Times New Roman"/>
          <w:color w:val="auto"/>
          <w:kern w:val="0"/>
          <w:szCs w:val="28"/>
          <w:highlight w:val="none"/>
        </w:rPr>
        <w:t>）萃取-电积废气</w:t>
      </w:r>
    </w:p>
    <w:p w14:paraId="36E27D5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Cs w:val="28"/>
          <w:highlight w:val="none"/>
          <w:lang w:val="en-US" w:eastAsia="zh-CN"/>
        </w:rPr>
      </w:pPr>
      <w:r>
        <w:rPr>
          <w:rFonts w:hint="eastAsia" w:ascii="Times New Roman" w:hAnsi="Times New Roman" w:eastAsia="宋体" w:cs="Times New Roman"/>
          <w:color w:val="auto"/>
          <w:kern w:val="0"/>
          <w:szCs w:val="28"/>
          <w:highlight w:val="none"/>
          <w:lang w:val="en-US" w:eastAsia="zh-CN"/>
        </w:rPr>
        <w:t>①非甲烷总烃污染源源强核算</w:t>
      </w:r>
    </w:p>
    <w:p w14:paraId="300461D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color w:val="auto"/>
          <w:kern w:val="0"/>
          <w:szCs w:val="28"/>
          <w:highlight w:val="none"/>
        </w:rPr>
      </w:pPr>
      <w:r>
        <w:rPr>
          <w:rFonts w:ascii="Times New Roman" w:hAnsi="Times New Roman" w:eastAsia="宋体" w:cs="Times New Roman"/>
          <w:color w:val="auto"/>
          <w:kern w:val="0"/>
          <w:szCs w:val="28"/>
          <w:highlight w:val="none"/>
        </w:rPr>
        <w:t>本项目采用LIX984N型铜萃取剂，主要为5-壬基水杨醛肟及2-羟基-5-壬基苯乙酮肟，在使用过程中需要添加260#煤油作为稀释剂稀释</w:t>
      </w:r>
      <w:r>
        <w:rPr>
          <w:rFonts w:hint="eastAsia" w:ascii="Times New Roman" w:hAnsi="Times New Roman" w:cs="Times New Roman"/>
          <w:color w:val="auto"/>
          <w:kern w:val="0"/>
          <w:szCs w:val="28"/>
          <w:highlight w:val="none"/>
          <w:lang w:eastAsia="zh-CN"/>
        </w:rPr>
        <w:t>，</w:t>
      </w:r>
      <w:r>
        <w:rPr>
          <w:rFonts w:ascii="Times New Roman" w:hAnsi="Times New Roman" w:eastAsia="宋体" w:cs="Times New Roman"/>
          <w:color w:val="auto"/>
          <w:kern w:val="0"/>
          <w:szCs w:val="28"/>
          <w:highlight w:val="none"/>
        </w:rPr>
        <w:t>260#煤油</w:t>
      </w:r>
      <w:r>
        <w:rPr>
          <w:rFonts w:hint="eastAsia" w:ascii="Times New Roman" w:hAnsi="Times New Roman" w:cs="Times New Roman"/>
          <w:color w:val="auto"/>
          <w:kern w:val="0"/>
          <w:szCs w:val="28"/>
          <w:highlight w:val="none"/>
          <w:lang w:val="en-US" w:eastAsia="zh-CN"/>
        </w:rPr>
        <w:t>用量为150t</w:t>
      </w:r>
      <w:r>
        <w:rPr>
          <w:rFonts w:ascii="Times New Roman" w:hAnsi="Times New Roman" w:eastAsia="宋体" w:cs="Times New Roman"/>
          <w:color w:val="auto"/>
          <w:kern w:val="0"/>
          <w:szCs w:val="28"/>
          <w:highlight w:val="none"/>
        </w:rPr>
        <w:t>。故在萃取</w:t>
      </w:r>
      <w:r>
        <w:rPr>
          <w:rFonts w:hint="eastAsia" w:ascii="Times New Roman" w:hAnsi="Times New Roman" w:cs="Times New Roman"/>
          <w:color w:val="auto"/>
          <w:kern w:val="0"/>
          <w:szCs w:val="28"/>
          <w:highlight w:val="none"/>
          <w:lang w:eastAsia="zh-CN"/>
        </w:rPr>
        <w:t>－</w:t>
      </w:r>
      <w:r>
        <w:rPr>
          <w:rFonts w:ascii="Times New Roman" w:hAnsi="Times New Roman" w:eastAsia="宋体" w:cs="Times New Roman"/>
          <w:color w:val="auto"/>
          <w:kern w:val="0"/>
          <w:szCs w:val="28"/>
          <w:highlight w:val="none"/>
        </w:rPr>
        <w:t>反萃取环节因煤油损失会产生非甲烷总烃。参照国家标准《散装液态石油产品损耗》（GB11085-1989）中新疆地区散装石油产品中其他油损失率0.01%计算，项目非甲烷总烃产生与排放情况见下表。</w:t>
      </w:r>
    </w:p>
    <w:p w14:paraId="3C6DCC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表3.</w:t>
      </w:r>
      <w:r>
        <w:rPr>
          <w:rFonts w:hint="eastAsia" w:ascii="Times New Roman" w:hAnsi="Times New Roman" w:cs="Times New Roman"/>
          <w:b/>
          <w:color w:val="auto"/>
          <w:kern w:val="0"/>
          <w:sz w:val="21"/>
          <w:szCs w:val="21"/>
          <w:highlight w:val="none"/>
          <w:lang w:val="en-US" w:eastAsia="zh-CN"/>
        </w:rPr>
        <w:t>4-6</w:t>
      </w:r>
      <w:r>
        <w:rPr>
          <w:rFonts w:ascii="Times New Roman" w:hAnsi="Times New Roman" w:eastAsia="宋体" w:cs="Times New Roman"/>
          <w:b/>
          <w:color w:val="auto"/>
          <w:kern w:val="0"/>
          <w:sz w:val="21"/>
          <w:szCs w:val="21"/>
          <w:highlight w:val="none"/>
        </w:rPr>
        <w:t xml:space="preserve">    非甲烷总烃产生情况</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01"/>
        <w:gridCol w:w="986"/>
        <w:gridCol w:w="1160"/>
        <w:gridCol w:w="1120"/>
        <w:gridCol w:w="1232"/>
        <w:gridCol w:w="1232"/>
        <w:gridCol w:w="1572"/>
      </w:tblGrid>
      <w:tr w14:paraId="700FE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603" w:type="pct"/>
            <w:tcBorders>
              <w:tl2br w:val="nil"/>
              <w:tr2bl w:val="nil"/>
            </w:tcBorders>
            <w:vAlign w:val="center"/>
          </w:tcPr>
          <w:p w14:paraId="490C7C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煤油使用量</w:t>
            </w:r>
          </w:p>
        </w:tc>
        <w:tc>
          <w:tcPr>
            <w:tcW w:w="593" w:type="pct"/>
            <w:tcBorders>
              <w:tl2br w:val="nil"/>
              <w:tr2bl w:val="nil"/>
            </w:tcBorders>
            <w:vAlign w:val="center"/>
          </w:tcPr>
          <w:p w14:paraId="3FBE23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污染物</w:t>
            </w:r>
          </w:p>
        </w:tc>
        <w:tc>
          <w:tcPr>
            <w:tcW w:w="698" w:type="pct"/>
            <w:tcBorders>
              <w:tl2br w:val="nil"/>
              <w:tr2bl w:val="nil"/>
            </w:tcBorders>
            <w:vAlign w:val="center"/>
          </w:tcPr>
          <w:p w14:paraId="08256B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产污系数</w:t>
            </w:r>
          </w:p>
        </w:tc>
        <w:tc>
          <w:tcPr>
            <w:tcW w:w="674" w:type="pct"/>
            <w:tcBorders>
              <w:tl2br w:val="nil"/>
              <w:tr2bl w:val="nil"/>
            </w:tcBorders>
            <w:vAlign w:val="center"/>
          </w:tcPr>
          <w:p w14:paraId="41FD1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污染物产生量</w:t>
            </w:r>
          </w:p>
        </w:tc>
        <w:tc>
          <w:tcPr>
            <w:tcW w:w="741" w:type="pct"/>
            <w:tcBorders>
              <w:tl2br w:val="nil"/>
              <w:tr2bl w:val="nil"/>
            </w:tcBorders>
            <w:vAlign w:val="center"/>
          </w:tcPr>
          <w:p w14:paraId="5A468A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处理设施</w:t>
            </w:r>
          </w:p>
        </w:tc>
        <w:tc>
          <w:tcPr>
            <w:tcW w:w="741" w:type="pct"/>
            <w:tcBorders>
              <w:tl2br w:val="nil"/>
              <w:tr2bl w:val="nil"/>
            </w:tcBorders>
            <w:vAlign w:val="center"/>
          </w:tcPr>
          <w:p w14:paraId="231EC7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排放量</w:t>
            </w:r>
          </w:p>
        </w:tc>
        <w:tc>
          <w:tcPr>
            <w:tcW w:w="946" w:type="pct"/>
            <w:tcBorders>
              <w:tl2br w:val="nil"/>
              <w:tr2bl w:val="nil"/>
            </w:tcBorders>
            <w:vAlign w:val="center"/>
          </w:tcPr>
          <w:p w14:paraId="50A335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排放方式</w:t>
            </w:r>
          </w:p>
        </w:tc>
      </w:tr>
      <w:tr w14:paraId="4843B8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20" w:hRule="atLeast"/>
          <w:jc w:val="center"/>
        </w:trPr>
        <w:tc>
          <w:tcPr>
            <w:tcW w:w="603" w:type="pct"/>
            <w:tcBorders>
              <w:tl2br w:val="nil"/>
              <w:tr2bl w:val="nil"/>
            </w:tcBorders>
            <w:vAlign w:val="center"/>
          </w:tcPr>
          <w:p w14:paraId="68A64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150</w:t>
            </w:r>
            <w:r>
              <w:rPr>
                <w:rFonts w:hint="default" w:ascii="Times New Roman" w:hAnsi="Times New Roman" w:eastAsia="宋体" w:cs="Times New Roman"/>
                <w:b w:val="0"/>
                <w:bCs w:val="0"/>
                <w:snapToGrid/>
                <w:color w:val="auto"/>
                <w:kern w:val="2"/>
                <w:sz w:val="21"/>
                <w:szCs w:val="21"/>
                <w:highlight w:val="none"/>
                <w:lang w:eastAsia="zh-CN"/>
              </w:rPr>
              <w:t>t</w:t>
            </w:r>
            <w:r>
              <w:rPr>
                <w:rFonts w:hint="eastAsia" w:ascii="Times New Roman" w:hAnsi="Times New Roman" w:eastAsia="宋体" w:cs="Times New Roman"/>
                <w:b w:val="0"/>
                <w:bCs w:val="0"/>
                <w:snapToGrid/>
                <w:color w:val="auto"/>
                <w:kern w:val="2"/>
                <w:sz w:val="21"/>
                <w:szCs w:val="21"/>
                <w:highlight w:val="none"/>
                <w:lang w:val="en-US" w:eastAsia="zh-CN"/>
              </w:rPr>
              <w:t>/a</w:t>
            </w:r>
          </w:p>
        </w:tc>
        <w:tc>
          <w:tcPr>
            <w:tcW w:w="593" w:type="pct"/>
            <w:tcBorders>
              <w:tl2br w:val="nil"/>
              <w:tr2bl w:val="nil"/>
            </w:tcBorders>
            <w:vAlign w:val="center"/>
          </w:tcPr>
          <w:p w14:paraId="735DFD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非甲烷总烃</w:t>
            </w:r>
          </w:p>
        </w:tc>
        <w:tc>
          <w:tcPr>
            <w:tcW w:w="698" w:type="pct"/>
            <w:tcBorders>
              <w:tl2br w:val="nil"/>
              <w:tr2bl w:val="nil"/>
            </w:tcBorders>
            <w:vAlign w:val="center"/>
          </w:tcPr>
          <w:p w14:paraId="3E9204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0.01%</w:t>
            </w:r>
          </w:p>
        </w:tc>
        <w:tc>
          <w:tcPr>
            <w:tcW w:w="674" w:type="pct"/>
            <w:tcBorders>
              <w:tl2br w:val="nil"/>
              <w:tr2bl w:val="nil"/>
            </w:tcBorders>
            <w:vAlign w:val="center"/>
          </w:tcPr>
          <w:p w14:paraId="0DCD05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eastAsia" w:ascii="Times New Roman" w:hAnsi="Times New Roman" w:cs="Times New Roman"/>
                <w:b w:val="0"/>
                <w:bCs w:val="0"/>
                <w:snapToGrid/>
                <w:color w:val="auto"/>
                <w:kern w:val="2"/>
                <w:sz w:val="21"/>
                <w:szCs w:val="21"/>
                <w:highlight w:val="none"/>
                <w:lang w:val="en-US" w:eastAsia="zh-CN"/>
              </w:rPr>
              <w:t>15</w:t>
            </w:r>
            <w:r>
              <w:rPr>
                <w:rFonts w:hint="default" w:ascii="Times New Roman" w:hAnsi="Times New Roman" w:eastAsia="宋体" w:cs="Times New Roman"/>
                <w:b w:val="0"/>
                <w:bCs w:val="0"/>
                <w:snapToGrid/>
                <w:color w:val="auto"/>
                <w:kern w:val="2"/>
                <w:sz w:val="21"/>
                <w:szCs w:val="21"/>
                <w:highlight w:val="none"/>
                <w:lang w:eastAsia="zh-CN"/>
              </w:rPr>
              <w:t>kg</w:t>
            </w:r>
            <w:r>
              <w:rPr>
                <w:rFonts w:hint="eastAsia" w:ascii="Times New Roman" w:hAnsi="Times New Roman" w:eastAsia="宋体" w:cs="Times New Roman"/>
                <w:b w:val="0"/>
                <w:bCs w:val="0"/>
                <w:snapToGrid/>
                <w:color w:val="auto"/>
                <w:kern w:val="2"/>
                <w:sz w:val="21"/>
                <w:szCs w:val="21"/>
                <w:highlight w:val="none"/>
                <w:lang w:val="en-US" w:eastAsia="zh-CN"/>
              </w:rPr>
              <w:t>/a</w:t>
            </w:r>
          </w:p>
        </w:tc>
        <w:tc>
          <w:tcPr>
            <w:tcW w:w="741" w:type="pct"/>
            <w:tcBorders>
              <w:tl2br w:val="nil"/>
              <w:tr2bl w:val="nil"/>
            </w:tcBorders>
            <w:vAlign w:val="center"/>
          </w:tcPr>
          <w:p w14:paraId="348E7C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snapToGrid/>
                <w:color w:val="auto"/>
                <w:kern w:val="2"/>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c>
          <w:tcPr>
            <w:tcW w:w="741" w:type="pct"/>
            <w:tcBorders>
              <w:tl2br w:val="nil"/>
              <w:tr2bl w:val="nil"/>
            </w:tcBorders>
            <w:vAlign w:val="center"/>
          </w:tcPr>
          <w:p w14:paraId="14F9D9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eastAsia" w:ascii="Times New Roman" w:hAnsi="Times New Roman" w:cs="Times New Roman"/>
                <w:b w:val="0"/>
                <w:bCs w:val="0"/>
                <w:snapToGrid/>
                <w:color w:val="auto"/>
                <w:kern w:val="2"/>
                <w:sz w:val="21"/>
                <w:szCs w:val="21"/>
                <w:highlight w:val="none"/>
                <w:lang w:val="en-US" w:eastAsia="zh-CN"/>
              </w:rPr>
              <w:t>15</w:t>
            </w:r>
            <w:r>
              <w:rPr>
                <w:rFonts w:hint="default" w:ascii="Times New Roman" w:hAnsi="Times New Roman" w:eastAsia="宋体" w:cs="Times New Roman"/>
                <w:b w:val="0"/>
                <w:bCs w:val="0"/>
                <w:snapToGrid/>
                <w:color w:val="auto"/>
                <w:kern w:val="2"/>
                <w:sz w:val="21"/>
                <w:szCs w:val="21"/>
                <w:highlight w:val="none"/>
                <w:lang w:eastAsia="zh-CN"/>
              </w:rPr>
              <w:t>kg</w:t>
            </w:r>
            <w:r>
              <w:rPr>
                <w:rFonts w:hint="eastAsia" w:ascii="Times New Roman" w:hAnsi="Times New Roman" w:eastAsia="宋体" w:cs="Times New Roman"/>
                <w:b w:val="0"/>
                <w:bCs w:val="0"/>
                <w:snapToGrid/>
                <w:color w:val="auto"/>
                <w:kern w:val="2"/>
                <w:sz w:val="21"/>
                <w:szCs w:val="21"/>
                <w:highlight w:val="none"/>
                <w:lang w:val="en-US" w:eastAsia="zh-CN"/>
              </w:rPr>
              <w:t>/a</w:t>
            </w:r>
          </w:p>
        </w:tc>
        <w:tc>
          <w:tcPr>
            <w:tcW w:w="946" w:type="pct"/>
            <w:tcBorders>
              <w:tl2br w:val="nil"/>
              <w:tr2bl w:val="nil"/>
            </w:tcBorders>
            <w:vAlign w:val="center"/>
          </w:tcPr>
          <w:p w14:paraId="777711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无组织</w:t>
            </w:r>
          </w:p>
        </w:tc>
      </w:tr>
    </w:tbl>
    <w:p w14:paraId="75ACD84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0"/>
          <w:szCs w:val="28"/>
          <w:highlight w:val="none"/>
          <w:lang w:val="en-US" w:eastAsia="zh-CN"/>
        </w:rPr>
      </w:pPr>
      <w:r>
        <w:rPr>
          <w:rFonts w:hint="eastAsia" w:ascii="Times New Roman" w:hAnsi="Times New Roman" w:cs="Times New Roman"/>
          <w:color w:val="auto"/>
          <w:kern w:val="0"/>
          <w:szCs w:val="28"/>
          <w:highlight w:val="none"/>
          <w:lang w:val="en-US" w:eastAsia="zh-CN"/>
        </w:rPr>
        <w:t>②</w:t>
      </w:r>
      <w:r>
        <w:rPr>
          <w:rFonts w:hint="eastAsia" w:ascii="Times New Roman" w:hAnsi="Times New Roman" w:eastAsia="宋体" w:cs="Times New Roman"/>
          <w:color w:val="auto"/>
          <w:kern w:val="0"/>
          <w:szCs w:val="28"/>
          <w:highlight w:val="none"/>
          <w:lang w:val="en-US" w:eastAsia="zh-CN"/>
        </w:rPr>
        <w:t>硫酸雾污染源源强核算</w:t>
      </w:r>
    </w:p>
    <w:p w14:paraId="3DA3C8C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0"/>
          <w:szCs w:val="28"/>
          <w:highlight w:val="none"/>
          <w:lang w:val="en-US" w:eastAsia="zh-CN"/>
        </w:rPr>
      </w:pPr>
      <w:r>
        <w:rPr>
          <w:rFonts w:hint="eastAsia" w:ascii="Times New Roman" w:hAnsi="Times New Roman" w:eastAsia="宋体" w:cs="Times New Roman"/>
          <w:color w:val="auto"/>
          <w:kern w:val="0"/>
          <w:szCs w:val="28"/>
          <w:highlight w:val="none"/>
          <w:lang w:val="en-US" w:eastAsia="zh-CN"/>
        </w:rPr>
        <w:t>萃取-电积间设置集气罩（1000m</w:t>
      </w:r>
      <w:r>
        <w:rPr>
          <w:rFonts w:hint="eastAsia" w:ascii="Times New Roman" w:hAnsi="Times New Roman" w:eastAsia="宋体" w:cs="Times New Roman"/>
          <w:color w:val="auto"/>
          <w:kern w:val="0"/>
          <w:szCs w:val="28"/>
          <w:highlight w:val="none"/>
          <w:vertAlign w:val="superscript"/>
          <w:lang w:val="en-US" w:eastAsia="zh-CN"/>
        </w:rPr>
        <w:t>3</w:t>
      </w:r>
      <w:r>
        <w:rPr>
          <w:rFonts w:hint="eastAsia" w:ascii="Times New Roman" w:hAnsi="Times New Roman" w:eastAsia="宋体" w:cs="Times New Roman"/>
          <w:color w:val="auto"/>
          <w:kern w:val="0"/>
          <w:szCs w:val="28"/>
          <w:highlight w:val="none"/>
          <w:lang w:val="en-US" w:eastAsia="zh-CN"/>
        </w:rPr>
        <w:t>/h，95%收集率）对废气进行收集，集气罩设置在密闭</w:t>
      </w:r>
      <w:r>
        <w:rPr>
          <w:rFonts w:hint="eastAsia" w:cs="Times New Roman"/>
          <w:color w:val="auto"/>
          <w:kern w:val="0"/>
          <w:szCs w:val="28"/>
          <w:highlight w:val="none"/>
          <w:lang w:val="en-US" w:eastAsia="zh-CN"/>
        </w:rPr>
        <w:t>电积槽</w:t>
      </w:r>
      <w:r>
        <w:rPr>
          <w:rFonts w:hint="eastAsia" w:ascii="Times New Roman" w:hAnsi="Times New Roman" w:eastAsia="宋体" w:cs="Times New Roman"/>
          <w:color w:val="auto"/>
          <w:kern w:val="0"/>
          <w:szCs w:val="28"/>
          <w:highlight w:val="none"/>
          <w:lang w:val="en-US" w:eastAsia="zh-CN"/>
        </w:rPr>
        <w:t>上方。采用碱液吸收塔（硫酸去除80%）来处理萃取-电积过程产生的废气，处理后废气通过15m高排气筒排放。</w:t>
      </w:r>
    </w:p>
    <w:p w14:paraId="4A2F717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本项目在</w:t>
      </w:r>
      <w:r>
        <w:rPr>
          <w:rFonts w:hint="eastAsia" w:cs="Times New Roman"/>
          <w:color w:val="auto"/>
          <w:kern w:val="0"/>
          <w:szCs w:val="28"/>
          <w:highlight w:val="none"/>
          <w:lang w:eastAsia="zh-CN"/>
        </w:rPr>
        <w:t>电积槽</w:t>
      </w:r>
      <w:r>
        <w:rPr>
          <w:rFonts w:ascii="Times New Roman" w:hAnsi="Times New Roman" w:cs="Times New Roman"/>
          <w:color w:val="auto"/>
          <w:kern w:val="0"/>
          <w:szCs w:val="28"/>
          <w:highlight w:val="none"/>
        </w:rPr>
        <w:t>中产生一定量的硫酸雾，采用《工业</w:t>
      </w:r>
      <w:r>
        <w:rPr>
          <w:rFonts w:hint="eastAsia" w:ascii="Times New Roman" w:hAnsi="Times New Roman" w:cs="Times New Roman"/>
          <w:color w:val="auto"/>
          <w:kern w:val="0"/>
          <w:szCs w:val="28"/>
          <w:highlight w:val="none"/>
          <w:lang w:eastAsia="zh-CN"/>
        </w:rPr>
        <w:t>泄漏</w:t>
      </w:r>
      <w:r>
        <w:rPr>
          <w:rFonts w:ascii="Times New Roman" w:hAnsi="Times New Roman" w:cs="Times New Roman"/>
          <w:color w:val="auto"/>
          <w:kern w:val="0"/>
          <w:szCs w:val="28"/>
          <w:highlight w:val="none"/>
        </w:rPr>
        <w:t>与治理》中推荐的计算公式计算</w:t>
      </w:r>
      <w:r>
        <w:rPr>
          <w:rFonts w:hint="eastAsia" w:ascii="Times New Roman" w:hAnsi="Times New Roman" w:cs="Times New Roman"/>
          <w:color w:val="auto"/>
          <w:kern w:val="0"/>
          <w:szCs w:val="28"/>
          <w:highlight w:val="none"/>
          <w:lang w:val="en-US" w:eastAsia="zh-CN"/>
        </w:rPr>
        <w:t>试验期</w:t>
      </w:r>
      <w:r>
        <w:rPr>
          <w:rFonts w:hint="eastAsia" w:cs="Times New Roman"/>
          <w:color w:val="auto"/>
          <w:kern w:val="0"/>
          <w:szCs w:val="28"/>
          <w:highlight w:val="none"/>
          <w:lang w:eastAsia="zh-CN"/>
        </w:rPr>
        <w:t>电积槽</w:t>
      </w:r>
      <w:r>
        <w:rPr>
          <w:rFonts w:ascii="Times New Roman" w:hAnsi="Times New Roman" w:cs="Times New Roman"/>
          <w:color w:val="auto"/>
          <w:kern w:val="0"/>
          <w:szCs w:val="28"/>
          <w:highlight w:val="none"/>
        </w:rPr>
        <w:t>产生的硫酸雾，计算方程</w:t>
      </w:r>
      <w:r>
        <w:rPr>
          <w:rFonts w:hint="eastAsia" w:cs="Times New Roman"/>
          <w:color w:val="auto"/>
          <w:kern w:val="0"/>
          <w:szCs w:val="28"/>
          <w:highlight w:val="none"/>
          <w:lang w:eastAsia="zh-CN"/>
        </w:rPr>
        <w:t>如下</w:t>
      </w:r>
      <w:r>
        <w:rPr>
          <w:color w:val="auto"/>
          <w:spacing w:val="-1"/>
          <w:highlight w:val="none"/>
        </w:rPr>
        <w:t>：</w:t>
      </w:r>
    </w:p>
    <w:p w14:paraId="247821D4">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ascii="Times New Roman" w:hAnsi="Times New Roman" w:cs="Times New Roman"/>
          <w:color w:val="auto"/>
          <w:kern w:val="0"/>
          <w:sz w:val="24"/>
          <w:szCs w:val="24"/>
          <w:highlight w:val="none"/>
        </w:rPr>
      </w:pPr>
      <w:r>
        <w:rPr>
          <w:rFonts w:ascii="Times New Roman" w:hAnsi="Times New Roman" w:eastAsia="Times New Roman" w:cs="Times New Roman"/>
          <w:i/>
          <w:iCs/>
          <w:color w:val="auto"/>
          <w:sz w:val="24"/>
          <w:szCs w:val="24"/>
          <w:highlight w:val="none"/>
        </w:rPr>
        <w:t>G</w:t>
      </w:r>
      <w:r>
        <w:rPr>
          <w:rFonts w:ascii="Times New Roman" w:hAnsi="Times New Roman" w:eastAsia="Times New Roman" w:cs="Times New Roman"/>
          <w:color w:val="auto"/>
          <w:sz w:val="24"/>
          <w:szCs w:val="24"/>
          <w:highlight w:val="none"/>
        </w:rPr>
        <w:t>s</w:t>
      </w:r>
      <w:r>
        <w:rPr>
          <w:rFonts w:ascii="微软雅黑" w:hAnsi="微软雅黑" w:eastAsia="微软雅黑" w:cs="微软雅黑"/>
          <w:color w:val="auto"/>
          <w:spacing w:val="2"/>
          <w:sz w:val="24"/>
          <w:szCs w:val="24"/>
          <w:highlight w:val="none"/>
        </w:rPr>
        <w:t>=</w:t>
      </w:r>
      <w:r>
        <w:rPr>
          <w:rFonts w:ascii="Times New Roman" w:hAnsi="Times New Roman" w:eastAsia="Times New Roman" w:cs="Times New Roman"/>
          <w:i/>
          <w:iCs/>
          <w:color w:val="auto"/>
          <w:spacing w:val="2"/>
          <w:sz w:val="24"/>
          <w:szCs w:val="24"/>
          <w:highlight w:val="none"/>
        </w:rPr>
        <w:t>M</w:t>
      </w:r>
      <w:r>
        <w:rPr>
          <w:rFonts w:hint="eastAsia" w:eastAsia="宋体" w:cs="Times New Roman"/>
          <w:i/>
          <w:iCs/>
          <w:color w:val="auto"/>
          <w:spacing w:val="2"/>
          <w:sz w:val="24"/>
          <w:szCs w:val="24"/>
          <w:highlight w:val="none"/>
          <w:lang w:eastAsia="zh-CN"/>
        </w:rPr>
        <w:t>(</w:t>
      </w:r>
      <w:r>
        <w:rPr>
          <w:rFonts w:ascii="Times New Roman" w:hAnsi="Times New Roman" w:eastAsia="Times New Roman" w:cs="Times New Roman"/>
          <w:color w:val="auto"/>
          <w:spacing w:val="2"/>
          <w:sz w:val="24"/>
          <w:szCs w:val="24"/>
          <w:highlight w:val="none"/>
        </w:rPr>
        <w:t>0.000352</w:t>
      </w:r>
      <w:r>
        <w:rPr>
          <w:rFonts w:ascii="微软雅黑" w:hAnsi="微软雅黑" w:eastAsia="微软雅黑" w:cs="微软雅黑"/>
          <w:color w:val="auto"/>
          <w:spacing w:val="2"/>
          <w:sz w:val="24"/>
          <w:szCs w:val="24"/>
          <w:highlight w:val="none"/>
        </w:rPr>
        <w:t>+</w:t>
      </w:r>
      <w:r>
        <w:rPr>
          <w:rFonts w:ascii="Times New Roman" w:hAnsi="Times New Roman" w:eastAsia="Times New Roman" w:cs="Times New Roman"/>
          <w:color w:val="auto"/>
          <w:spacing w:val="2"/>
          <w:sz w:val="24"/>
          <w:szCs w:val="24"/>
          <w:highlight w:val="none"/>
        </w:rPr>
        <w:t>0.000786</w:t>
      </w:r>
      <w:r>
        <w:rPr>
          <w:rFonts w:ascii="Times New Roman" w:hAnsi="Times New Roman" w:eastAsia="Times New Roman" w:cs="Times New Roman"/>
          <w:i/>
          <w:iCs/>
          <w:color w:val="auto"/>
          <w:spacing w:val="2"/>
          <w:sz w:val="24"/>
          <w:szCs w:val="24"/>
          <w:highlight w:val="none"/>
        </w:rPr>
        <w:t>V</w:t>
      </w:r>
      <w:r>
        <w:rPr>
          <w:rFonts w:hint="eastAsia" w:eastAsia="宋体" w:cs="Times New Roman"/>
          <w:i/>
          <w:iCs/>
          <w:color w:val="auto"/>
          <w:spacing w:val="2"/>
          <w:sz w:val="24"/>
          <w:szCs w:val="24"/>
          <w:highlight w:val="none"/>
          <w:lang w:eastAsia="zh-CN"/>
        </w:rPr>
        <w:t>)</w:t>
      </w:r>
      <w:r>
        <w:rPr>
          <w:rFonts w:ascii="Times New Roman" w:hAnsi="Times New Roman" w:cs="Times New Roman"/>
          <w:color w:val="auto"/>
          <w:kern w:val="0"/>
          <w:szCs w:val="28"/>
          <w:highlight w:val="none"/>
        </w:rPr>
        <w:t>×</w:t>
      </w:r>
      <w:r>
        <w:rPr>
          <w:rFonts w:ascii="Times New Roman" w:hAnsi="Times New Roman" w:eastAsia="Times New Roman" w:cs="Times New Roman"/>
          <w:i/>
          <w:iCs/>
          <w:color w:val="auto"/>
          <w:spacing w:val="2"/>
          <w:sz w:val="24"/>
          <w:szCs w:val="24"/>
          <w:highlight w:val="none"/>
        </w:rPr>
        <w:t>P</w:t>
      </w:r>
      <w:r>
        <w:rPr>
          <w:rFonts w:ascii="Times New Roman" w:hAnsi="Times New Roman" w:cs="Times New Roman"/>
          <w:color w:val="auto"/>
          <w:kern w:val="0"/>
          <w:szCs w:val="28"/>
          <w:highlight w:val="none"/>
        </w:rPr>
        <w:t>×</w:t>
      </w:r>
      <w:r>
        <w:rPr>
          <w:rFonts w:ascii="Times New Roman" w:hAnsi="Times New Roman" w:eastAsia="Times New Roman" w:cs="Times New Roman"/>
          <w:i/>
          <w:iCs/>
          <w:color w:val="auto"/>
          <w:spacing w:val="2"/>
          <w:sz w:val="24"/>
          <w:szCs w:val="24"/>
          <w:highlight w:val="none"/>
        </w:rPr>
        <w:t>F</w:t>
      </w:r>
    </w:p>
    <w:p w14:paraId="25269DF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式中：</w:t>
      </w:r>
    </w:p>
    <w:p w14:paraId="4B0BF11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Gs—酸雾散发量，kg/h；</w:t>
      </w:r>
    </w:p>
    <w:p w14:paraId="5BB818C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M—酸的分子量，98g/mol；</w:t>
      </w:r>
    </w:p>
    <w:p w14:paraId="4271C75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V—室内风速，m/s，本次环评取</w:t>
      </w:r>
      <w:r>
        <w:rPr>
          <w:rFonts w:hint="eastAsia" w:ascii="Times New Roman" w:hAnsi="Times New Roman" w:cs="Times New Roman"/>
          <w:color w:val="auto"/>
          <w:kern w:val="0"/>
          <w:szCs w:val="28"/>
          <w:highlight w:val="none"/>
          <w:lang w:val="en-US" w:eastAsia="zh-CN"/>
        </w:rPr>
        <w:t>2</w:t>
      </w:r>
      <w:r>
        <w:rPr>
          <w:rFonts w:ascii="Times New Roman" w:hAnsi="Times New Roman" w:cs="Times New Roman"/>
          <w:color w:val="auto"/>
          <w:kern w:val="0"/>
          <w:szCs w:val="28"/>
          <w:highlight w:val="none"/>
        </w:rPr>
        <w:t>m/s；</w:t>
      </w:r>
    </w:p>
    <w:p w14:paraId="008845A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F—蒸发面的面积，m</w:t>
      </w:r>
      <w:r>
        <w:rPr>
          <w:rFonts w:ascii="Times New Roman" w:hAnsi="Times New Roman" w:cs="Times New Roman"/>
          <w:color w:val="auto"/>
          <w:kern w:val="0"/>
          <w:szCs w:val="28"/>
          <w:highlight w:val="none"/>
          <w:vertAlign w:val="superscript"/>
        </w:rPr>
        <w:t>2</w:t>
      </w:r>
      <w:r>
        <w:rPr>
          <w:rFonts w:ascii="Times New Roman" w:hAnsi="Times New Roman" w:cs="Times New Roman"/>
          <w:color w:val="auto"/>
          <w:kern w:val="0"/>
          <w:szCs w:val="28"/>
          <w:highlight w:val="none"/>
        </w:rPr>
        <w:t>，本次环评</w:t>
      </w:r>
      <w:r>
        <w:rPr>
          <w:rFonts w:hint="eastAsia" w:cs="Times New Roman"/>
          <w:color w:val="auto"/>
          <w:kern w:val="0"/>
          <w:szCs w:val="28"/>
          <w:highlight w:val="none"/>
          <w:lang w:eastAsia="zh-CN"/>
        </w:rPr>
        <w:t>电积槽</w:t>
      </w:r>
      <w:r>
        <w:rPr>
          <w:rFonts w:ascii="Times New Roman" w:hAnsi="Times New Roman" w:cs="Times New Roman"/>
          <w:color w:val="auto"/>
          <w:kern w:val="0"/>
          <w:szCs w:val="28"/>
          <w:highlight w:val="none"/>
        </w:rPr>
        <w:t>面积</w:t>
      </w:r>
      <w:r>
        <w:rPr>
          <w:rFonts w:hint="eastAsia" w:ascii="Times New Roman" w:hAnsi="Times New Roman" w:cs="Times New Roman"/>
          <w:color w:val="auto"/>
          <w:kern w:val="0"/>
          <w:szCs w:val="28"/>
          <w:highlight w:val="none"/>
          <w:lang w:val="en-US" w:eastAsia="zh-CN"/>
        </w:rPr>
        <w:t>227.5</w:t>
      </w:r>
      <w:r>
        <w:rPr>
          <w:rFonts w:ascii="Times New Roman" w:hAnsi="Times New Roman" w:cs="Times New Roman"/>
          <w:color w:val="auto"/>
          <w:kern w:val="0"/>
          <w:szCs w:val="28"/>
          <w:highlight w:val="none"/>
        </w:rPr>
        <w:t>m</w:t>
      </w:r>
      <w:r>
        <w:rPr>
          <w:rFonts w:ascii="Times New Roman" w:hAnsi="Times New Roman" w:cs="Times New Roman"/>
          <w:color w:val="auto"/>
          <w:kern w:val="0"/>
          <w:szCs w:val="28"/>
          <w:highlight w:val="none"/>
          <w:vertAlign w:val="superscript"/>
        </w:rPr>
        <w:t>2</w:t>
      </w:r>
      <w:r>
        <w:rPr>
          <w:rFonts w:ascii="Times New Roman" w:hAnsi="Times New Roman" w:cs="Times New Roman"/>
          <w:color w:val="auto"/>
          <w:kern w:val="0"/>
          <w:szCs w:val="28"/>
          <w:highlight w:val="none"/>
        </w:rPr>
        <w:t>（</w:t>
      </w:r>
      <w:r>
        <w:rPr>
          <w:rFonts w:hint="eastAsia" w:ascii="Times New Roman" w:hAnsi="Times New Roman" w:cs="Times New Roman"/>
          <w:color w:val="auto"/>
          <w:kern w:val="0"/>
          <w:szCs w:val="28"/>
          <w:highlight w:val="none"/>
          <w:lang w:val="en-US" w:eastAsia="zh-CN"/>
        </w:rPr>
        <w:t>50</w:t>
      </w:r>
      <w:r>
        <w:rPr>
          <w:rFonts w:ascii="Times New Roman" w:hAnsi="Times New Roman" w:cs="Times New Roman"/>
          <w:color w:val="auto"/>
          <w:kern w:val="0"/>
          <w:szCs w:val="28"/>
          <w:highlight w:val="none"/>
        </w:rPr>
        <w:t>个</w:t>
      </w:r>
      <w:r>
        <w:rPr>
          <w:rFonts w:hint="eastAsia" w:cs="Times New Roman"/>
          <w:color w:val="auto"/>
          <w:kern w:val="0"/>
          <w:szCs w:val="28"/>
          <w:highlight w:val="none"/>
          <w:lang w:eastAsia="zh-CN"/>
        </w:rPr>
        <w:t>电积槽</w:t>
      </w:r>
      <w:r>
        <w:rPr>
          <w:rFonts w:ascii="Times New Roman" w:hAnsi="Times New Roman" w:cs="Times New Roman"/>
          <w:color w:val="auto"/>
          <w:kern w:val="0"/>
          <w:szCs w:val="28"/>
          <w:highlight w:val="none"/>
        </w:rPr>
        <w:t>）</w:t>
      </w:r>
    </w:p>
    <w:p w14:paraId="2260521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P—相应于液体温度时的饱和蒸汽分压，mmHg；当酸的浓度小于10%时可以用水饱和溶液浓度和蒸汽代替；本次以最不利情况考虑即硫酸未经过反应，质量分数为98%的情况下，25℃时饱和蒸汽分压为</w:t>
      </w:r>
      <w:r>
        <w:rPr>
          <w:rFonts w:hint="eastAsia" w:ascii="Times New Roman" w:hAnsi="Times New Roman" w:cs="Times New Roman"/>
          <w:color w:val="auto"/>
          <w:kern w:val="0"/>
          <w:szCs w:val="28"/>
          <w:highlight w:val="none"/>
          <w:lang w:val="en-US" w:eastAsia="zh-CN"/>
        </w:rPr>
        <w:t>0.0006</w:t>
      </w:r>
      <w:r>
        <w:rPr>
          <w:rFonts w:ascii="Times New Roman" w:hAnsi="Times New Roman" w:cs="Times New Roman"/>
          <w:color w:val="auto"/>
          <w:kern w:val="0"/>
          <w:szCs w:val="28"/>
          <w:highlight w:val="none"/>
        </w:rPr>
        <w:t>mmHg。</w:t>
      </w:r>
    </w:p>
    <w:p w14:paraId="7B5DCFC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经计算Gs为</w:t>
      </w:r>
      <w:r>
        <w:rPr>
          <w:rFonts w:hint="eastAsia" w:ascii="Times New Roman" w:hAnsi="Times New Roman" w:cs="Times New Roman"/>
          <w:color w:val="auto"/>
          <w:kern w:val="0"/>
          <w:szCs w:val="28"/>
          <w:highlight w:val="none"/>
          <w:lang w:val="en-US" w:eastAsia="zh-CN"/>
        </w:rPr>
        <w:t>0.026kg</w:t>
      </w:r>
      <w:r>
        <w:rPr>
          <w:rFonts w:ascii="Times New Roman" w:hAnsi="Times New Roman" w:cs="Times New Roman"/>
          <w:color w:val="auto"/>
          <w:kern w:val="0"/>
          <w:szCs w:val="28"/>
          <w:highlight w:val="none"/>
        </w:rPr>
        <w:t>/h，此外萃取-电积过程中会向酸液中添加酸雾抑制剂FC1100可有效抑制</w:t>
      </w:r>
      <w:r>
        <w:rPr>
          <w:rFonts w:hint="eastAsia" w:ascii="Times New Roman" w:hAnsi="Times New Roman" w:cs="Times New Roman"/>
          <w:color w:val="auto"/>
          <w:kern w:val="0"/>
          <w:szCs w:val="28"/>
          <w:highlight w:val="none"/>
          <w:lang w:val="en-US" w:eastAsia="zh-CN"/>
        </w:rPr>
        <w:t>50</w:t>
      </w:r>
      <w:r>
        <w:rPr>
          <w:rFonts w:ascii="Times New Roman" w:hAnsi="Times New Roman" w:cs="Times New Roman"/>
          <w:color w:val="auto"/>
          <w:kern w:val="0"/>
          <w:szCs w:val="28"/>
          <w:highlight w:val="none"/>
        </w:rPr>
        <w:t>%的酸雾产生，则此过程产生酸雾</w:t>
      </w:r>
      <w:r>
        <w:rPr>
          <w:rFonts w:hint="eastAsia" w:ascii="Times New Roman" w:hAnsi="Times New Roman" w:cs="Times New Roman"/>
          <w:color w:val="auto"/>
          <w:kern w:val="0"/>
          <w:szCs w:val="28"/>
          <w:highlight w:val="none"/>
          <w:lang w:val="en-US" w:eastAsia="zh-CN"/>
        </w:rPr>
        <w:t>0.013k</w:t>
      </w:r>
      <w:r>
        <w:rPr>
          <w:rFonts w:ascii="Times New Roman" w:hAnsi="Times New Roman" w:cs="Times New Roman"/>
          <w:color w:val="auto"/>
          <w:kern w:val="0"/>
          <w:szCs w:val="28"/>
          <w:highlight w:val="none"/>
        </w:rPr>
        <w:t>g/h，</w:t>
      </w:r>
      <w:r>
        <w:rPr>
          <w:rFonts w:hint="eastAsia" w:ascii="Times New Roman" w:hAnsi="Times New Roman" w:cs="Times New Roman"/>
          <w:color w:val="auto"/>
          <w:kern w:val="0"/>
          <w:szCs w:val="28"/>
          <w:highlight w:val="none"/>
          <w:lang w:val="en-US" w:eastAsia="zh-CN"/>
        </w:rPr>
        <w:t>78kg/a</w:t>
      </w:r>
      <w:r>
        <w:rPr>
          <w:rFonts w:ascii="Times New Roman" w:hAnsi="Times New Roman" w:cs="Times New Roman"/>
          <w:color w:val="auto"/>
          <w:kern w:val="0"/>
          <w:szCs w:val="28"/>
          <w:highlight w:val="none"/>
        </w:rPr>
        <w:t>，项目酸雾产生与排放情况见下表。</w:t>
      </w:r>
    </w:p>
    <w:p w14:paraId="7FDC3B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eastAsia="宋体" w:cs="Times New Roman"/>
          <w:b/>
          <w:color w:val="auto"/>
          <w:kern w:val="0"/>
          <w:sz w:val="21"/>
          <w:szCs w:val="21"/>
          <w:highlight w:val="none"/>
        </w:rPr>
        <w:t>表3.</w:t>
      </w:r>
      <w:r>
        <w:rPr>
          <w:rFonts w:hint="eastAsia" w:ascii="Times New Roman" w:hAnsi="Times New Roman" w:cs="Times New Roman"/>
          <w:b/>
          <w:color w:val="auto"/>
          <w:kern w:val="0"/>
          <w:sz w:val="21"/>
          <w:szCs w:val="21"/>
          <w:highlight w:val="none"/>
          <w:lang w:val="en-US" w:eastAsia="zh-CN"/>
        </w:rPr>
        <w:t>4-7</w:t>
      </w:r>
      <w:r>
        <w:rPr>
          <w:rFonts w:ascii="Times New Roman" w:hAnsi="Times New Roman" w:eastAsia="宋体" w:cs="Times New Roman"/>
          <w:b/>
          <w:color w:val="auto"/>
          <w:kern w:val="0"/>
          <w:sz w:val="21"/>
          <w:szCs w:val="21"/>
          <w:highlight w:val="none"/>
        </w:rPr>
        <w:t xml:space="preserve">    </w:t>
      </w:r>
      <w:r>
        <w:rPr>
          <w:rFonts w:hint="eastAsia" w:ascii="Times New Roman" w:hAnsi="Times New Roman" w:cs="Times New Roman"/>
          <w:b/>
          <w:color w:val="auto"/>
          <w:kern w:val="0"/>
          <w:sz w:val="21"/>
          <w:szCs w:val="21"/>
          <w:highlight w:val="none"/>
          <w:lang w:val="en-US" w:eastAsia="zh-CN"/>
        </w:rPr>
        <w:t>硫酸雾</w:t>
      </w:r>
      <w:r>
        <w:rPr>
          <w:rFonts w:ascii="Times New Roman" w:hAnsi="Times New Roman" w:eastAsia="宋体" w:cs="Times New Roman"/>
          <w:b/>
          <w:color w:val="auto"/>
          <w:kern w:val="0"/>
          <w:sz w:val="21"/>
          <w:szCs w:val="21"/>
          <w:highlight w:val="none"/>
        </w:rPr>
        <w:t>产生情况</w:t>
      </w:r>
    </w:p>
    <w:tbl>
      <w:tblPr>
        <w:tblStyle w:val="121"/>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64"/>
        <w:gridCol w:w="1312"/>
        <w:gridCol w:w="1408"/>
        <w:gridCol w:w="1644"/>
        <w:gridCol w:w="1299"/>
        <w:gridCol w:w="1372"/>
      </w:tblGrid>
      <w:tr w14:paraId="79CF3E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61" w:type="pct"/>
            <w:tcBorders>
              <w:tl2br w:val="nil"/>
              <w:tr2bl w:val="nil"/>
            </w:tcBorders>
            <w:vAlign w:val="center"/>
          </w:tcPr>
          <w:p w14:paraId="7D341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污染物</w:t>
            </w:r>
          </w:p>
        </w:tc>
        <w:tc>
          <w:tcPr>
            <w:tcW w:w="790" w:type="pct"/>
            <w:tcBorders>
              <w:tl2br w:val="nil"/>
              <w:tr2bl w:val="nil"/>
            </w:tcBorders>
            <w:vAlign w:val="center"/>
          </w:tcPr>
          <w:p w14:paraId="055E4A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产生量</w:t>
            </w:r>
          </w:p>
        </w:tc>
        <w:tc>
          <w:tcPr>
            <w:tcW w:w="848" w:type="pct"/>
            <w:tcBorders>
              <w:tl2br w:val="nil"/>
              <w:tr2bl w:val="nil"/>
            </w:tcBorders>
            <w:vAlign w:val="center"/>
          </w:tcPr>
          <w:p w14:paraId="4AAFB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处理设施</w:t>
            </w:r>
          </w:p>
        </w:tc>
        <w:tc>
          <w:tcPr>
            <w:tcW w:w="990" w:type="pct"/>
            <w:tcBorders>
              <w:tl2br w:val="nil"/>
              <w:tr2bl w:val="nil"/>
            </w:tcBorders>
            <w:vAlign w:val="center"/>
          </w:tcPr>
          <w:p w14:paraId="409EC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排放浓度</w:t>
            </w:r>
          </w:p>
        </w:tc>
        <w:tc>
          <w:tcPr>
            <w:tcW w:w="782" w:type="pct"/>
            <w:tcBorders>
              <w:tl2br w:val="nil"/>
              <w:tr2bl w:val="nil"/>
            </w:tcBorders>
            <w:vAlign w:val="center"/>
          </w:tcPr>
          <w:p w14:paraId="160CBB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排放量</w:t>
            </w:r>
          </w:p>
        </w:tc>
        <w:tc>
          <w:tcPr>
            <w:tcW w:w="826" w:type="pct"/>
            <w:tcBorders>
              <w:tl2br w:val="nil"/>
              <w:tr2bl w:val="nil"/>
            </w:tcBorders>
            <w:vAlign w:val="center"/>
          </w:tcPr>
          <w:p w14:paraId="078C7C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排放方式</w:t>
            </w:r>
          </w:p>
        </w:tc>
      </w:tr>
      <w:tr w14:paraId="4A1A4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61" w:type="pct"/>
            <w:vMerge w:val="restart"/>
            <w:tcBorders>
              <w:tl2br w:val="nil"/>
              <w:tr2bl w:val="nil"/>
            </w:tcBorders>
            <w:vAlign w:val="center"/>
          </w:tcPr>
          <w:p w14:paraId="6B2C26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硫酸雾</w:t>
            </w:r>
          </w:p>
        </w:tc>
        <w:tc>
          <w:tcPr>
            <w:tcW w:w="790" w:type="pct"/>
            <w:vMerge w:val="restart"/>
            <w:tcBorders>
              <w:tl2br w:val="nil"/>
              <w:tr2bl w:val="nil"/>
            </w:tcBorders>
            <w:vAlign w:val="center"/>
          </w:tcPr>
          <w:p w14:paraId="1C0CF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0.013kg/h</w:t>
            </w:r>
          </w:p>
        </w:tc>
        <w:tc>
          <w:tcPr>
            <w:tcW w:w="848" w:type="pct"/>
            <w:vMerge w:val="restart"/>
            <w:tcBorders>
              <w:tl2br w:val="nil"/>
              <w:tr2bl w:val="nil"/>
            </w:tcBorders>
            <w:vAlign w:val="center"/>
          </w:tcPr>
          <w:p w14:paraId="1A6D90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碱液吸收塔</w:t>
            </w:r>
            <w:r>
              <w:rPr>
                <w:rFonts w:hint="default" w:ascii="Times New Roman" w:hAnsi="Times New Roman" w:eastAsia="宋体" w:cs="Times New Roman"/>
                <w:b w:val="0"/>
                <w:bCs w:val="0"/>
                <w:snapToGrid/>
                <w:color w:val="auto"/>
                <w:kern w:val="2"/>
                <w:sz w:val="21"/>
                <w:szCs w:val="21"/>
                <w:highlight w:val="none"/>
                <w:lang w:val="en-US" w:eastAsia="zh-CN"/>
              </w:rPr>
              <w:t>（硫酸去除80%）</w:t>
            </w:r>
            <w:r>
              <w:rPr>
                <w:rFonts w:hint="eastAsia" w:ascii="Times New Roman" w:hAnsi="Times New Roman" w:eastAsia="宋体" w:cs="Times New Roman"/>
                <w:b w:val="0"/>
                <w:bCs w:val="0"/>
                <w:snapToGrid/>
                <w:color w:val="auto"/>
                <w:kern w:val="2"/>
                <w:sz w:val="21"/>
                <w:szCs w:val="21"/>
                <w:highlight w:val="none"/>
                <w:lang w:val="en-US" w:eastAsia="zh-CN"/>
              </w:rPr>
              <w:t>+15m高排气筒排放</w:t>
            </w:r>
          </w:p>
        </w:tc>
        <w:tc>
          <w:tcPr>
            <w:tcW w:w="990" w:type="pct"/>
            <w:tcBorders>
              <w:tl2br w:val="nil"/>
              <w:tr2bl w:val="nil"/>
            </w:tcBorders>
            <w:vAlign w:val="center"/>
          </w:tcPr>
          <w:p w14:paraId="1E08F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eastAsia" w:ascii="Times New Roman" w:hAnsi="Times New Roman" w:eastAsia="宋体" w:cs="Times New Roman"/>
                <w:b w:val="0"/>
                <w:bCs w:val="0"/>
                <w:snapToGrid/>
                <w:color w:val="auto"/>
                <w:kern w:val="2"/>
                <w:sz w:val="21"/>
                <w:szCs w:val="21"/>
                <w:highlight w:val="none"/>
                <w:lang w:val="en-US" w:eastAsia="zh-CN"/>
              </w:rPr>
              <w:t>2.6</w:t>
            </w:r>
            <w:r>
              <w:rPr>
                <w:rFonts w:hint="default" w:ascii="Times New Roman" w:hAnsi="Times New Roman" w:eastAsia="宋体" w:cs="Times New Roman"/>
                <w:b w:val="0"/>
                <w:bCs w:val="0"/>
                <w:snapToGrid/>
                <w:color w:val="auto"/>
                <w:kern w:val="2"/>
                <w:sz w:val="21"/>
                <w:szCs w:val="21"/>
                <w:highlight w:val="none"/>
                <w:lang w:eastAsia="zh-CN"/>
              </w:rPr>
              <w:t>mg/m</w:t>
            </w:r>
            <w:r>
              <w:rPr>
                <w:rFonts w:hint="default" w:ascii="Times New Roman" w:hAnsi="Times New Roman" w:eastAsia="宋体" w:cs="Times New Roman"/>
                <w:b w:val="0"/>
                <w:bCs w:val="0"/>
                <w:snapToGrid/>
                <w:color w:val="auto"/>
                <w:kern w:val="2"/>
                <w:sz w:val="21"/>
                <w:szCs w:val="21"/>
                <w:highlight w:val="none"/>
                <w:vertAlign w:val="superscript"/>
                <w:lang w:eastAsia="zh-CN"/>
              </w:rPr>
              <w:t>3</w:t>
            </w:r>
          </w:p>
        </w:tc>
        <w:tc>
          <w:tcPr>
            <w:tcW w:w="782" w:type="pct"/>
            <w:tcBorders>
              <w:tl2br w:val="nil"/>
              <w:tr2bl w:val="nil"/>
            </w:tcBorders>
            <w:vAlign w:val="center"/>
          </w:tcPr>
          <w:p w14:paraId="2D872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0.0026kg/h</w:t>
            </w:r>
          </w:p>
        </w:tc>
        <w:tc>
          <w:tcPr>
            <w:tcW w:w="826" w:type="pct"/>
            <w:tcBorders>
              <w:tl2br w:val="nil"/>
              <w:tr2bl w:val="nil"/>
            </w:tcBorders>
            <w:vAlign w:val="center"/>
          </w:tcPr>
          <w:p w14:paraId="33381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有组织（DA001）</w:t>
            </w:r>
          </w:p>
        </w:tc>
      </w:tr>
      <w:tr w14:paraId="34D35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61" w:type="pct"/>
            <w:vMerge w:val="continue"/>
            <w:tcBorders>
              <w:tl2br w:val="nil"/>
              <w:tr2bl w:val="nil"/>
            </w:tcBorders>
            <w:vAlign w:val="center"/>
          </w:tcPr>
          <w:p w14:paraId="0FB4E5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p>
        </w:tc>
        <w:tc>
          <w:tcPr>
            <w:tcW w:w="790" w:type="pct"/>
            <w:vMerge w:val="continue"/>
            <w:tcBorders>
              <w:tl2br w:val="nil"/>
              <w:tr2bl w:val="nil"/>
            </w:tcBorders>
            <w:vAlign w:val="center"/>
          </w:tcPr>
          <w:p w14:paraId="5F51FF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p>
        </w:tc>
        <w:tc>
          <w:tcPr>
            <w:tcW w:w="848" w:type="pct"/>
            <w:vMerge w:val="continue"/>
            <w:tcBorders>
              <w:tl2br w:val="nil"/>
              <w:tr2bl w:val="nil"/>
            </w:tcBorders>
            <w:vAlign w:val="center"/>
          </w:tcPr>
          <w:p w14:paraId="522B6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p>
        </w:tc>
        <w:tc>
          <w:tcPr>
            <w:tcW w:w="990" w:type="pct"/>
            <w:tcBorders>
              <w:tl2br w:val="nil"/>
              <w:tr2bl w:val="nil"/>
            </w:tcBorders>
            <w:vAlign w:val="center"/>
          </w:tcPr>
          <w:p w14:paraId="46D55A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w:t>
            </w:r>
          </w:p>
        </w:tc>
        <w:tc>
          <w:tcPr>
            <w:tcW w:w="782" w:type="pct"/>
            <w:tcBorders>
              <w:tl2br w:val="nil"/>
              <w:tr2bl w:val="nil"/>
            </w:tcBorders>
            <w:vAlign w:val="center"/>
          </w:tcPr>
          <w:p w14:paraId="0D69BF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0.00065kg/h</w:t>
            </w:r>
          </w:p>
        </w:tc>
        <w:tc>
          <w:tcPr>
            <w:tcW w:w="826" w:type="pct"/>
            <w:tcBorders>
              <w:tl2br w:val="nil"/>
              <w:tr2bl w:val="nil"/>
            </w:tcBorders>
            <w:vAlign w:val="center"/>
          </w:tcPr>
          <w:p w14:paraId="7C0A1B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无组织</w:t>
            </w:r>
          </w:p>
        </w:tc>
      </w:tr>
    </w:tbl>
    <w:p w14:paraId="0048BFC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rPr>
      </w:pPr>
      <w:r>
        <w:rPr>
          <w:rFonts w:hint="eastAsia" w:ascii="Times New Roman" w:hAnsi="Times New Roman" w:eastAsia="宋体" w:cs="Times New Roman"/>
          <w:caps w:val="0"/>
          <w:smallCaps w:val="0"/>
          <w:snapToGrid w:val="0"/>
          <w:color w:val="auto"/>
          <w:kern w:val="0"/>
          <w:sz w:val="24"/>
          <w:lang w:eastAsia="zh-CN"/>
        </w:rPr>
        <w:t>（</w:t>
      </w:r>
      <w:r>
        <w:rPr>
          <w:rFonts w:hint="eastAsia" w:cs="Times New Roman"/>
          <w:caps w:val="0"/>
          <w:smallCaps w:val="0"/>
          <w:snapToGrid w:val="0"/>
          <w:color w:val="auto"/>
          <w:kern w:val="0"/>
          <w:sz w:val="24"/>
          <w:lang w:val="en-US" w:eastAsia="zh-CN"/>
        </w:rPr>
        <w:t>6</w:t>
      </w:r>
      <w:r>
        <w:rPr>
          <w:rFonts w:hint="eastAsia" w:ascii="Times New Roman" w:hAnsi="Times New Roman" w:eastAsia="宋体" w:cs="Times New Roman"/>
          <w:caps w:val="0"/>
          <w:smallCaps w:val="0"/>
          <w:snapToGrid w:val="0"/>
          <w:color w:val="auto"/>
          <w:kern w:val="0"/>
          <w:sz w:val="24"/>
          <w:lang w:eastAsia="zh-CN"/>
        </w:rPr>
        <w:t>）</w:t>
      </w:r>
      <w:r>
        <w:rPr>
          <w:rFonts w:hint="default" w:ascii="Times New Roman" w:hAnsi="Times New Roman" w:eastAsia="宋体" w:cs="Times New Roman"/>
          <w:caps w:val="0"/>
          <w:smallCaps w:val="0"/>
          <w:snapToGrid w:val="0"/>
          <w:color w:val="auto"/>
          <w:kern w:val="0"/>
          <w:sz w:val="24"/>
        </w:rPr>
        <w:t>矿仓</w:t>
      </w:r>
      <w:r>
        <w:rPr>
          <w:rFonts w:hint="default" w:ascii="Times New Roman" w:hAnsi="Times New Roman" w:eastAsia="宋体" w:cs="Times New Roman"/>
          <w:caps w:val="0"/>
          <w:smallCaps w:val="0"/>
          <w:color w:val="auto"/>
          <w:sz w:val="24"/>
        </w:rPr>
        <w:t>无组织排放</w:t>
      </w:r>
    </w:p>
    <w:p w14:paraId="4EFC5E5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snapToGrid w:val="0"/>
          <w:color w:val="auto"/>
          <w:kern w:val="0"/>
          <w:sz w:val="24"/>
        </w:rPr>
      </w:pPr>
      <w:r>
        <w:rPr>
          <w:rFonts w:hint="default" w:ascii="Times New Roman" w:hAnsi="Times New Roman" w:eastAsia="宋体" w:cs="Times New Roman"/>
          <w:caps w:val="0"/>
          <w:smallCaps w:val="0"/>
          <w:snapToGrid w:val="0"/>
          <w:color w:val="auto"/>
          <w:kern w:val="0"/>
          <w:sz w:val="24"/>
        </w:rPr>
        <w:t>矿仓位于</w:t>
      </w:r>
      <w:r>
        <w:rPr>
          <w:rFonts w:hint="eastAsia" w:cs="Times New Roman"/>
          <w:caps w:val="0"/>
          <w:smallCaps w:val="0"/>
          <w:snapToGrid w:val="0"/>
          <w:color w:val="auto"/>
          <w:kern w:val="0"/>
          <w:sz w:val="24"/>
          <w:lang w:val="en-US" w:eastAsia="zh-CN"/>
        </w:rPr>
        <w:t>球磨车间西北侧</w:t>
      </w:r>
      <w:r>
        <w:rPr>
          <w:rFonts w:hint="default" w:ascii="Times New Roman" w:hAnsi="Times New Roman" w:eastAsia="宋体" w:cs="Times New Roman"/>
          <w:caps w:val="0"/>
          <w:smallCaps w:val="0"/>
          <w:snapToGrid w:val="0"/>
          <w:color w:val="auto"/>
          <w:kern w:val="0"/>
          <w:sz w:val="24"/>
        </w:rPr>
        <w:t>，</w:t>
      </w:r>
      <w:r>
        <w:rPr>
          <w:rFonts w:hint="eastAsia" w:ascii="Times New Roman" w:hAnsi="Times New Roman" w:cs="Times New Roman"/>
          <w:caps w:val="0"/>
          <w:smallCaps w:val="0"/>
          <w:snapToGrid w:val="0"/>
          <w:color w:val="auto"/>
          <w:kern w:val="0"/>
          <w:sz w:val="24"/>
          <w:lang w:eastAsia="zh-CN"/>
        </w:rPr>
        <w:t>物料</w:t>
      </w:r>
      <w:r>
        <w:rPr>
          <w:rFonts w:hint="default" w:ascii="Times New Roman" w:hAnsi="Times New Roman" w:eastAsia="宋体" w:cs="Times New Roman"/>
          <w:caps w:val="0"/>
          <w:smallCaps w:val="0"/>
          <w:snapToGrid w:val="0"/>
          <w:color w:val="auto"/>
          <w:kern w:val="0"/>
          <w:sz w:val="24"/>
        </w:rPr>
        <w:t>在装入矿仓过程中会产生无组织排放。通过采</w:t>
      </w:r>
      <w:r>
        <w:rPr>
          <w:rFonts w:hint="eastAsia" w:ascii="Times New Roman" w:hAnsi="Times New Roman" w:eastAsia="宋体" w:cs="Times New Roman"/>
          <w:caps w:val="0"/>
          <w:smallCaps w:val="0"/>
          <w:snapToGrid w:val="0"/>
          <w:color w:val="auto"/>
          <w:kern w:val="0"/>
          <w:sz w:val="24"/>
          <w:lang w:eastAsia="zh-CN"/>
        </w:rPr>
        <w:t>取</w:t>
      </w:r>
      <w:r>
        <w:rPr>
          <w:rFonts w:hint="default" w:ascii="Times New Roman" w:hAnsi="Times New Roman" w:eastAsia="宋体" w:cs="Times New Roman"/>
          <w:caps w:val="0"/>
          <w:smallCaps w:val="0"/>
          <w:snapToGrid w:val="0"/>
          <w:color w:val="auto"/>
          <w:kern w:val="0"/>
          <w:sz w:val="24"/>
        </w:rPr>
        <w:t>喷雾洒水抑尘等措施。在采取上述措施后，</w:t>
      </w:r>
      <w:r>
        <w:rPr>
          <w:rFonts w:hint="default" w:ascii="Times New Roman" w:hAnsi="Times New Roman" w:eastAsia="宋体" w:cs="Times New Roman"/>
          <w:caps w:val="0"/>
          <w:smallCaps w:val="0"/>
          <w:color w:val="auto"/>
          <w:sz w:val="24"/>
        </w:rPr>
        <w:t>达到《大气污染物综合排放标准》无组织排放监控颗粒物浓度限值要求</w:t>
      </w:r>
      <w:r>
        <w:rPr>
          <w:rFonts w:hint="default" w:ascii="Times New Roman" w:hAnsi="Times New Roman" w:eastAsia="宋体" w:cs="Times New Roman"/>
          <w:caps w:val="0"/>
          <w:smallCaps w:val="0"/>
          <w:snapToGrid w:val="0"/>
          <w:color w:val="auto"/>
          <w:kern w:val="0"/>
          <w:sz w:val="24"/>
        </w:rPr>
        <w:t>。</w:t>
      </w:r>
    </w:p>
    <w:p w14:paraId="7A62E191">
      <w:pPr>
        <w:adjustRightInd w:val="0"/>
        <w:snapToGrid w:val="0"/>
        <w:spacing w:line="360" w:lineRule="auto"/>
        <w:ind w:firstLine="480" w:firstLineChars="200"/>
        <w:rPr>
          <w:rFonts w:ascii="Times New Roman" w:hAnsi="Times New Roman" w:eastAsia="宋体"/>
          <w:caps w:val="0"/>
          <w:smallCaps w:val="0"/>
          <w:color w:val="auto"/>
          <w:sz w:val="24"/>
        </w:rPr>
      </w:pPr>
      <w:r>
        <w:rPr>
          <w:rFonts w:hint="eastAsia" w:ascii="Times New Roman" w:hAnsi="Times New Roman" w:eastAsia="宋体"/>
          <w:caps w:val="0"/>
          <w:smallCaps w:val="0"/>
          <w:color w:val="auto"/>
          <w:sz w:val="24"/>
          <w:lang w:eastAsia="zh-CN"/>
        </w:rPr>
        <w:t>（</w:t>
      </w:r>
      <w:r>
        <w:rPr>
          <w:rFonts w:hint="eastAsia"/>
          <w:caps w:val="0"/>
          <w:smallCaps w:val="0"/>
          <w:color w:val="auto"/>
          <w:sz w:val="24"/>
          <w:lang w:val="en-US" w:eastAsia="zh-CN"/>
        </w:rPr>
        <w:t>7</w:t>
      </w:r>
      <w:r>
        <w:rPr>
          <w:rFonts w:hint="eastAsia" w:ascii="Times New Roman" w:hAnsi="Times New Roman" w:eastAsia="宋体"/>
          <w:caps w:val="0"/>
          <w:smallCaps w:val="0"/>
          <w:color w:val="auto"/>
          <w:sz w:val="24"/>
          <w:lang w:eastAsia="zh-CN"/>
        </w:rPr>
        <w:t>）</w:t>
      </w:r>
      <w:r>
        <w:rPr>
          <w:rFonts w:ascii="Times New Roman" w:hAnsi="Times New Roman" w:eastAsia="宋体"/>
          <w:caps w:val="0"/>
          <w:smallCaps w:val="0"/>
          <w:color w:val="auto"/>
          <w:sz w:val="24"/>
        </w:rPr>
        <w:t>尾矿库无组织排放</w:t>
      </w:r>
    </w:p>
    <w:p w14:paraId="2CDD46DC">
      <w:pPr>
        <w:adjustRightInd w:val="0"/>
        <w:snapToGrid w:val="0"/>
        <w:spacing w:line="360" w:lineRule="auto"/>
        <w:ind w:firstLine="480" w:firstLineChars="200"/>
        <w:rPr>
          <w:rFonts w:ascii="Times New Roman" w:hAnsi="Times New Roman" w:eastAsia="宋体"/>
          <w:caps w:val="0"/>
          <w:smallCaps w:val="0"/>
          <w:snapToGrid w:val="0"/>
          <w:color w:val="auto"/>
          <w:kern w:val="0"/>
          <w:sz w:val="24"/>
        </w:rPr>
      </w:pPr>
      <w:r>
        <w:rPr>
          <w:rFonts w:ascii="Times New Roman" w:hAnsi="Times New Roman" w:eastAsia="宋体"/>
          <w:caps w:val="0"/>
          <w:smallCaps w:val="0"/>
          <w:snapToGrid w:val="0"/>
          <w:color w:val="auto"/>
          <w:kern w:val="0"/>
          <w:sz w:val="24"/>
        </w:rPr>
        <w:t>尾矿库无组织排放主要是在大风干燥天气尾矿库</w:t>
      </w:r>
      <w:r>
        <w:rPr>
          <w:rFonts w:hint="eastAsia"/>
          <w:caps w:val="0"/>
          <w:smallCaps w:val="0"/>
          <w:snapToGrid w:val="0"/>
          <w:color w:val="auto"/>
          <w:kern w:val="0"/>
          <w:sz w:val="24"/>
          <w:lang w:val="en-US" w:eastAsia="zh-CN"/>
        </w:rPr>
        <w:t>浸出渣</w:t>
      </w:r>
      <w:r>
        <w:rPr>
          <w:rFonts w:ascii="Times New Roman" w:hAnsi="Times New Roman" w:eastAsia="宋体"/>
          <w:caps w:val="0"/>
          <w:smallCaps w:val="0"/>
          <w:snapToGrid w:val="0"/>
          <w:color w:val="auto"/>
          <w:kern w:val="0"/>
          <w:sz w:val="24"/>
        </w:rPr>
        <w:t>表面会产生风蚀扬尘。</w:t>
      </w:r>
    </w:p>
    <w:p w14:paraId="4D6CB165">
      <w:pPr>
        <w:adjustRightInd w:val="0"/>
        <w:snapToGrid w:val="0"/>
        <w:spacing w:line="360" w:lineRule="auto"/>
        <w:ind w:firstLine="480" w:firstLineChars="200"/>
        <w:rPr>
          <w:rFonts w:ascii="Times New Roman" w:hAnsi="Times New Roman" w:eastAsia="宋体"/>
          <w:caps w:val="0"/>
          <w:smallCaps w:val="0"/>
          <w:color w:val="auto"/>
          <w:sz w:val="24"/>
        </w:rPr>
      </w:pPr>
      <w:r>
        <w:rPr>
          <w:rFonts w:ascii="Times New Roman" w:hAnsi="Times New Roman" w:eastAsia="宋体"/>
          <w:caps w:val="0"/>
          <w:smallCaps w:val="0"/>
          <w:snapToGrid w:val="0"/>
          <w:color w:val="auto"/>
          <w:kern w:val="0"/>
          <w:sz w:val="24"/>
        </w:rPr>
        <w:t>扬尘控制措施主要是建设均匀洒水喷淋设施，定期喷淋，保持尾砂表面湿度；尾矿堆积坝体边坡形成后及时覆盖表土，撒播草籽、种植灌木，进行绿化；尾矿库服务期满对库面复垦绿化。</w:t>
      </w:r>
      <w:r>
        <w:rPr>
          <w:rFonts w:ascii="Times New Roman" w:hAnsi="Times New Roman" w:eastAsia="宋体"/>
          <w:caps w:val="0"/>
          <w:smallCaps w:val="0"/>
          <w:color w:val="auto"/>
          <w:sz w:val="24"/>
          <w:szCs w:val="20"/>
        </w:rPr>
        <w:t>在采取上述措施后，尾矿库扬尘量较小。尾矿库厂界粉尘浓度达到《大气污染物综合排放标准》无组织排放监控颗粒物浓度限值要求</w:t>
      </w:r>
      <w:r>
        <w:rPr>
          <w:rFonts w:ascii="Times New Roman" w:hAnsi="Times New Roman" w:eastAsia="宋体"/>
          <w:caps w:val="0"/>
          <w:smallCaps w:val="0"/>
          <w:color w:val="auto"/>
          <w:sz w:val="24"/>
        </w:rPr>
        <w:t>。</w:t>
      </w:r>
    </w:p>
    <w:p w14:paraId="23F96158">
      <w:pPr>
        <w:adjustRightInd w:val="0"/>
        <w:snapToGrid w:val="0"/>
        <w:spacing w:line="360" w:lineRule="auto"/>
        <w:ind w:firstLine="480" w:firstLineChars="2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rPr>
        <w:t>对于干燥的</w:t>
      </w:r>
      <w:r>
        <w:rPr>
          <w:rFonts w:hint="eastAsia"/>
          <w:caps w:val="0"/>
          <w:smallCaps w:val="0"/>
          <w:color w:val="auto"/>
          <w:sz w:val="24"/>
          <w:lang w:eastAsia="zh-CN"/>
        </w:rPr>
        <w:t>浸出渣</w:t>
      </w:r>
      <w:r>
        <w:rPr>
          <w:rFonts w:ascii="Times New Roman" w:hAnsi="Times New Roman" w:eastAsia="宋体"/>
          <w:caps w:val="0"/>
          <w:smallCaps w:val="0"/>
          <w:color w:val="auto"/>
          <w:sz w:val="24"/>
        </w:rPr>
        <w:t>而言，只有达到一定风速</w:t>
      </w:r>
      <w:r>
        <w:rPr>
          <w:rFonts w:hint="eastAsia"/>
          <w:caps w:val="0"/>
          <w:smallCaps w:val="0"/>
          <w:color w:val="auto"/>
          <w:sz w:val="24"/>
          <w:lang w:eastAsia="zh-CN"/>
        </w:rPr>
        <w:t>浸出渣</w:t>
      </w:r>
      <w:r>
        <w:rPr>
          <w:rFonts w:ascii="Times New Roman" w:hAnsi="Times New Roman" w:eastAsia="宋体"/>
          <w:caps w:val="0"/>
          <w:smallCaps w:val="0"/>
          <w:color w:val="auto"/>
          <w:sz w:val="24"/>
        </w:rPr>
        <w:t>表面才会起尘，它主要同颗粒直径及物料含水率有关。相关研究表明，</w:t>
      </w:r>
      <w:r>
        <w:rPr>
          <w:rFonts w:hint="eastAsia"/>
          <w:caps w:val="0"/>
          <w:smallCaps w:val="0"/>
          <w:color w:val="auto"/>
          <w:sz w:val="24"/>
          <w:lang w:val="en-US" w:eastAsia="zh-CN"/>
        </w:rPr>
        <w:t>铜矿</w:t>
      </w:r>
      <w:r>
        <w:rPr>
          <w:rFonts w:ascii="Times New Roman" w:hAnsi="Times New Roman" w:eastAsia="宋体"/>
          <w:caps w:val="0"/>
          <w:smallCaps w:val="0"/>
          <w:color w:val="auto"/>
          <w:sz w:val="24"/>
        </w:rPr>
        <w:t>尾矿库的起动风速为6.2m/s。该区域年平均风速</w:t>
      </w:r>
      <w:r>
        <w:rPr>
          <w:rFonts w:ascii="Times New Roman" w:hAnsi="Times New Roman" w:eastAsia="宋体"/>
          <w:caps w:val="0"/>
          <w:smallCaps w:val="0"/>
          <w:color w:val="auto"/>
          <w:sz w:val="24"/>
          <w:szCs w:val="20"/>
        </w:rPr>
        <w:t>远远低于起尘风速，因此正常情况下尾矿库的起尘量很小。</w:t>
      </w:r>
    </w:p>
    <w:p w14:paraId="778D049D">
      <w:pPr>
        <w:adjustRightInd w:val="0"/>
        <w:snapToGrid w:val="0"/>
        <w:spacing w:line="360" w:lineRule="auto"/>
        <w:ind w:firstLine="480" w:firstLineChars="200"/>
        <w:rPr>
          <w:rFonts w:ascii="Times New Roman" w:hAnsi="Times New Roman" w:eastAsia="宋体"/>
          <w:caps w:val="0"/>
          <w:smallCaps w:val="0"/>
          <w:color w:val="auto"/>
          <w:sz w:val="24"/>
          <w:szCs w:val="20"/>
        </w:rPr>
      </w:pPr>
      <w:r>
        <w:rPr>
          <w:rFonts w:hint="eastAsia" w:ascii="Times New Roman" w:hAnsi="Times New Roman" w:eastAsia="宋体"/>
          <w:caps w:val="0"/>
          <w:smallCaps w:val="0"/>
          <w:snapToGrid w:val="0"/>
          <w:color w:val="auto"/>
          <w:kern w:val="0"/>
          <w:sz w:val="24"/>
          <w:highlight w:val="none"/>
        </w:rPr>
        <w:t>根据《污染源源强核算技术指南准则》（HJ884-2018）</w:t>
      </w:r>
      <w:r>
        <w:rPr>
          <w:rFonts w:hint="eastAsia" w:ascii="Times New Roman" w:hAnsi="Times New Roman" w:eastAsia="宋体"/>
          <w:caps w:val="0"/>
          <w:smallCaps w:val="0"/>
          <w:snapToGrid w:val="0"/>
          <w:color w:val="auto"/>
          <w:kern w:val="0"/>
          <w:sz w:val="24"/>
          <w:highlight w:val="none"/>
          <w:lang w:eastAsia="zh-CN"/>
        </w:rPr>
        <w:t>，扬尘产生量采用公式计算法。</w:t>
      </w:r>
      <w:r>
        <w:rPr>
          <w:rFonts w:ascii="Times New Roman" w:hAnsi="Times New Roman" w:eastAsia="宋体"/>
          <w:caps w:val="0"/>
          <w:smallCaps w:val="0"/>
          <w:color w:val="auto"/>
          <w:sz w:val="24"/>
          <w:szCs w:val="20"/>
        </w:rPr>
        <w:t>本次</w:t>
      </w:r>
      <w:r>
        <w:rPr>
          <w:rFonts w:hint="eastAsia"/>
          <w:caps w:val="0"/>
          <w:smallCaps w:val="0"/>
          <w:color w:val="auto"/>
          <w:sz w:val="24"/>
          <w:szCs w:val="20"/>
          <w:lang w:eastAsia="zh-CN"/>
        </w:rPr>
        <w:t>浸出渣</w:t>
      </w:r>
      <w:r>
        <w:rPr>
          <w:rFonts w:ascii="Times New Roman" w:hAnsi="Times New Roman" w:eastAsia="宋体"/>
          <w:caps w:val="0"/>
          <w:smallCaps w:val="0"/>
          <w:color w:val="auto"/>
          <w:sz w:val="24"/>
          <w:szCs w:val="20"/>
        </w:rPr>
        <w:t>表面起尘量采用清华大学在霍州电厂现场试验的模式进行计算，估算模式以煤的堆放（煤的堆放粒径小于2cm且密度一般为1.4~1.5t/m</w:t>
      </w:r>
      <w:r>
        <w:rPr>
          <w:rFonts w:ascii="Times New Roman" w:hAnsi="Times New Roman" w:eastAsia="宋体"/>
          <w:caps w:val="0"/>
          <w:smallCaps w:val="0"/>
          <w:color w:val="auto"/>
          <w:sz w:val="24"/>
          <w:szCs w:val="20"/>
          <w:vertAlign w:val="superscript"/>
        </w:rPr>
        <w:t>3</w:t>
      </w:r>
      <w:r>
        <w:rPr>
          <w:rFonts w:ascii="Times New Roman" w:hAnsi="Times New Roman" w:eastAsia="宋体"/>
          <w:caps w:val="0"/>
          <w:smallCaps w:val="0"/>
          <w:color w:val="auto"/>
          <w:sz w:val="24"/>
          <w:szCs w:val="20"/>
        </w:rPr>
        <w:t>）为基础总结出来的经验公式。计算公式如下：</w:t>
      </w:r>
    </w:p>
    <w:p w14:paraId="7189C79E">
      <w:pPr>
        <w:spacing w:line="360" w:lineRule="auto"/>
        <w:ind w:firstLine="480" w:firstLineChars="200"/>
        <w:rPr>
          <w:rFonts w:ascii="Times New Roman" w:hAnsi="Times New Roman" w:eastAsia="宋体"/>
          <w:caps w:val="0"/>
          <w:smallCaps w:val="0"/>
          <w:snapToGrid w:val="0"/>
          <w:color w:val="auto"/>
          <w:kern w:val="0"/>
          <w:sz w:val="24"/>
          <w:vertAlign w:val="superscript"/>
        </w:rPr>
      </w:pPr>
      <w:r>
        <w:rPr>
          <w:rFonts w:ascii="Times New Roman" w:hAnsi="Times New Roman" w:eastAsia="宋体"/>
          <w:caps w:val="0"/>
          <w:smallCaps w:val="0"/>
          <w:snapToGrid w:val="0"/>
          <w:color w:val="auto"/>
          <w:kern w:val="0"/>
          <w:sz w:val="24"/>
        </w:rPr>
        <w:t>Q=11.7U</w:t>
      </w:r>
      <w:r>
        <w:rPr>
          <w:rFonts w:ascii="Times New Roman" w:hAnsi="Times New Roman" w:eastAsia="宋体"/>
          <w:caps w:val="0"/>
          <w:smallCaps w:val="0"/>
          <w:snapToGrid w:val="0"/>
          <w:color w:val="auto"/>
          <w:kern w:val="0"/>
          <w:sz w:val="24"/>
          <w:vertAlign w:val="superscript"/>
        </w:rPr>
        <w:t>2.45</w:t>
      </w:r>
      <w:r>
        <w:rPr>
          <w:rFonts w:ascii="Times New Roman" w:hAnsi="Times New Roman" w:eastAsia="宋体"/>
          <w:caps w:val="0"/>
          <w:smallCaps w:val="0"/>
          <w:snapToGrid w:val="0"/>
          <w:color w:val="auto"/>
          <w:kern w:val="0"/>
          <w:sz w:val="24"/>
        </w:rPr>
        <w:t>·S</w:t>
      </w:r>
      <w:r>
        <w:rPr>
          <w:rFonts w:ascii="Times New Roman" w:hAnsi="Times New Roman" w:eastAsia="宋体"/>
          <w:caps w:val="0"/>
          <w:smallCaps w:val="0"/>
          <w:snapToGrid w:val="0"/>
          <w:color w:val="auto"/>
          <w:kern w:val="0"/>
          <w:sz w:val="24"/>
          <w:vertAlign w:val="superscript"/>
        </w:rPr>
        <w:t>0.345</w:t>
      </w:r>
      <w:r>
        <w:rPr>
          <w:rFonts w:ascii="Times New Roman" w:hAnsi="Times New Roman" w:eastAsia="宋体"/>
          <w:caps w:val="0"/>
          <w:smallCaps w:val="0"/>
          <w:snapToGrid w:val="0"/>
          <w:color w:val="auto"/>
          <w:kern w:val="0"/>
          <w:sz w:val="24"/>
        </w:rPr>
        <w:t>·e</w:t>
      </w:r>
      <w:r>
        <w:rPr>
          <w:rFonts w:ascii="Times New Roman" w:hAnsi="Times New Roman" w:eastAsia="宋体"/>
          <w:caps w:val="0"/>
          <w:smallCaps w:val="0"/>
          <w:snapToGrid w:val="0"/>
          <w:color w:val="auto"/>
          <w:kern w:val="0"/>
          <w:sz w:val="24"/>
          <w:vertAlign w:val="superscript"/>
        </w:rPr>
        <w:t>-0.5ω</w:t>
      </w:r>
      <w:r>
        <w:rPr>
          <w:rFonts w:ascii="Times New Roman" w:hAnsi="Times New Roman" w:eastAsia="宋体"/>
          <w:caps w:val="0"/>
          <w:smallCaps w:val="0"/>
          <w:snapToGrid w:val="0"/>
          <w:color w:val="auto"/>
          <w:kern w:val="0"/>
          <w:sz w:val="24"/>
        </w:rPr>
        <w:t>·e</w:t>
      </w:r>
      <w:r>
        <w:rPr>
          <w:rFonts w:ascii="Times New Roman" w:hAnsi="Times New Roman" w:eastAsia="宋体"/>
          <w:caps w:val="0"/>
          <w:smallCaps w:val="0"/>
          <w:snapToGrid w:val="0"/>
          <w:color w:val="auto"/>
          <w:kern w:val="0"/>
          <w:sz w:val="24"/>
          <w:vertAlign w:val="superscript"/>
        </w:rPr>
        <w:t>-0.55</w:t>
      </w:r>
      <w:r>
        <w:rPr>
          <w:rFonts w:hint="eastAsia"/>
          <w:caps w:val="0"/>
          <w:smallCaps w:val="0"/>
          <w:snapToGrid w:val="0"/>
          <w:color w:val="auto"/>
          <w:kern w:val="0"/>
          <w:sz w:val="24"/>
          <w:vertAlign w:val="superscript"/>
          <w:lang w:eastAsia="zh-CN"/>
        </w:rPr>
        <w:t>(</w:t>
      </w:r>
      <w:r>
        <w:rPr>
          <w:rFonts w:ascii="Times New Roman" w:hAnsi="Times New Roman" w:eastAsia="宋体"/>
          <w:caps w:val="0"/>
          <w:smallCaps w:val="0"/>
          <w:snapToGrid w:val="0"/>
          <w:color w:val="auto"/>
          <w:kern w:val="0"/>
          <w:sz w:val="24"/>
          <w:vertAlign w:val="superscript"/>
        </w:rPr>
        <w:t>W-0.07</w:t>
      </w:r>
      <w:r>
        <w:rPr>
          <w:rFonts w:hint="eastAsia" w:ascii="Times New Roman" w:hAnsi="Times New Roman" w:eastAsia="宋体"/>
          <w:caps w:val="0"/>
          <w:smallCaps w:val="0"/>
          <w:snapToGrid w:val="0"/>
          <w:color w:val="auto"/>
          <w:kern w:val="0"/>
          <w:sz w:val="24"/>
          <w:vertAlign w:val="superscript"/>
        </w:rPr>
        <w:t>)</w:t>
      </w:r>
    </w:p>
    <w:p w14:paraId="1E6AABE2">
      <w:pPr>
        <w:spacing w:line="360" w:lineRule="auto"/>
        <w:ind w:firstLine="480" w:firstLineChars="2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式中：Q-堆场起尘量，mg/s；</w:t>
      </w:r>
    </w:p>
    <w:p w14:paraId="3AACF0E9">
      <w:pPr>
        <w:spacing w:line="360" w:lineRule="auto"/>
        <w:ind w:firstLine="1200" w:firstLineChars="5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U-地面平均风速，m/s，风速为1.</w:t>
      </w:r>
      <w:r>
        <w:rPr>
          <w:rFonts w:hint="eastAsia" w:ascii="Times New Roman" w:hAnsi="Times New Roman" w:eastAsia="宋体"/>
          <w:caps w:val="0"/>
          <w:smallCaps w:val="0"/>
          <w:color w:val="auto"/>
          <w:sz w:val="24"/>
          <w:szCs w:val="20"/>
          <w:lang w:val="en-US" w:eastAsia="zh-CN"/>
        </w:rPr>
        <w:t>7</w:t>
      </w:r>
      <w:r>
        <w:rPr>
          <w:rFonts w:ascii="Times New Roman" w:hAnsi="Times New Roman" w:eastAsia="宋体"/>
          <w:caps w:val="0"/>
          <w:smallCaps w:val="0"/>
          <w:color w:val="auto"/>
          <w:sz w:val="24"/>
          <w:szCs w:val="20"/>
        </w:rPr>
        <w:t>m/s；</w:t>
      </w:r>
    </w:p>
    <w:p w14:paraId="124BCF37">
      <w:pPr>
        <w:spacing w:line="360" w:lineRule="auto"/>
        <w:ind w:firstLine="1200" w:firstLineChars="5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S-堆场面积；尾矿库面积</w:t>
      </w:r>
      <w:r>
        <w:rPr>
          <w:rFonts w:hint="eastAsia"/>
          <w:caps w:val="0"/>
          <w:smallCaps w:val="0"/>
          <w:color w:val="auto"/>
          <w:sz w:val="24"/>
          <w:szCs w:val="20"/>
          <w:lang w:val="en-US" w:eastAsia="zh-CN"/>
        </w:rPr>
        <w:t>11.71</w:t>
      </w:r>
      <w:r>
        <w:rPr>
          <w:rFonts w:ascii="Times New Roman" w:hAnsi="Times New Roman" w:eastAsia="宋体"/>
          <w:caps w:val="0"/>
          <w:smallCaps w:val="0"/>
          <w:color w:val="auto"/>
          <w:sz w:val="24"/>
          <w:szCs w:val="20"/>
        </w:rPr>
        <w:t>×10</w:t>
      </w:r>
      <w:r>
        <w:rPr>
          <w:rFonts w:ascii="Times New Roman" w:hAnsi="Times New Roman" w:eastAsia="宋体"/>
          <w:caps w:val="0"/>
          <w:smallCaps w:val="0"/>
          <w:color w:val="auto"/>
          <w:sz w:val="24"/>
          <w:szCs w:val="20"/>
          <w:vertAlign w:val="superscript"/>
        </w:rPr>
        <w:t>5</w:t>
      </w:r>
      <w:r>
        <w:rPr>
          <w:rFonts w:ascii="Times New Roman" w:hAnsi="Times New Roman" w:eastAsia="宋体"/>
          <w:caps w:val="0"/>
          <w:smallCaps w:val="0"/>
          <w:color w:val="auto"/>
          <w:sz w:val="24"/>
          <w:szCs w:val="20"/>
        </w:rPr>
        <w:t>m</w:t>
      </w:r>
      <w:r>
        <w:rPr>
          <w:rFonts w:ascii="Times New Roman" w:hAnsi="Times New Roman" w:eastAsia="宋体"/>
          <w:caps w:val="0"/>
          <w:smallCaps w:val="0"/>
          <w:color w:val="auto"/>
          <w:sz w:val="24"/>
          <w:szCs w:val="20"/>
          <w:vertAlign w:val="superscript"/>
        </w:rPr>
        <w:t>2</w:t>
      </w:r>
      <w:r>
        <w:rPr>
          <w:rFonts w:ascii="Times New Roman" w:hAnsi="Times New Roman" w:eastAsia="宋体"/>
          <w:caps w:val="0"/>
          <w:smallCaps w:val="0"/>
          <w:color w:val="auto"/>
          <w:sz w:val="24"/>
          <w:szCs w:val="20"/>
        </w:rPr>
        <w:t>；</w:t>
      </w:r>
    </w:p>
    <w:p w14:paraId="53BBDBCF">
      <w:pPr>
        <w:spacing w:line="360" w:lineRule="auto"/>
        <w:ind w:firstLine="1200" w:firstLineChars="5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ω-空气相对湿度，67%；</w:t>
      </w:r>
    </w:p>
    <w:p w14:paraId="2B29393D">
      <w:pPr>
        <w:spacing w:line="360" w:lineRule="auto"/>
        <w:ind w:firstLine="1200" w:firstLineChars="5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W-物料湿度，表层尾矿含水率取</w:t>
      </w:r>
      <w:r>
        <w:rPr>
          <w:rFonts w:hint="eastAsia"/>
          <w:caps w:val="0"/>
          <w:smallCaps w:val="0"/>
          <w:color w:val="auto"/>
          <w:sz w:val="24"/>
          <w:szCs w:val="20"/>
          <w:lang w:val="en-US" w:eastAsia="zh-CN"/>
        </w:rPr>
        <w:t>10</w:t>
      </w:r>
      <w:r>
        <w:rPr>
          <w:rFonts w:ascii="Times New Roman" w:hAnsi="Times New Roman" w:eastAsia="宋体"/>
          <w:caps w:val="0"/>
          <w:smallCaps w:val="0"/>
          <w:color w:val="auto"/>
          <w:sz w:val="24"/>
          <w:szCs w:val="20"/>
        </w:rPr>
        <w:t>%。</w:t>
      </w:r>
    </w:p>
    <w:p w14:paraId="6085E169">
      <w:pPr>
        <w:spacing w:line="360" w:lineRule="auto"/>
        <w:ind w:firstLine="480" w:firstLineChars="200"/>
        <w:rPr>
          <w:rFonts w:ascii="Times New Roman" w:hAnsi="Times New Roman" w:eastAsia="宋体"/>
          <w:caps w:val="0"/>
          <w:smallCaps w:val="0"/>
          <w:color w:val="auto"/>
          <w:sz w:val="24"/>
          <w:szCs w:val="22"/>
        </w:rPr>
      </w:pPr>
      <w:r>
        <w:rPr>
          <w:rFonts w:ascii="Times New Roman" w:hAnsi="Times New Roman" w:eastAsia="宋体"/>
          <w:caps w:val="0"/>
          <w:smallCaps w:val="0"/>
          <w:color w:val="auto"/>
          <w:sz w:val="24"/>
          <w:szCs w:val="22"/>
        </w:rPr>
        <w:t>本次尾砂粒径小于2cm，尾矿干矿密度：1.35t/m</w:t>
      </w:r>
      <w:r>
        <w:rPr>
          <w:rFonts w:ascii="Times New Roman" w:hAnsi="Times New Roman" w:eastAsia="宋体"/>
          <w:caps w:val="0"/>
          <w:smallCaps w:val="0"/>
          <w:color w:val="auto"/>
          <w:sz w:val="24"/>
          <w:szCs w:val="22"/>
          <w:vertAlign w:val="superscript"/>
        </w:rPr>
        <w:t>3</w:t>
      </w:r>
      <w:r>
        <w:rPr>
          <w:rFonts w:ascii="Times New Roman" w:hAnsi="Times New Roman" w:eastAsia="宋体"/>
          <w:caps w:val="0"/>
          <w:smallCaps w:val="0"/>
          <w:color w:val="auto"/>
          <w:sz w:val="24"/>
          <w:szCs w:val="22"/>
        </w:rPr>
        <w:t>，与煤的密度相差不大，因此可以用该公式进行计算。</w:t>
      </w:r>
    </w:p>
    <w:p w14:paraId="743DDF1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aps w:val="0"/>
          <w:smallCaps w:val="0"/>
          <w:color w:val="auto"/>
          <w:sz w:val="24"/>
          <w:lang w:eastAsia="zh-CN"/>
        </w:rPr>
      </w:pPr>
      <w:r>
        <w:rPr>
          <w:rFonts w:ascii="Times New Roman" w:hAnsi="Times New Roman" w:eastAsia="宋体"/>
          <w:caps w:val="0"/>
          <w:smallCaps w:val="0"/>
          <w:color w:val="auto"/>
          <w:sz w:val="24"/>
          <w:szCs w:val="20"/>
        </w:rPr>
        <w:t>经计算，</w:t>
      </w:r>
      <w:r>
        <w:rPr>
          <w:rFonts w:hint="eastAsia"/>
          <w:caps w:val="0"/>
          <w:smallCaps w:val="0"/>
          <w:color w:val="auto"/>
          <w:sz w:val="24"/>
          <w:szCs w:val="20"/>
          <w:lang w:eastAsia="zh-CN"/>
        </w:rPr>
        <w:t>浸出渣</w:t>
      </w:r>
      <w:r>
        <w:rPr>
          <w:rFonts w:ascii="Times New Roman" w:hAnsi="Times New Roman" w:eastAsia="宋体"/>
          <w:caps w:val="0"/>
          <w:smallCaps w:val="0"/>
          <w:color w:val="auto"/>
          <w:sz w:val="24"/>
          <w:szCs w:val="20"/>
        </w:rPr>
        <w:t>表面扬尘产生量为</w:t>
      </w:r>
      <w:r>
        <w:rPr>
          <w:rFonts w:hint="eastAsia"/>
          <w:caps w:val="0"/>
          <w:smallCaps w:val="0"/>
          <w:color w:val="auto"/>
          <w:sz w:val="24"/>
          <w:szCs w:val="20"/>
          <w:lang w:val="en-US" w:eastAsia="zh-CN"/>
        </w:rPr>
        <w:t>8.53k</w:t>
      </w:r>
      <w:r>
        <w:rPr>
          <w:rFonts w:ascii="Times New Roman" w:hAnsi="Times New Roman" w:eastAsia="宋体"/>
          <w:caps w:val="0"/>
          <w:smallCaps w:val="0"/>
          <w:color w:val="auto"/>
          <w:sz w:val="24"/>
          <w:szCs w:val="20"/>
        </w:rPr>
        <w:t>g/</w:t>
      </w:r>
      <w:r>
        <w:rPr>
          <w:rFonts w:hint="eastAsia" w:ascii="Times New Roman" w:hAnsi="Times New Roman" w:eastAsia="宋体"/>
          <w:caps w:val="0"/>
          <w:smallCaps w:val="0"/>
          <w:color w:val="auto"/>
          <w:sz w:val="24"/>
          <w:szCs w:val="20"/>
          <w:lang w:val="en-US" w:eastAsia="zh-CN"/>
        </w:rPr>
        <w:t>h</w:t>
      </w:r>
      <w:r>
        <w:rPr>
          <w:rFonts w:ascii="Times New Roman" w:hAnsi="Times New Roman" w:eastAsia="宋体"/>
          <w:caps w:val="0"/>
          <w:smallCaps w:val="0"/>
          <w:color w:val="auto"/>
          <w:sz w:val="24"/>
          <w:szCs w:val="20"/>
        </w:rPr>
        <w:t>（</w:t>
      </w:r>
      <w:r>
        <w:rPr>
          <w:rFonts w:hint="eastAsia"/>
          <w:caps w:val="0"/>
          <w:smallCaps w:val="0"/>
          <w:color w:val="auto"/>
          <w:sz w:val="24"/>
          <w:szCs w:val="20"/>
          <w:lang w:val="en-US" w:eastAsia="zh-CN"/>
        </w:rPr>
        <w:t>51.18</w:t>
      </w:r>
      <w:r>
        <w:rPr>
          <w:rFonts w:ascii="Times New Roman" w:hAnsi="Times New Roman" w:eastAsia="宋体"/>
          <w:caps w:val="0"/>
          <w:smallCaps w:val="0"/>
          <w:color w:val="auto"/>
          <w:sz w:val="24"/>
          <w:szCs w:val="20"/>
        </w:rPr>
        <w:t>t/a），采取喷淋措施后，</w:t>
      </w:r>
      <w:r>
        <w:rPr>
          <w:rFonts w:hint="eastAsia" w:ascii="Times New Roman" w:hAnsi="Times New Roman" w:eastAsia="宋体"/>
          <w:caps w:val="0"/>
          <w:smallCaps w:val="0"/>
          <w:color w:val="auto"/>
          <w:sz w:val="24"/>
          <w:szCs w:val="20"/>
        </w:rPr>
        <w:t>降尘率可达</w:t>
      </w:r>
      <w:r>
        <w:rPr>
          <w:rFonts w:hint="eastAsia" w:ascii="Times New Roman" w:hAnsi="Times New Roman" w:eastAsia="宋体"/>
          <w:caps w:val="0"/>
          <w:smallCaps w:val="0"/>
          <w:color w:val="auto"/>
          <w:sz w:val="24"/>
          <w:szCs w:val="20"/>
          <w:lang w:val="en-US" w:eastAsia="zh-CN"/>
        </w:rPr>
        <w:t>74</w:t>
      </w:r>
      <w:r>
        <w:rPr>
          <w:rFonts w:hint="eastAsia" w:ascii="Times New Roman" w:hAnsi="Times New Roman" w:eastAsia="宋体"/>
          <w:caps w:val="0"/>
          <w:smallCaps w:val="0"/>
          <w:color w:val="auto"/>
          <w:sz w:val="24"/>
          <w:szCs w:val="20"/>
        </w:rPr>
        <w:t>%，则尾矿库扬尘排放量</w:t>
      </w:r>
      <w:r>
        <w:rPr>
          <w:rFonts w:hint="eastAsia" w:ascii="Times New Roman" w:hAnsi="Times New Roman" w:eastAsia="宋体"/>
          <w:caps w:val="0"/>
          <w:smallCaps w:val="0"/>
          <w:color w:val="auto"/>
          <w:sz w:val="24"/>
          <w:szCs w:val="20"/>
          <w:lang w:eastAsia="zh-CN"/>
        </w:rPr>
        <w:t>为</w:t>
      </w:r>
      <w:r>
        <w:rPr>
          <w:rFonts w:hint="eastAsia"/>
          <w:caps w:val="0"/>
          <w:smallCaps w:val="0"/>
          <w:color w:val="auto"/>
          <w:sz w:val="24"/>
          <w:szCs w:val="20"/>
          <w:lang w:val="en-US" w:eastAsia="zh-CN"/>
        </w:rPr>
        <w:t>2.22k</w:t>
      </w:r>
      <w:r>
        <w:rPr>
          <w:rFonts w:ascii="Times New Roman" w:hAnsi="Times New Roman" w:eastAsia="宋体"/>
          <w:caps w:val="0"/>
          <w:smallCaps w:val="0"/>
          <w:color w:val="auto"/>
          <w:sz w:val="24"/>
          <w:szCs w:val="20"/>
        </w:rPr>
        <w:t>g/</w:t>
      </w:r>
      <w:r>
        <w:rPr>
          <w:rFonts w:hint="eastAsia" w:ascii="Times New Roman" w:hAnsi="Times New Roman" w:eastAsia="宋体"/>
          <w:caps w:val="0"/>
          <w:smallCaps w:val="0"/>
          <w:color w:val="auto"/>
          <w:sz w:val="24"/>
          <w:szCs w:val="20"/>
          <w:lang w:val="en-US" w:eastAsia="zh-CN"/>
        </w:rPr>
        <w:t>h</w:t>
      </w:r>
      <w:r>
        <w:rPr>
          <w:rFonts w:ascii="Times New Roman" w:hAnsi="Times New Roman" w:eastAsia="宋体"/>
          <w:caps w:val="0"/>
          <w:smallCaps w:val="0"/>
          <w:color w:val="auto"/>
          <w:sz w:val="24"/>
          <w:szCs w:val="20"/>
        </w:rPr>
        <w:t>（</w:t>
      </w:r>
      <w:r>
        <w:rPr>
          <w:rFonts w:hint="eastAsia"/>
          <w:caps w:val="0"/>
          <w:smallCaps w:val="0"/>
          <w:color w:val="auto"/>
          <w:sz w:val="24"/>
          <w:szCs w:val="20"/>
          <w:lang w:val="en-US" w:eastAsia="zh-CN"/>
        </w:rPr>
        <w:t>13.32</w:t>
      </w:r>
      <w:r>
        <w:rPr>
          <w:rFonts w:ascii="Times New Roman" w:hAnsi="Times New Roman" w:eastAsia="宋体"/>
          <w:caps w:val="0"/>
          <w:smallCaps w:val="0"/>
          <w:color w:val="auto"/>
          <w:sz w:val="24"/>
          <w:szCs w:val="20"/>
        </w:rPr>
        <w:t>t/a）。</w:t>
      </w:r>
    </w:p>
    <w:p w14:paraId="27FDE96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rPr>
      </w:pPr>
      <w:r>
        <w:rPr>
          <w:rFonts w:hint="eastAsia" w:ascii="Times New Roman" w:hAnsi="Times New Roman" w:eastAsia="宋体" w:cs="Times New Roman"/>
          <w:caps w:val="0"/>
          <w:smallCaps w:val="0"/>
          <w:color w:val="auto"/>
          <w:sz w:val="24"/>
          <w:lang w:eastAsia="zh-CN"/>
        </w:rPr>
        <w:t>（</w:t>
      </w:r>
      <w:r>
        <w:rPr>
          <w:rFonts w:hint="eastAsia" w:cs="Times New Roman"/>
          <w:caps w:val="0"/>
          <w:smallCaps w:val="0"/>
          <w:color w:val="auto"/>
          <w:sz w:val="24"/>
          <w:lang w:val="en-US" w:eastAsia="zh-CN"/>
        </w:rPr>
        <w:t>8</w:t>
      </w:r>
      <w:r>
        <w:rPr>
          <w:rFonts w:hint="eastAsia" w:ascii="Times New Roman" w:hAnsi="Times New Roman" w:eastAsia="宋体" w:cs="Times New Roman"/>
          <w:caps w:val="0"/>
          <w:smallCaps w:val="0"/>
          <w:color w:val="auto"/>
          <w:sz w:val="24"/>
          <w:lang w:eastAsia="zh-CN"/>
        </w:rPr>
        <w:t>）其他</w:t>
      </w:r>
      <w:r>
        <w:rPr>
          <w:rFonts w:hint="default" w:ascii="Times New Roman" w:hAnsi="Times New Roman" w:eastAsia="宋体" w:cs="Times New Roman"/>
          <w:caps w:val="0"/>
          <w:smallCaps w:val="0"/>
          <w:color w:val="auto"/>
          <w:sz w:val="24"/>
        </w:rPr>
        <w:t>无组织排放</w:t>
      </w:r>
    </w:p>
    <w:p w14:paraId="0625323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snapToGrid w:val="0"/>
          <w:color w:val="auto"/>
          <w:kern w:val="0"/>
          <w:sz w:val="24"/>
        </w:rPr>
      </w:pPr>
      <w:r>
        <w:rPr>
          <w:rFonts w:hint="eastAsia" w:ascii="Times New Roman" w:hAnsi="Times New Roman" w:eastAsia="宋体" w:cs="Times New Roman"/>
          <w:bCs/>
          <w:caps w:val="0"/>
          <w:smallCaps w:val="0"/>
          <w:color w:val="auto"/>
          <w:kern w:val="0"/>
          <w:sz w:val="24"/>
          <w:lang w:eastAsia="zh-CN"/>
        </w:rPr>
        <w:t>其他</w:t>
      </w:r>
      <w:r>
        <w:rPr>
          <w:rFonts w:hint="default" w:ascii="Times New Roman" w:hAnsi="Times New Roman" w:eastAsia="宋体" w:cs="Times New Roman"/>
          <w:bCs/>
          <w:caps w:val="0"/>
          <w:smallCaps w:val="0"/>
          <w:color w:val="auto"/>
          <w:kern w:val="0"/>
          <w:sz w:val="24"/>
        </w:rPr>
        <w:t>无组织排放扬尘包括</w:t>
      </w:r>
      <w:r>
        <w:rPr>
          <w:rFonts w:hint="eastAsia" w:ascii="Times New Roman" w:hAnsi="Times New Roman" w:eastAsia="宋体" w:cs="Times New Roman"/>
          <w:bCs/>
          <w:caps w:val="0"/>
          <w:smallCaps w:val="0"/>
          <w:color w:val="auto"/>
          <w:kern w:val="0"/>
          <w:sz w:val="24"/>
          <w:lang w:eastAsia="zh-CN"/>
        </w:rPr>
        <w:t>其他</w:t>
      </w:r>
      <w:r>
        <w:rPr>
          <w:rFonts w:hint="default" w:ascii="Times New Roman" w:hAnsi="Times New Roman" w:eastAsia="宋体" w:cs="Times New Roman"/>
          <w:caps w:val="0"/>
          <w:smallCaps w:val="0"/>
          <w:snapToGrid w:val="0"/>
          <w:color w:val="auto"/>
          <w:kern w:val="0"/>
          <w:sz w:val="24"/>
        </w:rPr>
        <w:t>松散物料装卸、露天临时堆放物料产生的扬尘，</w:t>
      </w:r>
      <w:r>
        <w:rPr>
          <w:rFonts w:hint="default" w:ascii="Times New Roman" w:hAnsi="Times New Roman" w:eastAsia="宋体" w:cs="Times New Roman"/>
          <w:caps w:val="0"/>
          <w:smallCaps w:val="0"/>
          <w:color w:val="auto"/>
          <w:kern w:val="0"/>
          <w:sz w:val="24"/>
        </w:rPr>
        <w:t>汽车倒运及选厂内运输道路</w:t>
      </w:r>
      <w:r>
        <w:rPr>
          <w:rFonts w:hint="default" w:ascii="Times New Roman" w:hAnsi="Times New Roman" w:eastAsia="宋体" w:cs="Times New Roman"/>
          <w:caps w:val="0"/>
          <w:smallCaps w:val="0"/>
          <w:snapToGrid w:val="0"/>
          <w:color w:val="auto"/>
          <w:kern w:val="0"/>
          <w:sz w:val="24"/>
        </w:rPr>
        <w:t>扬尘等。</w:t>
      </w:r>
    </w:p>
    <w:p w14:paraId="28EC421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snapToGrid w:val="0"/>
          <w:color w:val="auto"/>
          <w:kern w:val="0"/>
          <w:sz w:val="24"/>
        </w:rPr>
      </w:pPr>
      <w:r>
        <w:rPr>
          <w:rFonts w:hint="default" w:ascii="Times New Roman" w:hAnsi="Times New Roman" w:eastAsia="宋体" w:cs="Times New Roman"/>
          <w:caps w:val="0"/>
          <w:smallCaps w:val="0"/>
          <w:color w:val="auto"/>
          <w:kern w:val="0"/>
          <w:sz w:val="24"/>
        </w:rPr>
        <w:t>采取抑尘措施主要是：</w:t>
      </w:r>
      <w:r>
        <w:rPr>
          <w:rFonts w:hint="default" w:ascii="Times New Roman" w:hAnsi="Times New Roman" w:eastAsia="宋体" w:cs="Times New Roman"/>
          <w:caps w:val="0"/>
          <w:smallCaps w:val="0"/>
          <w:snapToGrid w:val="0"/>
          <w:color w:val="auto"/>
          <w:kern w:val="0"/>
          <w:sz w:val="24"/>
        </w:rPr>
        <w:t>松散物料运输采用密闭车辆运输；松散物料露天临时堆放表面进行遮盖等，选矿厂内道路定期洒水抑尘等。</w:t>
      </w:r>
    </w:p>
    <w:p w14:paraId="60AF33A0">
      <w:pPr>
        <w:pStyle w:val="32"/>
        <w:keepNext w:val="0"/>
        <w:keepLines w:val="0"/>
        <w:pageBreakBefore w:val="0"/>
        <w:widowControl w:val="0"/>
        <w:tabs>
          <w:tab w:val="left" w:pos="908"/>
        </w:tabs>
        <w:kinsoku/>
        <w:wordWrap/>
        <w:overflowPunct/>
        <w:topLinePunct w:val="0"/>
        <w:autoSpaceDE/>
        <w:autoSpaceDN/>
        <w:bidi w:val="0"/>
        <w:adjustRightInd w:val="0"/>
        <w:snapToGrid w:val="0"/>
        <w:spacing w:after="0" w:line="240" w:lineRule="auto"/>
        <w:ind w:left="0" w:leftChars="0" w:right="0" w:firstLine="0" w:firstLineChars="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cs="Times New Roman"/>
          <w:b/>
          <w:color w:val="auto"/>
          <w:sz w:val="21"/>
          <w:szCs w:val="21"/>
          <w:highlight w:val="none"/>
          <w:lang w:eastAsia="zh-CN"/>
        </w:rPr>
        <w:t>3.4-</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本项目</w:t>
      </w:r>
      <w:r>
        <w:rPr>
          <w:rFonts w:hint="default" w:ascii="Times New Roman" w:hAnsi="Times New Roman" w:eastAsia="宋体" w:cs="Times New Roman"/>
          <w:b/>
          <w:color w:val="auto"/>
          <w:sz w:val="21"/>
          <w:szCs w:val="21"/>
          <w:highlight w:val="none"/>
          <w:lang w:val="en-US" w:eastAsia="zh-CN"/>
        </w:rPr>
        <w:t>废</w:t>
      </w:r>
      <w:r>
        <w:rPr>
          <w:rFonts w:hint="default" w:ascii="Times New Roman" w:hAnsi="Times New Roman" w:eastAsia="宋体" w:cs="Times New Roman"/>
          <w:b/>
          <w:color w:val="auto"/>
          <w:sz w:val="21"/>
          <w:szCs w:val="21"/>
          <w:highlight w:val="none"/>
        </w:rPr>
        <w:t>气产生及排放情况一览表</w:t>
      </w:r>
    </w:p>
    <w:tbl>
      <w:tblPr>
        <w:tblStyle w:val="33"/>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811"/>
        <w:gridCol w:w="312"/>
        <w:gridCol w:w="522"/>
        <w:gridCol w:w="785"/>
        <w:gridCol w:w="785"/>
        <w:gridCol w:w="680"/>
        <w:gridCol w:w="1533"/>
        <w:gridCol w:w="336"/>
        <w:gridCol w:w="785"/>
        <w:gridCol w:w="714"/>
        <w:gridCol w:w="575"/>
        <w:gridCol w:w="557"/>
      </w:tblGrid>
      <w:tr w14:paraId="25BAF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9" w:hRule="atLeast"/>
          <w:jc w:val="center"/>
        </w:trPr>
        <w:tc>
          <w:tcPr>
            <w:tcW w:w="484" w:type="pct"/>
            <w:vMerge w:val="restart"/>
            <w:tcBorders>
              <w:tl2br w:val="nil"/>
              <w:tr2bl w:val="nil"/>
            </w:tcBorders>
            <w:noWrap w:val="0"/>
            <w:vAlign w:val="center"/>
          </w:tcPr>
          <w:p w14:paraId="2CEE341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污染工序</w:t>
            </w:r>
          </w:p>
        </w:tc>
        <w:tc>
          <w:tcPr>
            <w:tcW w:w="185" w:type="pct"/>
            <w:vMerge w:val="restart"/>
            <w:tcBorders>
              <w:tl2br w:val="nil"/>
              <w:tr2bl w:val="nil"/>
            </w:tcBorders>
            <w:noWrap w:val="0"/>
            <w:vAlign w:val="center"/>
          </w:tcPr>
          <w:p w14:paraId="0A74F37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污染物</w:t>
            </w:r>
          </w:p>
        </w:tc>
        <w:tc>
          <w:tcPr>
            <w:tcW w:w="310" w:type="pct"/>
            <w:vMerge w:val="restart"/>
            <w:tcBorders>
              <w:tl2br w:val="nil"/>
              <w:tr2bl w:val="nil"/>
            </w:tcBorders>
            <w:noWrap w:val="0"/>
            <w:vAlign w:val="center"/>
          </w:tcPr>
          <w:p w14:paraId="6CBAB4A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风量</w:t>
            </w:r>
          </w:p>
          <w:p w14:paraId="701257D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/h</w:t>
            </w:r>
          </w:p>
        </w:tc>
        <w:tc>
          <w:tcPr>
            <w:tcW w:w="467" w:type="pct"/>
            <w:vMerge w:val="restart"/>
            <w:tcBorders>
              <w:tl2br w:val="nil"/>
              <w:tr2bl w:val="nil"/>
            </w:tcBorders>
            <w:noWrap w:val="0"/>
            <w:vAlign w:val="center"/>
          </w:tcPr>
          <w:p w14:paraId="1EE3B67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产生速率</w:t>
            </w: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kg/h</w:t>
            </w:r>
          </w:p>
        </w:tc>
        <w:tc>
          <w:tcPr>
            <w:tcW w:w="467" w:type="pct"/>
            <w:vMerge w:val="restart"/>
            <w:tcBorders>
              <w:tl2br w:val="nil"/>
              <w:tr2bl w:val="nil"/>
            </w:tcBorders>
            <w:noWrap w:val="0"/>
            <w:vAlign w:val="center"/>
          </w:tcPr>
          <w:p w14:paraId="47E18B1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产生浓度</w:t>
            </w: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mg/m³</w:t>
            </w:r>
          </w:p>
        </w:tc>
        <w:tc>
          <w:tcPr>
            <w:tcW w:w="405" w:type="pct"/>
            <w:vMerge w:val="restart"/>
            <w:tcBorders>
              <w:tl2br w:val="nil"/>
              <w:tr2bl w:val="nil"/>
            </w:tcBorders>
            <w:noWrap w:val="0"/>
            <w:vAlign w:val="center"/>
          </w:tcPr>
          <w:p w14:paraId="6368770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产生量</w:t>
            </w:r>
          </w:p>
          <w:p w14:paraId="7EA0FC5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t/a</w:t>
            </w:r>
          </w:p>
        </w:tc>
        <w:tc>
          <w:tcPr>
            <w:tcW w:w="1114" w:type="pct"/>
            <w:gridSpan w:val="2"/>
            <w:tcBorders>
              <w:tl2br w:val="nil"/>
              <w:tr2bl w:val="nil"/>
            </w:tcBorders>
            <w:noWrap w:val="0"/>
            <w:vAlign w:val="center"/>
          </w:tcPr>
          <w:p w14:paraId="58F1EAE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污染治理措施</w:t>
            </w:r>
          </w:p>
        </w:tc>
        <w:tc>
          <w:tcPr>
            <w:tcW w:w="467" w:type="pct"/>
            <w:vMerge w:val="restart"/>
            <w:tcBorders>
              <w:tl2br w:val="nil"/>
              <w:tr2bl w:val="nil"/>
            </w:tcBorders>
            <w:noWrap w:val="0"/>
            <w:vAlign w:val="center"/>
          </w:tcPr>
          <w:p w14:paraId="72AC8CC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排放速率</w:t>
            </w:r>
          </w:p>
          <w:p w14:paraId="75DFADA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kg/h</w:t>
            </w:r>
          </w:p>
        </w:tc>
        <w:tc>
          <w:tcPr>
            <w:tcW w:w="425" w:type="pct"/>
            <w:vMerge w:val="restart"/>
            <w:tcBorders>
              <w:tl2br w:val="nil"/>
              <w:tr2bl w:val="nil"/>
            </w:tcBorders>
            <w:noWrap w:val="0"/>
            <w:vAlign w:val="center"/>
          </w:tcPr>
          <w:p w14:paraId="4FDB71C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排放浓度</w:t>
            </w: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mg/m³</w:t>
            </w:r>
          </w:p>
        </w:tc>
        <w:tc>
          <w:tcPr>
            <w:tcW w:w="343" w:type="pct"/>
            <w:vMerge w:val="restart"/>
            <w:tcBorders>
              <w:tl2br w:val="nil"/>
              <w:tr2bl w:val="nil"/>
            </w:tcBorders>
            <w:noWrap w:val="0"/>
            <w:vAlign w:val="center"/>
          </w:tcPr>
          <w:p w14:paraId="635027D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排放量</w:t>
            </w:r>
          </w:p>
          <w:p w14:paraId="1C33580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t/a</w:t>
            </w:r>
          </w:p>
        </w:tc>
        <w:tc>
          <w:tcPr>
            <w:tcW w:w="327" w:type="pct"/>
            <w:vMerge w:val="restart"/>
            <w:tcBorders>
              <w:tl2br w:val="nil"/>
              <w:tr2bl w:val="nil"/>
            </w:tcBorders>
            <w:noWrap w:val="0"/>
            <w:vAlign w:val="center"/>
          </w:tcPr>
          <w:p w14:paraId="530DAE0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运行时间</w:t>
            </w:r>
          </w:p>
          <w:p w14:paraId="186247D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/h</w:t>
            </w:r>
          </w:p>
        </w:tc>
      </w:tr>
      <w:tr w14:paraId="1A353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vMerge w:val="continue"/>
            <w:tcBorders>
              <w:tl2br w:val="nil"/>
              <w:tr2bl w:val="nil"/>
            </w:tcBorders>
            <w:noWrap w:val="0"/>
            <w:vAlign w:val="center"/>
          </w:tcPr>
          <w:p w14:paraId="314CB09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185" w:type="pct"/>
            <w:vMerge w:val="continue"/>
            <w:tcBorders>
              <w:tl2br w:val="nil"/>
              <w:tr2bl w:val="nil"/>
            </w:tcBorders>
            <w:noWrap w:val="0"/>
            <w:vAlign w:val="center"/>
          </w:tcPr>
          <w:p w14:paraId="376A9CD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310" w:type="pct"/>
            <w:vMerge w:val="continue"/>
            <w:tcBorders>
              <w:tl2br w:val="nil"/>
              <w:tr2bl w:val="nil"/>
            </w:tcBorders>
            <w:noWrap w:val="0"/>
            <w:vAlign w:val="center"/>
          </w:tcPr>
          <w:p w14:paraId="033F3B5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467" w:type="pct"/>
            <w:vMerge w:val="continue"/>
            <w:tcBorders>
              <w:tl2br w:val="nil"/>
              <w:tr2bl w:val="nil"/>
            </w:tcBorders>
            <w:noWrap w:val="0"/>
            <w:vAlign w:val="center"/>
          </w:tcPr>
          <w:p w14:paraId="4890DE0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467" w:type="pct"/>
            <w:vMerge w:val="continue"/>
            <w:tcBorders>
              <w:tl2br w:val="nil"/>
              <w:tr2bl w:val="nil"/>
            </w:tcBorders>
            <w:noWrap w:val="0"/>
            <w:vAlign w:val="center"/>
          </w:tcPr>
          <w:p w14:paraId="74F69C4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405" w:type="pct"/>
            <w:vMerge w:val="continue"/>
            <w:tcBorders>
              <w:tl2br w:val="nil"/>
              <w:tr2bl w:val="nil"/>
            </w:tcBorders>
            <w:noWrap w:val="0"/>
            <w:vAlign w:val="center"/>
          </w:tcPr>
          <w:p w14:paraId="24FF34C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914" w:type="pct"/>
            <w:tcBorders>
              <w:tl2br w:val="nil"/>
              <w:tr2bl w:val="nil"/>
            </w:tcBorders>
            <w:noWrap w:val="0"/>
            <w:vAlign w:val="center"/>
          </w:tcPr>
          <w:p w14:paraId="0840214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治理措施</w:t>
            </w:r>
          </w:p>
        </w:tc>
        <w:tc>
          <w:tcPr>
            <w:tcW w:w="200" w:type="pct"/>
            <w:tcBorders>
              <w:tl2br w:val="nil"/>
              <w:tr2bl w:val="nil"/>
            </w:tcBorders>
            <w:noWrap w:val="0"/>
            <w:vAlign w:val="center"/>
          </w:tcPr>
          <w:p w14:paraId="38A69E7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效率</w:t>
            </w:r>
          </w:p>
          <w:p w14:paraId="6391AD4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w:t>
            </w:r>
          </w:p>
        </w:tc>
        <w:tc>
          <w:tcPr>
            <w:tcW w:w="467" w:type="pct"/>
            <w:vMerge w:val="continue"/>
            <w:tcBorders>
              <w:tl2br w:val="nil"/>
              <w:tr2bl w:val="nil"/>
            </w:tcBorders>
            <w:noWrap w:val="0"/>
            <w:vAlign w:val="center"/>
          </w:tcPr>
          <w:p w14:paraId="5C2BFF4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425" w:type="pct"/>
            <w:vMerge w:val="continue"/>
            <w:tcBorders>
              <w:tl2br w:val="nil"/>
              <w:tr2bl w:val="nil"/>
            </w:tcBorders>
            <w:noWrap w:val="0"/>
            <w:vAlign w:val="center"/>
          </w:tcPr>
          <w:p w14:paraId="4437B8F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343" w:type="pct"/>
            <w:vMerge w:val="continue"/>
            <w:tcBorders>
              <w:tl2br w:val="nil"/>
              <w:tr2bl w:val="nil"/>
            </w:tcBorders>
            <w:noWrap w:val="0"/>
            <w:vAlign w:val="center"/>
          </w:tcPr>
          <w:p w14:paraId="11F78B0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327" w:type="pct"/>
            <w:vMerge w:val="continue"/>
            <w:tcBorders>
              <w:tl2br w:val="nil"/>
              <w:tr2bl w:val="nil"/>
            </w:tcBorders>
            <w:noWrap w:val="0"/>
            <w:vAlign w:val="center"/>
          </w:tcPr>
          <w:p w14:paraId="1BE1858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r>
      <w:tr w14:paraId="553AE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5000" w:type="pct"/>
            <w:gridSpan w:val="12"/>
            <w:tcBorders>
              <w:tl2br w:val="nil"/>
              <w:tr2bl w:val="nil"/>
            </w:tcBorders>
            <w:noWrap w:val="0"/>
            <w:vAlign w:val="center"/>
          </w:tcPr>
          <w:p w14:paraId="4FE9CF0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有组织废气</w:t>
            </w:r>
          </w:p>
        </w:tc>
      </w:tr>
      <w:tr w14:paraId="51DEC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5737885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一级破碎</w:t>
            </w:r>
          </w:p>
        </w:tc>
        <w:tc>
          <w:tcPr>
            <w:tcW w:w="185" w:type="pct"/>
            <w:vMerge w:val="restart"/>
            <w:tcBorders>
              <w:tl2br w:val="nil"/>
              <w:tr2bl w:val="nil"/>
            </w:tcBorders>
            <w:noWrap w:val="0"/>
            <w:vAlign w:val="center"/>
          </w:tcPr>
          <w:p w14:paraId="46E9A84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颗粒物</w:t>
            </w:r>
          </w:p>
        </w:tc>
        <w:tc>
          <w:tcPr>
            <w:tcW w:w="310" w:type="pct"/>
            <w:tcBorders>
              <w:tl2br w:val="nil"/>
              <w:tr2bl w:val="nil"/>
            </w:tcBorders>
            <w:noWrap w:val="0"/>
            <w:vAlign w:val="center"/>
          </w:tcPr>
          <w:p w14:paraId="45C1094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6500</w:t>
            </w:r>
          </w:p>
        </w:tc>
        <w:tc>
          <w:tcPr>
            <w:tcW w:w="467" w:type="pct"/>
            <w:tcBorders>
              <w:tl2br w:val="nil"/>
              <w:tr2bl w:val="nil"/>
            </w:tcBorders>
            <w:noWrap w:val="0"/>
            <w:vAlign w:val="center"/>
          </w:tcPr>
          <w:p w14:paraId="7DBAB97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19.79</w:t>
            </w:r>
          </w:p>
        </w:tc>
        <w:tc>
          <w:tcPr>
            <w:tcW w:w="467" w:type="pct"/>
            <w:tcBorders>
              <w:tl2br w:val="nil"/>
              <w:tr2bl w:val="nil"/>
            </w:tcBorders>
            <w:noWrap w:val="0"/>
            <w:vAlign w:val="center"/>
          </w:tcPr>
          <w:p w14:paraId="4BD20D4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3077.87</w:t>
            </w:r>
          </w:p>
        </w:tc>
        <w:tc>
          <w:tcPr>
            <w:tcW w:w="405" w:type="pct"/>
            <w:tcBorders>
              <w:tl2br w:val="nil"/>
              <w:tr2bl w:val="nil"/>
            </w:tcBorders>
            <w:noWrap w:val="0"/>
            <w:vAlign w:val="center"/>
          </w:tcPr>
          <w:p w14:paraId="6EC36B7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118.75</w:t>
            </w:r>
          </w:p>
        </w:tc>
        <w:tc>
          <w:tcPr>
            <w:tcW w:w="914" w:type="pct"/>
            <w:tcBorders>
              <w:tl2br w:val="nil"/>
              <w:tr2bl w:val="nil"/>
            </w:tcBorders>
            <w:noWrap w:val="0"/>
            <w:vAlign w:val="center"/>
          </w:tcPr>
          <w:p w14:paraId="35140F7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15m高排气筒排放（DA001）</w:t>
            </w:r>
          </w:p>
        </w:tc>
        <w:tc>
          <w:tcPr>
            <w:tcW w:w="200" w:type="pct"/>
            <w:tcBorders>
              <w:tl2br w:val="nil"/>
              <w:tr2bl w:val="nil"/>
            </w:tcBorders>
            <w:noWrap w:val="0"/>
            <w:vAlign w:val="center"/>
          </w:tcPr>
          <w:p w14:paraId="66509BC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99</w:t>
            </w:r>
          </w:p>
        </w:tc>
        <w:tc>
          <w:tcPr>
            <w:tcW w:w="467" w:type="pct"/>
            <w:tcBorders>
              <w:tl2br w:val="nil"/>
              <w:tr2bl w:val="nil"/>
            </w:tcBorders>
            <w:noWrap w:val="0"/>
            <w:vAlign w:val="center"/>
          </w:tcPr>
          <w:p w14:paraId="2F62977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0.2</w:t>
            </w:r>
          </w:p>
        </w:tc>
        <w:tc>
          <w:tcPr>
            <w:tcW w:w="425" w:type="pct"/>
            <w:tcBorders>
              <w:tl2br w:val="nil"/>
              <w:tr2bl w:val="nil"/>
            </w:tcBorders>
            <w:noWrap w:val="0"/>
            <w:vAlign w:val="center"/>
          </w:tcPr>
          <w:p w14:paraId="39B77AB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30.79</w:t>
            </w:r>
          </w:p>
        </w:tc>
        <w:tc>
          <w:tcPr>
            <w:tcW w:w="343" w:type="pct"/>
            <w:tcBorders>
              <w:tl2br w:val="nil"/>
              <w:tr2bl w:val="nil"/>
            </w:tcBorders>
            <w:noWrap w:val="0"/>
            <w:vAlign w:val="center"/>
          </w:tcPr>
          <w:p w14:paraId="17F5FC9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1.19</w:t>
            </w:r>
          </w:p>
        </w:tc>
        <w:tc>
          <w:tcPr>
            <w:tcW w:w="327" w:type="pct"/>
            <w:vMerge w:val="restart"/>
            <w:tcBorders>
              <w:tl2br w:val="nil"/>
              <w:tr2bl w:val="nil"/>
            </w:tcBorders>
            <w:noWrap w:val="0"/>
            <w:vAlign w:val="center"/>
          </w:tcPr>
          <w:p w14:paraId="61A59B7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6000</w:t>
            </w:r>
          </w:p>
        </w:tc>
      </w:tr>
      <w:tr w14:paraId="46929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317A3D5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二级破碎</w:t>
            </w:r>
          </w:p>
        </w:tc>
        <w:tc>
          <w:tcPr>
            <w:tcW w:w="185" w:type="pct"/>
            <w:vMerge w:val="continue"/>
            <w:tcBorders>
              <w:tl2br w:val="nil"/>
              <w:tr2bl w:val="nil"/>
            </w:tcBorders>
            <w:noWrap w:val="0"/>
            <w:vAlign w:val="center"/>
          </w:tcPr>
          <w:p w14:paraId="7E65EB5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p>
        </w:tc>
        <w:tc>
          <w:tcPr>
            <w:tcW w:w="310" w:type="pct"/>
            <w:tcBorders>
              <w:tl2br w:val="nil"/>
              <w:tr2bl w:val="nil"/>
            </w:tcBorders>
            <w:noWrap w:val="0"/>
            <w:vAlign w:val="center"/>
          </w:tcPr>
          <w:p w14:paraId="105BEED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6500</w:t>
            </w:r>
          </w:p>
        </w:tc>
        <w:tc>
          <w:tcPr>
            <w:tcW w:w="467" w:type="pct"/>
            <w:tcBorders>
              <w:tl2br w:val="nil"/>
              <w:tr2bl w:val="nil"/>
            </w:tcBorders>
            <w:noWrap w:val="0"/>
            <w:vAlign w:val="center"/>
          </w:tcPr>
          <w:p w14:paraId="48912F4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59.38</w:t>
            </w:r>
          </w:p>
        </w:tc>
        <w:tc>
          <w:tcPr>
            <w:tcW w:w="467" w:type="pct"/>
            <w:tcBorders>
              <w:tl2br w:val="nil"/>
              <w:tr2bl w:val="nil"/>
            </w:tcBorders>
            <w:noWrap w:val="0"/>
            <w:vAlign w:val="center"/>
          </w:tcPr>
          <w:p w14:paraId="272DE32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9134.62</w:t>
            </w:r>
          </w:p>
        </w:tc>
        <w:tc>
          <w:tcPr>
            <w:tcW w:w="405" w:type="pct"/>
            <w:tcBorders>
              <w:tl2br w:val="nil"/>
              <w:tr2bl w:val="nil"/>
            </w:tcBorders>
            <w:noWrap w:val="0"/>
            <w:vAlign w:val="center"/>
          </w:tcPr>
          <w:p w14:paraId="51177FA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356.26</w:t>
            </w:r>
          </w:p>
        </w:tc>
        <w:tc>
          <w:tcPr>
            <w:tcW w:w="914" w:type="pct"/>
            <w:tcBorders>
              <w:tl2br w:val="nil"/>
              <w:tr2bl w:val="nil"/>
            </w:tcBorders>
            <w:noWrap w:val="0"/>
            <w:vAlign w:val="center"/>
          </w:tcPr>
          <w:p w14:paraId="55A42EA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15m高排气筒排放（DA002）</w:t>
            </w:r>
          </w:p>
        </w:tc>
        <w:tc>
          <w:tcPr>
            <w:tcW w:w="200" w:type="pct"/>
            <w:tcBorders>
              <w:tl2br w:val="nil"/>
              <w:tr2bl w:val="nil"/>
            </w:tcBorders>
            <w:noWrap w:val="0"/>
            <w:vAlign w:val="center"/>
          </w:tcPr>
          <w:p w14:paraId="7C39A06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99</w:t>
            </w:r>
          </w:p>
        </w:tc>
        <w:tc>
          <w:tcPr>
            <w:tcW w:w="467" w:type="pct"/>
            <w:tcBorders>
              <w:tl2br w:val="nil"/>
              <w:tr2bl w:val="nil"/>
            </w:tcBorders>
            <w:noWrap w:val="0"/>
            <w:vAlign w:val="center"/>
          </w:tcPr>
          <w:p w14:paraId="5488D2D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0.59</w:t>
            </w:r>
          </w:p>
        </w:tc>
        <w:tc>
          <w:tcPr>
            <w:tcW w:w="425" w:type="pct"/>
            <w:tcBorders>
              <w:tl2br w:val="nil"/>
              <w:tr2bl w:val="nil"/>
            </w:tcBorders>
            <w:noWrap w:val="0"/>
            <w:vAlign w:val="center"/>
          </w:tcPr>
          <w:p w14:paraId="20065DE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91.38</w:t>
            </w:r>
          </w:p>
        </w:tc>
        <w:tc>
          <w:tcPr>
            <w:tcW w:w="343" w:type="pct"/>
            <w:tcBorders>
              <w:tl2br w:val="nil"/>
              <w:tr2bl w:val="nil"/>
            </w:tcBorders>
            <w:noWrap w:val="0"/>
            <w:vAlign w:val="center"/>
          </w:tcPr>
          <w:p w14:paraId="317DC97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3.56</w:t>
            </w:r>
          </w:p>
        </w:tc>
        <w:tc>
          <w:tcPr>
            <w:tcW w:w="327" w:type="pct"/>
            <w:vMerge w:val="continue"/>
            <w:tcBorders>
              <w:tl2br w:val="nil"/>
              <w:tr2bl w:val="nil"/>
            </w:tcBorders>
            <w:noWrap w:val="0"/>
            <w:vAlign w:val="center"/>
          </w:tcPr>
          <w:p w14:paraId="037E77C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62BEE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408FF1F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萃取-电积间废气</w:t>
            </w:r>
          </w:p>
        </w:tc>
        <w:tc>
          <w:tcPr>
            <w:tcW w:w="185" w:type="pct"/>
            <w:tcBorders>
              <w:tl2br w:val="nil"/>
              <w:tr2bl w:val="nil"/>
            </w:tcBorders>
            <w:noWrap w:val="0"/>
            <w:vAlign w:val="center"/>
          </w:tcPr>
          <w:p w14:paraId="4BC1C2D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ascii="Times New Roman" w:hAnsi="Times New Roman" w:eastAsia="宋体" w:cs="Times New Roman"/>
                <w:b w:val="0"/>
                <w:bCs w:val="0"/>
                <w:color w:val="auto"/>
                <w:spacing w:val="0"/>
                <w:sz w:val="21"/>
                <w:szCs w:val="21"/>
                <w:highlight w:val="none"/>
                <w:u w:val="none" w:color="auto"/>
                <w:lang w:val="en-US" w:eastAsia="zh-CN"/>
              </w:rPr>
              <w:t>硫酸雾</w:t>
            </w:r>
          </w:p>
        </w:tc>
        <w:tc>
          <w:tcPr>
            <w:tcW w:w="310" w:type="pct"/>
            <w:tcBorders>
              <w:tl2br w:val="nil"/>
              <w:tr2bl w:val="nil"/>
            </w:tcBorders>
            <w:noWrap w:val="0"/>
            <w:vAlign w:val="center"/>
          </w:tcPr>
          <w:p w14:paraId="25B67BD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1000</w:t>
            </w:r>
          </w:p>
        </w:tc>
        <w:tc>
          <w:tcPr>
            <w:tcW w:w="467" w:type="pct"/>
            <w:tcBorders>
              <w:tl2br w:val="nil"/>
              <w:tr2bl w:val="nil"/>
            </w:tcBorders>
            <w:noWrap w:val="0"/>
            <w:vAlign w:val="center"/>
          </w:tcPr>
          <w:p w14:paraId="13CD286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0.012</w:t>
            </w:r>
          </w:p>
        </w:tc>
        <w:tc>
          <w:tcPr>
            <w:tcW w:w="467" w:type="pct"/>
            <w:tcBorders>
              <w:tl2br w:val="nil"/>
              <w:tr2bl w:val="nil"/>
            </w:tcBorders>
            <w:noWrap w:val="0"/>
            <w:vAlign w:val="center"/>
          </w:tcPr>
          <w:p w14:paraId="51FF167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12</w:t>
            </w:r>
          </w:p>
        </w:tc>
        <w:tc>
          <w:tcPr>
            <w:tcW w:w="405" w:type="pct"/>
            <w:tcBorders>
              <w:tl2br w:val="nil"/>
              <w:tr2bl w:val="nil"/>
            </w:tcBorders>
            <w:noWrap w:val="0"/>
            <w:vAlign w:val="center"/>
          </w:tcPr>
          <w:p w14:paraId="21F3C2E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0.072</w:t>
            </w:r>
          </w:p>
        </w:tc>
        <w:tc>
          <w:tcPr>
            <w:tcW w:w="914" w:type="pct"/>
            <w:tcBorders>
              <w:tl2br w:val="nil"/>
              <w:tr2bl w:val="nil"/>
            </w:tcBorders>
            <w:noWrap w:val="0"/>
            <w:vAlign w:val="center"/>
          </w:tcPr>
          <w:p w14:paraId="077D77F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val="0"/>
                <w:snapToGrid/>
                <w:color w:val="auto"/>
                <w:kern w:val="2"/>
                <w:sz w:val="21"/>
                <w:szCs w:val="21"/>
                <w:highlight w:val="none"/>
                <w:lang w:val="en-US" w:eastAsia="zh-CN"/>
              </w:rPr>
              <w:t>碱液吸收塔+15m高排气筒排放</w:t>
            </w:r>
            <w:r>
              <w:rPr>
                <w:rFonts w:hint="eastAsia" w:cs="Times New Roman"/>
                <w:b w:val="0"/>
                <w:bCs w:val="0"/>
                <w:snapToGrid/>
                <w:color w:val="auto"/>
                <w:kern w:val="2"/>
                <w:sz w:val="21"/>
                <w:szCs w:val="21"/>
                <w:highlight w:val="none"/>
                <w:lang w:val="en-US" w:eastAsia="zh-CN"/>
              </w:rPr>
              <w:t>（DA003）</w:t>
            </w:r>
          </w:p>
        </w:tc>
        <w:tc>
          <w:tcPr>
            <w:tcW w:w="200" w:type="pct"/>
            <w:tcBorders>
              <w:tl2br w:val="nil"/>
              <w:tr2bl w:val="nil"/>
            </w:tcBorders>
            <w:noWrap w:val="0"/>
            <w:vAlign w:val="center"/>
          </w:tcPr>
          <w:p w14:paraId="6D5EC3E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80</w:t>
            </w:r>
          </w:p>
        </w:tc>
        <w:tc>
          <w:tcPr>
            <w:tcW w:w="467" w:type="pct"/>
            <w:tcBorders>
              <w:tl2br w:val="nil"/>
              <w:tr2bl w:val="nil"/>
            </w:tcBorders>
            <w:noWrap w:val="0"/>
            <w:vAlign w:val="center"/>
          </w:tcPr>
          <w:p w14:paraId="19A39C8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eastAsia" w:cs="Times New Roman"/>
                <w:b w:val="0"/>
                <w:bCs w:val="0"/>
                <w:color w:val="auto"/>
                <w:spacing w:val="0"/>
                <w:sz w:val="21"/>
                <w:szCs w:val="21"/>
                <w:highlight w:val="none"/>
                <w:u w:val="none" w:color="auto"/>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0.0026</w:t>
            </w:r>
          </w:p>
        </w:tc>
        <w:tc>
          <w:tcPr>
            <w:tcW w:w="425" w:type="pct"/>
            <w:tcBorders>
              <w:tl2br w:val="nil"/>
              <w:tr2bl w:val="nil"/>
            </w:tcBorders>
            <w:noWrap w:val="0"/>
            <w:vAlign w:val="center"/>
          </w:tcPr>
          <w:p w14:paraId="0186B44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eastAsia" w:cs="Times New Roman"/>
                <w:b w:val="0"/>
                <w:bCs w:val="0"/>
                <w:color w:val="auto"/>
                <w:spacing w:val="0"/>
                <w:sz w:val="21"/>
                <w:szCs w:val="21"/>
                <w:highlight w:val="none"/>
                <w:u w:val="none" w:color="auto"/>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2.6</w:t>
            </w:r>
          </w:p>
        </w:tc>
        <w:tc>
          <w:tcPr>
            <w:tcW w:w="343" w:type="pct"/>
            <w:tcBorders>
              <w:tl2br w:val="nil"/>
              <w:tr2bl w:val="nil"/>
            </w:tcBorders>
            <w:noWrap w:val="0"/>
            <w:vAlign w:val="center"/>
          </w:tcPr>
          <w:p w14:paraId="4F8F35B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0.016</w:t>
            </w:r>
          </w:p>
        </w:tc>
        <w:tc>
          <w:tcPr>
            <w:tcW w:w="327" w:type="pct"/>
            <w:vMerge w:val="continue"/>
            <w:tcBorders>
              <w:tl2br w:val="nil"/>
              <w:tr2bl w:val="nil"/>
            </w:tcBorders>
            <w:noWrap w:val="0"/>
            <w:vAlign w:val="center"/>
          </w:tcPr>
          <w:p w14:paraId="2F611C5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20322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5000" w:type="pct"/>
            <w:gridSpan w:val="12"/>
            <w:tcBorders>
              <w:tl2br w:val="nil"/>
              <w:tr2bl w:val="nil"/>
            </w:tcBorders>
            <w:noWrap w:val="0"/>
            <w:vAlign w:val="center"/>
          </w:tcPr>
          <w:p w14:paraId="16DAB6E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无组织废气</w:t>
            </w:r>
          </w:p>
        </w:tc>
      </w:tr>
      <w:tr w14:paraId="4A077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391BB6FA">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装卸、运输扬尘</w:t>
            </w:r>
          </w:p>
        </w:tc>
        <w:tc>
          <w:tcPr>
            <w:tcW w:w="185" w:type="pct"/>
            <w:tcBorders>
              <w:tl2br w:val="nil"/>
              <w:tr2bl w:val="nil"/>
            </w:tcBorders>
            <w:noWrap w:val="0"/>
            <w:vAlign w:val="center"/>
          </w:tcPr>
          <w:p w14:paraId="0CA355D0">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粉尘</w:t>
            </w:r>
          </w:p>
        </w:tc>
        <w:tc>
          <w:tcPr>
            <w:tcW w:w="310" w:type="pct"/>
            <w:vMerge w:val="restart"/>
            <w:tcBorders>
              <w:tl2br w:val="nil"/>
              <w:tr2bl w:val="nil"/>
            </w:tcBorders>
            <w:noWrap w:val="0"/>
            <w:vAlign w:val="center"/>
          </w:tcPr>
          <w:p w14:paraId="6D1C413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467" w:type="pct"/>
            <w:tcBorders>
              <w:tl2br w:val="nil"/>
              <w:tr2bl w:val="nil"/>
            </w:tcBorders>
            <w:noWrap w:val="0"/>
            <w:vAlign w:val="center"/>
          </w:tcPr>
          <w:p w14:paraId="7BE3149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10.92</w:t>
            </w:r>
          </w:p>
        </w:tc>
        <w:tc>
          <w:tcPr>
            <w:tcW w:w="467" w:type="pct"/>
            <w:vMerge w:val="restart"/>
            <w:tcBorders>
              <w:tl2br w:val="nil"/>
              <w:tr2bl w:val="nil"/>
            </w:tcBorders>
            <w:noWrap w:val="0"/>
            <w:vAlign w:val="center"/>
          </w:tcPr>
          <w:p w14:paraId="7A20470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405" w:type="pct"/>
            <w:tcBorders>
              <w:tl2br w:val="nil"/>
              <w:tr2bl w:val="nil"/>
            </w:tcBorders>
            <w:noWrap w:val="0"/>
            <w:vAlign w:val="center"/>
          </w:tcPr>
          <w:p w14:paraId="03F757E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65.5</w:t>
            </w:r>
          </w:p>
        </w:tc>
        <w:tc>
          <w:tcPr>
            <w:tcW w:w="914" w:type="pct"/>
            <w:tcBorders>
              <w:tl2br w:val="nil"/>
              <w:tr2bl w:val="nil"/>
            </w:tcBorders>
            <w:noWrap w:val="0"/>
            <w:vAlign w:val="center"/>
          </w:tcPr>
          <w:p w14:paraId="5D28C96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装卸扬尘采取降低物料装卸高度、减少物料转运环节、严禁在大风及暴雨天气进行物料采装、运输作业等措施抑尘。运输扬尘采取道路洒水、铺设道路碎石、控制运输车辆行驶速度及装载量、缩短物料运输距离、车厢篷布遮盖等措施</w:t>
            </w:r>
          </w:p>
        </w:tc>
        <w:tc>
          <w:tcPr>
            <w:tcW w:w="200" w:type="pct"/>
            <w:tcBorders>
              <w:tl2br w:val="nil"/>
              <w:tr2bl w:val="nil"/>
            </w:tcBorders>
            <w:noWrap w:val="0"/>
            <w:vAlign w:val="center"/>
          </w:tcPr>
          <w:p w14:paraId="1204E46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80</w:t>
            </w:r>
          </w:p>
        </w:tc>
        <w:tc>
          <w:tcPr>
            <w:tcW w:w="467" w:type="pct"/>
            <w:tcBorders>
              <w:tl2br w:val="nil"/>
              <w:tr2bl w:val="nil"/>
            </w:tcBorders>
            <w:noWrap w:val="0"/>
            <w:vAlign w:val="center"/>
          </w:tcPr>
          <w:p w14:paraId="1AA6EE5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2.18</w:t>
            </w:r>
          </w:p>
        </w:tc>
        <w:tc>
          <w:tcPr>
            <w:tcW w:w="425" w:type="pct"/>
            <w:vMerge w:val="restart"/>
            <w:tcBorders>
              <w:tl2br w:val="nil"/>
              <w:tr2bl w:val="nil"/>
            </w:tcBorders>
            <w:noWrap w:val="0"/>
            <w:vAlign w:val="center"/>
          </w:tcPr>
          <w:p w14:paraId="5862A2B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343" w:type="pct"/>
            <w:tcBorders>
              <w:tl2br w:val="nil"/>
              <w:tr2bl w:val="nil"/>
            </w:tcBorders>
            <w:noWrap w:val="0"/>
            <w:vAlign w:val="center"/>
          </w:tcPr>
          <w:p w14:paraId="7505446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13.</w:t>
            </w:r>
            <w:r>
              <w:rPr>
                <w:rFonts w:hint="eastAsia" w:cs="Times New Roman"/>
                <w:b w:val="0"/>
                <w:bCs w:val="0"/>
                <w:color w:val="auto"/>
                <w:spacing w:val="0"/>
                <w:sz w:val="21"/>
                <w:szCs w:val="21"/>
                <w:highlight w:val="none"/>
                <w:u w:val="none" w:color="auto"/>
                <w:lang w:val="en-US" w:eastAsia="zh-CN"/>
              </w:rPr>
              <w:t>1</w:t>
            </w:r>
          </w:p>
        </w:tc>
        <w:tc>
          <w:tcPr>
            <w:tcW w:w="327" w:type="pct"/>
            <w:vMerge w:val="restart"/>
            <w:tcBorders>
              <w:tl2br w:val="nil"/>
              <w:tr2bl w:val="nil"/>
            </w:tcBorders>
            <w:noWrap w:val="0"/>
            <w:vAlign w:val="center"/>
          </w:tcPr>
          <w:p w14:paraId="24BC1C7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6000</w:t>
            </w:r>
          </w:p>
        </w:tc>
      </w:tr>
      <w:tr w14:paraId="4BC92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77B92CF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sz w:val="21"/>
                <w:szCs w:val="21"/>
                <w:highlight w:val="none"/>
                <w:u w:val="none" w:color="auto"/>
                <w:lang w:val="en-US" w:eastAsia="zh-CN"/>
              </w:rPr>
              <w:t>一级破碎</w:t>
            </w:r>
          </w:p>
        </w:tc>
        <w:tc>
          <w:tcPr>
            <w:tcW w:w="185" w:type="pct"/>
            <w:tcBorders>
              <w:tl2br w:val="nil"/>
              <w:tr2bl w:val="nil"/>
            </w:tcBorders>
            <w:noWrap w:val="0"/>
            <w:vAlign w:val="center"/>
          </w:tcPr>
          <w:p w14:paraId="0D3FFEFA">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310" w:type="pct"/>
            <w:vMerge w:val="continue"/>
            <w:tcBorders>
              <w:tl2br w:val="nil"/>
              <w:tr2bl w:val="nil"/>
            </w:tcBorders>
            <w:noWrap w:val="0"/>
            <w:vAlign w:val="center"/>
          </w:tcPr>
          <w:p w14:paraId="08C2A67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67" w:type="pct"/>
            <w:tcBorders>
              <w:tl2br w:val="nil"/>
              <w:tr2bl w:val="nil"/>
            </w:tcBorders>
            <w:noWrap w:val="0"/>
            <w:vAlign w:val="center"/>
          </w:tcPr>
          <w:p w14:paraId="27C00F5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1.04</w:t>
            </w:r>
          </w:p>
        </w:tc>
        <w:tc>
          <w:tcPr>
            <w:tcW w:w="467" w:type="pct"/>
            <w:vMerge w:val="continue"/>
            <w:tcBorders>
              <w:tl2br w:val="nil"/>
              <w:tr2bl w:val="nil"/>
            </w:tcBorders>
            <w:noWrap w:val="0"/>
            <w:vAlign w:val="center"/>
          </w:tcPr>
          <w:p w14:paraId="490FE09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05" w:type="pct"/>
            <w:tcBorders>
              <w:tl2br w:val="nil"/>
              <w:tr2bl w:val="nil"/>
            </w:tcBorders>
            <w:noWrap w:val="0"/>
            <w:vAlign w:val="center"/>
          </w:tcPr>
          <w:p w14:paraId="0CAA7B8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6.25</w:t>
            </w:r>
          </w:p>
        </w:tc>
        <w:tc>
          <w:tcPr>
            <w:tcW w:w="914" w:type="pct"/>
            <w:tcBorders>
              <w:tl2br w:val="nil"/>
              <w:tr2bl w:val="nil"/>
            </w:tcBorders>
            <w:noWrap w:val="0"/>
            <w:vAlign w:val="center"/>
          </w:tcPr>
          <w:p w14:paraId="1C6D498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200" w:type="pct"/>
            <w:tcBorders>
              <w:tl2br w:val="nil"/>
              <w:tr2bl w:val="nil"/>
            </w:tcBorders>
            <w:noWrap w:val="0"/>
            <w:vAlign w:val="center"/>
          </w:tcPr>
          <w:p w14:paraId="1B734AD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74</w:t>
            </w:r>
          </w:p>
        </w:tc>
        <w:tc>
          <w:tcPr>
            <w:tcW w:w="467" w:type="pct"/>
            <w:tcBorders>
              <w:tl2br w:val="nil"/>
              <w:tr2bl w:val="nil"/>
            </w:tcBorders>
            <w:noWrap w:val="0"/>
            <w:vAlign w:val="center"/>
          </w:tcPr>
          <w:p w14:paraId="70E2018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snapToGrid/>
                <w:color w:val="auto"/>
                <w:kern w:val="2"/>
                <w:sz w:val="21"/>
                <w:szCs w:val="21"/>
                <w:highlight w:val="none"/>
                <w:lang w:val="en-US" w:eastAsia="zh-CN"/>
              </w:rPr>
              <w:t>0.27</w:t>
            </w:r>
          </w:p>
        </w:tc>
        <w:tc>
          <w:tcPr>
            <w:tcW w:w="425" w:type="pct"/>
            <w:vMerge w:val="continue"/>
            <w:tcBorders>
              <w:tl2br w:val="nil"/>
              <w:tr2bl w:val="nil"/>
            </w:tcBorders>
            <w:noWrap w:val="0"/>
            <w:vAlign w:val="center"/>
          </w:tcPr>
          <w:p w14:paraId="707D507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343" w:type="pct"/>
            <w:tcBorders>
              <w:tl2br w:val="nil"/>
              <w:tr2bl w:val="nil"/>
            </w:tcBorders>
            <w:noWrap w:val="0"/>
            <w:vAlign w:val="center"/>
          </w:tcPr>
          <w:p w14:paraId="76A881B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eastAsia" w:cs="Times New Roman"/>
                <w:b w:val="0"/>
                <w:bCs w:val="0"/>
                <w:color w:val="auto"/>
                <w:spacing w:val="0"/>
                <w:sz w:val="21"/>
                <w:szCs w:val="21"/>
                <w:highlight w:val="none"/>
                <w:u w:val="none" w:color="auto"/>
                <w:lang w:val="en-US" w:eastAsia="zh-CN"/>
              </w:rPr>
              <w:t>1.63</w:t>
            </w:r>
          </w:p>
        </w:tc>
        <w:tc>
          <w:tcPr>
            <w:tcW w:w="327" w:type="pct"/>
            <w:vMerge w:val="continue"/>
            <w:tcBorders>
              <w:tl2br w:val="nil"/>
              <w:tr2bl w:val="nil"/>
            </w:tcBorders>
            <w:noWrap w:val="0"/>
            <w:vAlign w:val="center"/>
          </w:tcPr>
          <w:p w14:paraId="1355BAB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7FF47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3031629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二级破碎</w:t>
            </w:r>
          </w:p>
        </w:tc>
        <w:tc>
          <w:tcPr>
            <w:tcW w:w="185" w:type="pct"/>
            <w:tcBorders>
              <w:tl2br w:val="nil"/>
              <w:tr2bl w:val="nil"/>
            </w:tcBorders>
            <w:noWrap w:val="0"/>
            <w:vAlign w:val="center"/>
          </w:tcPr>
          <w:p w14:paraId="33213F31">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310" w:type="pct"/>
            <w:vMerge w:val="continue"/>
            <w:tcBorders>
              <w:tl2br w:val="nil"/>
              <w:tr2bl w:val="nil"/>
            </w:tcBorders>
            <w:noWrap w:val="0"/>
            <w:vAlign w:val="center"/>
          </w:tcPr>
          <w:p w14:paraId="76797A2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67" w:type="pct"/>
            <w:tcBorders>
              <w:tl2br w:val="nil"/>
              <w:tr2bl w:val="nil"/>
            </w:tcBorders>
            <w:noWrap w:val="0"/>
            <w:vAlign w:val="center"/>
          </w:tcPr>
          <w:p w14:paraId="3DB77D9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3.13</w:t>
            </w:r>
          </w:p>
        </w:tc>
        <w:tc>
          <w:tcPr>
            <w:tcW w:w="467" w:type="pct"/>
            <w:vMerge w:val="continue"/>
            <w:tcBorders>
              <w:tl2br w:val="nil"/>
              <w:tr2bl w:val="nil"/>
            </w:tcBorders>
            <w:noWrap w:val="0"/>
            <w:vAlign w:val="center"/>
          </w:tcPr>
          <w:p w14:paraId="5B1CCDD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05" w:type="pct"/>
            <w:tcBorders>
              <w:tl2br w:val="nil"/>
              <w:tr2bl w:val="nil"/>
            </w:tcBorders>
            <w:noWrap w:val="0"/>
            <w:vAlign w:val="center"/>
          </w:tcPr>
          <w:p w14:paraId="148604D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18.75</w:t>
            </w:r>
          </w:p>
        </w:tc>
        <w:tc>
          <w:tcPr>
            <w:tcW w:w="914" w:type="pct"/>
            <w:tcBorders>
              <w:tl2br w:val="nil"/>
              <w:tr2bl w:val="nil"/>
            </w:tcBorders>
            <w:noWrap w:val="0"/>
            <w:vAlign w:val="center"/>
          </w:tcPr>
          <w:p w14:paraId="4D5F059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200" w:type="pct"/>
            <w:tcBorders>
              <w:tl2br w:val="nil"/>
              <w:tr2bl w:val="nil"/>
            </w:tcBorders>
            <w:noWrap w:val="0"/>
            <w:vAlign w:val="center"/>
          </w:tcPr>
          <w:p w14:paraId="1A95B6B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74</w:t>
            </w:r>
          </w:p>
        </w:tc>
        <w:tc>
          <w:tcPr>
            <w:tcW w:w="467" w:type="pct"/>
            <w:tcBorders>
              <w:tl2br w:val="nil"/>
              <w:tr2bl w:val="nil"/>
            </w:tcBorders>
            <w:noWrap w:val="0"/>
            <w:vAlign w:val="center"/>
          </w:tcPr>
          <w:p w14:paraId="4581A54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snapToGrid/>
                <w:color w:val="auto"/>
                <w:kern w:val="2"/>
                <w:sz w:val="21"/>
                <w:szCs w:val="21"/>
                <w:highlight w:val="none"/>
                <w:lang w:val="en-US" w:eastAsia="zh-CN"/>
              </w:rPr>
              <w:t>0.81</w:t>
            </w:r>
          </w:p>
        </w:tc>
        <w:tc>
          <w:tcPr>
            <w:tcW w:w="425" w:type="pct"/>
            <w:vMerge w:val="continue"/>
            <w:tcBorders>
              <w:tl2br w:val="nil"/>
              <w:tr2bl w:val="nil"/>
            </w:tcBorders>
            <w:noWrap w:val="0"/>
            <w:vAlign w:val="center"/>
          </w:tcPr>
          <w:p w14:paraId="049C957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343" w:type="pct"/>
            <w:tcBorders>
              <w:tl2br w:val="nil"/>
              <w:tr2bl w:val="nil"/>
            </w:tcBorders>
            <w:noWrap w:val="0"/>
            <w:vAlign w:val="center"/>
          </w:tcPr>
          <w:p w14:paraId="130ECDE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eastAsia" w:cs="Times New Roman"/>
                <w:b w:val="0"/>
                <w:bCs w:val="0"/>
                <w:color w:val="auto"/>
                <w:spacing w:val="0"/>
                <w:sz w:val="21"/>
                <w:szCs w:val="21"/>
                <w:highlight w:val="none"/>
                <w:u w:val="none" w:color="auto"/>
                <w:lang w:val="en-US" w:eastAsia="zh-CN"/>
              </w:rPr>
              <w:t>4.88</w:t>
            </w:r>
          </w:p>
        </w:tc>
        <w:tc>
          <w:tcPr>
            <w:tcW w:w="327" w:type="pct"/>
            <w:vMerge w:val="continue"/>
            <w:tcBorders>
              <w:tl2br w:val="nil"/>
              <w:tr2bl w:val="nil"/>
            </w:tcBorders>
            <w:noWrap w:val="0"/>
            <w:vAlign w:val="center"/>
          </w:tcPr>
          <w:p w14:paraId="49BA35B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2CCB3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3025E2D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硫酸储罐无组织废气</w:t>
            </w:r>
          </w:p>
        </w:tc>
        <w:tc>
          <w:tcPr>
            <w:tcW w:w="185" w:type="pct"/>
            <w:tcBorders>
              <w:tl2br w:val="nil"/>
              <w:tr2bl w:val="nil"/>
            </w:tcBorders>
            <w:noWrap w:val="0"/>
            <w:vAlign w:val="center"/>
          </w:tcPr>
          <w:p w14:paraId="353401A1">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硫酸雾</w:t>
            </w:r>
          </w:p>
        </w:tc>
        <w:tc>
          <w:tcPr>
            <w:tcW w:w="310" w:type="pct"/>
            <w:vMerge w:val="continue"/>
            <w:tcBorders>
              <w:tl2br w:val="nil"/>
              <w:tr2bl w:val="nil"/>
            </w:tcBorders>
            <w:noWrap w:val="0"/>
            <w:vAlign w:val="center"/>
          </w:tcPr>
          <w:p w14:paraId="7AE7B35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67" w:type="pct"/>
            <w:tcBorders>
              <w:tl2br w:val="nil"/>
              <w:tr2bl w:val="nil"/>
            </w:tcBorders>
            <w:noWrap w:val="0"/>
            <w:vAlign w:val="center"/>
          </w:tcPr>
          <w:p w14:paraId="12F8450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0.02</w:t>
            </w:r>
          </w:p>
        </w:tc>
        <w:tc>
          <w:tcPr>
            <w:tcW w:w="467" w:type="pct"/>
            <w:vMerge w:val="continue"/>
            <w:tcBorders>
              <w:tl2br w:val="nil"/>
              <w:tr2bl w:val="nil"/>
            </w:tcBorders>
            <w:noWrap w:val="0"/>
            <w:vAlign w:val="center"/>
          </w:tcPr>
          <w:p w14:paraId="5B1F208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05" w:type="pct"/>
            <w:tcBorders>
              <w:tl2br w:val="nil"/>
              <w:tr2bl w:val="nil"/>
            </w:tcBorders>
            <w:noWrap w:val="0"/>
            <w:vAlign w:val="center"/>
          </w:tcPr>
          <w:p w14:paraId="2B51E78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0.14</w:t>
            </w:r>
          </w:p>
        </w:tc>
        <w:tc>
          <w:tcPr>
            <w:tcW w:w="914" w:type="pct"/>
            <w:tcBorders>
              <w:tl2br w:val="nil"/>
              <w:tr2bl w:val="nil"/>
            </w:tcBorders>
            <w:noWrap w:val="0"/>
            <w:vAlign w:val="center"/>
          </w:tcPr>
          <w:p w14:paraId="59014CF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加强管理</w:t>
            </w:r>
          </w:p>
        </w:tc>
        <w:tc>
          <w:tcPr>
            <w:tcW w:w="200" w:type="pct"/>
            <w:tcBorders>
              <w:tl2br w:val="nil"/>
              <w:tr2bl w:val="nil"/>
            </w:tcBorders>
            <w:noWrap w:val="0"/>
            <w:vAlign w:val="center"/>
          </w:tcPr>
          <w:p w14:paraId="344A431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467" w:type="pct"/>
            <w:tcBorders>
              <w:tl2br w:val="nil"/>
              <w:tr2bl w:val="nil"/>
            </w:tcBorders>
            <w:noWrap w:val="0"/>
            <w:vAlign w:val="center"/>
          </w:tcPr>
          <w:p w14:paraId="0ACDF11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0.02</w:t>
            </w:r>
          </w:p>
        </w:tc>
        <w:tc>
          <w:tcPr>
            <w:tcW w:w="425" w:type="pct"/>
            <w:vMerge w:val="continue"/>
            <w:tcBorders>
              <w:tl2br w:val="nil"/>
              <w:tr2bl w:val="nil"/>
            </w:tcBorders>
            <w:noWrap w:val="0"/>
            <w:vAlign w:val="center"/>
          </w:tcPr>
          <w:p w14:paraId="5A61B0E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343" w:type="pct"/>
            <w:tcBorders>
              <w:tl2br w:val="nil"/>
              <w:tr2bl w:val="nil"/>
            </w:tcBorders>
            <w:noWrap w:val="0"/>
            <w:vAlign w:val="center"/>
          </w:tcPr>
          <w:p w14:paraId="70B6F36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eastAsia" w:cs="Times New Roman"/>
                <w:b w:val="0"/>
                <w:bCs w:val="0"/>
                <w:color w:val="auto"/>
                <w:spacing w:val="0"/>
                <w:sz w:val="21"/>
                <w:szCs w:val="21"/>
                <w:highlight w:val="none"/>
                <w:u w:val="none" w:color="auto"/>
                <w:lang w:val="en-US" w:eastAsia="zh-CN"/>
              </w:rPr>
              <w:t>0.14</w:t>
            </w:r>
          </w:p>
        </w:tc>
        <w:tc>
          <w:tcPr>
            <w:tcW w:w="327" w:type="pct"/>
            <w:vMerge w:val="continue"/>
            <w:tcBorders>
              <w:tl2br w:val="nil"/>
              <w:tr2bl w:val="nil"/>
            </w:tcBorders>
            <w:noWrap w:val="0"/>
            <w:vAlign w:val="center"/>
          </w:tcPr>
          <w:p w14:paraId="57D5CFD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5ACA0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484" w:type="pct"/>
            <w:vMerge w:val="restart"/>
            <w:tcBorders>
              <w:tl2br w:val="nil"/>
              <w:tr2bl w:val="nil"/>
            </w:tcBorders>
            <w:noWrap w:val="0"/>
            <w:vAlign w:val="center"/>
          </w:tcPr>
          <w:p w14:paraId="5BF23EC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萃取-电积间废气</w:t>
            </w:r>
          </w:p>
        </w:tc>
        <w:tc>
          <w:tcPr>
            <w:tcW w:w="185" w:type="pct"/>
            <w:tcBorders>
              <w:tl2br w:val="nil"/>
              <w:tr2bl w:val="nil"/>
            </w:tcBorders>
            <w:noWrap w:val="0"/>
            <w:vAlign w:val="center"/>
          </w:tcPr>
          <w:p w14:paraId="12985CD7">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hAnsi="Times New Roman" w:eastAsia="宋体" w:cs="Times New Roman"/>
                <w:b w:val="0"/>
                <w:bCs w:val="0"/>
                <w:color w:val="auto"/>
                <w:sz w:val="21"/>
                <w:szCs w:val="21"/>
                <w:highlight w:val="none"/>
                <w:lang w:val="en-US" w:eastAsia="zh-CN"/>
              </w:rPr>
              <w:t>非甲烷总烃</w:t>
            </w:r>
          </w:p>
        </w:tc>
        <w:tc>
          <w:tcPr>
            <w:tcW w:w="310" w:type="pct"/>
            <w:vMerge w:val="continue"/>
            <w:tcBorders>
              <w:tl2br w:val="nil"/>
              <w:tr2bl w:val="nil"/>
            </w:tcBorders>
            <w:noWrap w:val="0"/>
            <w:vAlign w:val="center"/>
          </w:tcPr>
          <w:p w14:paraId="0ACC876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67" w:type="pct"/>
            <w:tcBorders>
              <w:tl2br w:val="nil"/>
              <w:tr2bl w:val="nil"/>
            </w:tcBorders>
            <w:noWrap w:val="0"/>
            <w:vAlign w:val="center"/>
          </w:tcPr>
          <w:p w14:paraId="46DD907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0.0025</w:t>
            </w:r>
          </w:p>
        </w:tc>
        <w:tc>
          <w:tcPr>
            <w:tcW w:w="467" w:type="pct"/>
            <w:vMerge w:val="continue"/>
            <w:tcBorders>
              <w:tl2br w:val="nil"/>
              <w:tr2bl w:val="nil"/>
            </w:tcBorders>
            <w:noWrap w:val="0"/>
            <w:vAlign w:val="center"/>
          </w:tcPr>
          <w:p w14:paraId="7F62FB9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05" w:type="pct"/>
            <w:tcBorders>
              <w:tl2br w:val="nil"/>
              <w:tr2bl w:val="nil"/>
            </w:tcBorders>
            <w:noWrap w:val="0"/>
            <w:vAlign w:val="center"/>
          </w:tcPr>
          <w:p w14:paraId="4F718E7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0.015</w:t>
            </w:r>
          </w:p>
        </w:tc>
        <w:tc>
          <w:tcPr>
            <w:tcW w:w="914" w:type="pct"/>
            <w:tcBorders>
              <w:tl2br w:val="nil"/>
              <w:tr2bl w:val="nil"/>
            </w:tcBorders>
            <w:noWrap w:val="0"/>
            <w:vAlign w:val="center"/>
          </w:tcPr>
          <w:p w14:paraId="5B260C6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c>
          <w:tcPr>
            <w:tcW w:w="200" w:type="pct"/>
            <w:tcBorders>
              <w:tl2br w:val="nil"/>
              <w:tr2bl w:val="nil"/>
            </w:tcBorders>
            <w:noWrap w:val="0"/>
            <w:vAlign w:val="center"/>
          </w:tcPr>
          <w:p w14:paraId="3C6A4B2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w:t>
            </w:r>
          </w:p>
        </w:tc>
        <w:tc>
          <w:tcPr>
            <w:tcW w:w="467" w:type="pct"/>
            <w:tcBorders>
              <w:tl2br w:val="nil"/>
              <w:tr2bl w:val="nil"/>
            </w:tcBorders>
            <w:noWrap w:val="0"/>
            <w:vAlign w:val="center"/>
          </w:tcPr>
          <w:p w14:paraId="0344B37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0.0025</w:t>
            </w:r>
          </w:p>
        </w:tc>
        <w:tc>
          <w:tcPr>
            <w:tcW w:w="425" w:type="pct"/>
            <w:vMerge w:val="continue"/>
            <w:tcBorders>
              <w:tl2br w:val="nil"/>
              <w:tr2bl w:val="nil"/>
            </w:tcBorders>
            <w:noWrap w:val="0"/>
            <w:vAlign w:val="center"/>
          </w:tcPr>
          <w:p w14:paraId="5B7F3FA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343" w:type="pct"/>
            <w:tcBorders>
              <w:tl2br w:val="nil"/>
              <w:tr2bl w:val="nil"/>
            </w:tcBorders>
            <w:noWrap w:val="0"/>
            <w:vAlign w:val="center"/>
          </w:tcPr>
          <w:p w14:paraId="59DFFD8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0.015</w:t>
            </w:r>
          </w:p>
        </w:tc>
        <w:tc>
          <w:tcPr>
            <w:tcW w:w="327" w:type="pct"/>
            <w:vMerge w:val="continue"/>
            <w:tcBorders>
              <w:tl2br w:val="nil"/>
              <w:tr2bl w:val="nil"/>
            </w:tcBorders>
            <w:noWrap w:val="0"/>
            <w:vAlign w:val="center"/>
          </w:tcPr>
          <w:p w14:paraId="466AC2A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6CD3B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484" w:type="pct"/>
            <w:vMerge w:val="continue"/>
            <w:tcBorders>
              <w:tl2br w:val="nil"/>
              <w:tr2bl w:val="nil"/>
            </w:tcBorders>
            <w:noWrap w:val="0"/>
            <w:vAlign w:val="center"/>
          </w:tcPr>
          <w:p w14:paraId="46CF054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color w:val="auto"/>
                <w:sz w:val="21"/>
                <w:szCs w:val="21"/>
              </w:rPr>
            </w:pPr>
          </w:p>
        </w:tc>
        <w:tc>
          <w:tcPr>
            <w:tcW w:w="185" w:type="pct"/>
            <w:tcBorders>
              <w:tl2br w:val="nil"/>
              <w:tr2bl w:val="nil"/>
            </w:tcBorders>
            <w:noWrap w:val="0"/>
            <w:vAlign w:val="center"/>
          </w:tcPr>
          <w:p w14:paraId="588631F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硫酸雾</w:t>
            </w:r>
          </w:p>
        </w:tc>
        <w:tc>
          <w:tcPr>
            <w:tcW w:w="310" w:type="pct"/>
            <w:vMerge w:val="continue"/>
            <w:tcBorders>
              <w:tl2br w:val="nil"/>
              <w:tr2bl w:val="nil"/>
            </w:tcBorders>
            <w:noWrap w:val="0"/>
            <w:vAlign w:val="center"/>
          </w:tcPr>
          <w:p w14:paraId="4367586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67" w:type="pct"/>
            <w:tcBorders>
              <w:tl2br w:val="nil"/>
              <w:tr2bl w:val="nil"/>
            </w:tcBorders>
            <w:noWrap w:val="0"/>
            <w:vAlign w:val="center"/>
          </w:tcPr>
          <w:p w14:paraId="42C74F4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0.00065</w:t>
            </w:r>
          </w:p>
        </w:tc>
        <w:tc>
          <w:tcPr>
            <w:tcW w:w="467" w:type="pct"/>
            <w:vMerge w:val="continue"/>
            <w:tcBorders>
              <w:tl2br w:val="nil"/>
              <w:tr2bl w:val="nil"/>
            </w:tcBorders>
            <w:noWrap w:val="0"/>
            <w:vAlign w:val="center"/>
          </w:tcPr>
          <w:p w14:paraId="13B1985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05" w:type="pct"/>
            <w:tcBorders>
              <w:tl2br w:val="nil"/>
              <w:tr2bl w:val="nil"/>
            </w:tcBorders>
            <w:noWrap w:val="0"/>
            <w:vAlign w:val="center"/>
          </w:tcPr>
          <w:p w14:paraId="2E774E1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0.004</w:t>
            </w:r>
          </w:p>
        </w:tc>
        <w:tc>
          <w:tcPr>
            <w:tcW w:w="914" w:type="pct"/>
            <w:tcBorders>
              <w:tl2br w:val="nil"/>
              <w:tr2bl w:val="nil"/>
            </w:tcBorders>
            <w:noWrap w:val="0"/>
            <w:vAlign w:val="center"/>
          </w:tcPr>
          <w:p w14:paraId="703791F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车间通风，添加酸雾抑制剂</w:t>
            </w:r>
          </w:p>
        </w:tc>
        <w:tc>
          <w:tcPr>
            <w:tcW w:w="200" w:type="pct"/>
            <w:tcBorders>
              <w:tl2br w:val="nil"/>
              <w:tr2bl w:val="nil"/>
            </w:tcBorders>
            <w:noWrap w:val="0"/>
            <w:vAlign w:val="center"/>
          </w:tcPr>
          <w:p w14:paraId="5342C5A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467" w:type="pct"/>
            <w:tcBorders>
              <w:tl2br w:val="nil"/>
              <w:tr2bl w:val="nil"/>
            </w:tcBorders>
            <w:noWrap w:val="0"/>
            <w:vAlign w:val="center"/>
          </w:tcPr>
          <w:p w14:paraId="3656B48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0.00065</w:t>
            </w:r>
          </w:p>
        </w:tc>
        <w:tc>
          <w:tcPr>
            <w:tcW w:w="425" w:type="pct"/>
            <w:vMerge w:val="continue"/>
            <w:tcBorders>
              <w:tl2br w:val="nil"/>
              <w:tr2bl w:val="nil"/>
            </w:tcBorders>
            <w:noWrap w:val="0"/>
            <w:vAlign w:val="center"/>
          </w:tcPr>
          <w:p w14:paraId="2F7D544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3" w:type="pct"/>
            <w:tcBorders>
              <w:tl2br w:val="nil"/>
              <w:tr2bl w:val="nil"/>
            </w:tcBorders>
            <w:noWrap w:val="0"/>
            <w:vAlign w:val="center"/>
          </w:tcPr>
          <w:p w14:paraId="75D094E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0.004</w:t>
            </w:r>
          </w:p>
        </w:tc>
        <w:tc>
          <w:tcPr>
            <w:tcW w:w="327" w:type="pct"/>
            <w:vMerge w:val="continue"/>
            <w:tcBorders>
              <w:tl2br w:val="nil"/>
              <w:tr2bl w:val="nil"/>
            </w:tcBorders>
            <w:noWrap w:val="0"/>
            <w:vAlign w:val="center"/>
          </w:tcPr>
          <w:p w14:paraId="762F8F5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60B53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484" w:type="pct"/>
            <w:tcBorders>
              <w:tl2br w:val="nil"/>
              <w:tr2bl w:val="nil"/>
            </w:tcBorders>
            <w:noWrap w:val="0"/>
            <w:vAlign w:val="center"/>
          </w:tcPr>
          <w:p w14:paraId="47F8976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color w:val="auto"/>
                <w:sz w:val="21"/>
                <w:szCs w:val="21"/>
              </w:rPr>
            </w:pPr>
            <w:r>
              <w:rPr>
                <w:rFonts w:ascii="Times New Roman" w:hAnsi="Times New Roman" w:eastAsia="宋体"/>
                <w:caps w:val="0"/>
                <w:smallCaps w:val="0"/>
                <w:color w:val="auto"/>
                <w:sz w:val="21"/>
                <w:szCs w:val="21"/>
              </w:rPr>
              <w:t>尾矿库无组织排放</w:t>
            </w:r>
          </w:p>
        </w:tc>
        <w:tc>
          <w:tcPr>
            <w:tcW w:w="185" w:type="pct"/>
            <w:tcBorders>
              <w:tl2br w:val="nil"/>
              <w:tr2bl w:val="nil"/>
            </w:tcBorders>
            <w:noWrap w:val="0"/>
            <w:vAlign w:val="center"/>
          </w:tcPr>
          <w:p w14:paraId="40B5955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颗粒物</w:t>
            </w:r>
          </w:p>
        </w:tc>
        <w:tc>
          <w:tcPr>
            <w:tcW w:w="310" w:type="pct"/>
            <w:vMerge w:val="continue"/>
            <w:tcBorders>
              <w:tl2br w:val="nil"/>
              <w:tr2bl w:val="nil"/>
            </w:tcBorders>
            <w:noWrap w:val="0"/>
            <w:vAlign w:val="center"/>
          </w:tcPr>
          <w:p w14:paraId="6AD6525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67" w:type="pct"/>
            <w:tcBorders>
              <w:tl2br w:val="nil"/>
              <w:tr2bl w:val="nil"/>
            </w:tcBorders>
            <w:noWrap w:val="0"/>
            <w:vAlign w:val="center"/>
          </w:tcPr>
          <w:p w14:paraId="3D0384B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8.53</w:t>
            </w:r>
          </w:p>
        </w:tc>
        <w:tc>
          <w:tcPr>
            <w:tcW w:w="467" w:type="pct"/>
            <w:vMerge w:val="continue"/>
            <w:tcBorders>
              <w:tl2br w:val="nil"/>
              <w:tr2bl w:val="nil"/>
            </w:tcBorders>
            <w:noWrap w:val="0"/>
            <w:vAlign w:val="center"/>
          </w:tcPr>
          <w:p w14:paraId="6AB8499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05" w:type="pct"/>
            <w:tcBorders>
              <w:tl2br w:val="nil"/>
              <w:tr2bl w:val="nil"/>
            </w:tcBorders>
            <w:noWrap w:val="0"/>
            <w:vAlign w:val="center"/>
          </w:tcPr>
          <w:p w14:paraId="38A338C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51.18</w:t>
            </w:r>
          </w:p>
        </w:tc>
        <w:tc>
          <w:tcPr>
            <w:tcW w:w="914" w:type="pct"/>
            <w:tcBorders>
              <w:tl2br w:val="nil"/>
              <w:tr2bl w:val="nil"/>
            </w:tcBorders>
            <w:noWrap w:val="0"/>
            <w:vAlign w:val="center"/>
          </w:tcPr>
          <w:p w14:paraId="1ACCEB3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eastAsia" w:ascii="Times New Roman" w:hAnsi="Times New Roman" w:cs="Times New Roman"/>
                <w:b w:val="0"/>
                <w:bCs w:val="0"/>
                <w:snapToGrid/>
                <w:color w:val="auto"/>
                <w:kern w:val="2"/>
                <w:sz w:val="21"/>
                <w:szCs w:val="21"/>
                <w:highlight w:val="none"/>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200" w:type="pct"/>
            <w:tcBorders>
              <w:tl2br w:val="nil"/>
              <w:tr2bl w:val="nil"/>
            </w:tcBorders>
            <w:noWrap w:val="0"/>
            <w:vAlign w:val="center"/>
          </w:tcPr>
          <w:p w14:paraId="31C1CC9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74</w:t>
            </w:r>
          </w:p>
        </w:tc>
        <w:tc>
          <w:tcPr>
            <w:tcW w:w="467" w:type="pct"/>
            <w:tcBorders>
              <w:tl2br w:val="nil"/>
              <w:tr2bl w:val="nil"/>
            </w:tcBorders>
            <w:noWrap w:val="0"/>
            <w:vAlign w:val="center"/>
          </w:tcPr>
          <w:p w14:paraId="60E54DF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2.22</w:t>
            </w:r>
          </w:p>
        </w:tc>
        <w:tc>
          <w:tcPr>
            <w:tcW w:w="425" w:type="pct"/>
            <w:vMerge w:val="continue"/>
            <w:tcBorders>
              <w:tl2br w:val="nil"/>
              <w:tr2bl w:val="nil"/>
            </w:tcBorders>
            <w:noWrap w:val="0"/>
            <w:vAlign w:val="center"/>
          </w:tcPr>
          <w:p w14:paraId="56B8FAC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3" w:type="pct"/>
            <w:tcBorders>
              <w:tl2br w:val="nil"/>
              <w:tr2bl w:val="nil"/>
            </w:tcBorders>
            <w:noWrap w:val="0"/>
            <w:vAlign w:val="center"/>
          </w:tcPr>
          <w:p w14:paraId="76B29BC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13.32</w:t>
            </w:r>
          </w:p>
        </w:tc>
        <w:tc>
          <w:tcPr>
            <w:tcW w:w="327" w:type="pct"/>
            <w:vMerge w:val="continue"/>
            <w:tcBorders>
              <w:tl2br w:val="nil"/>
              <w:tr2bl w:val="nil"/>
            </w:tcBorders>
            <w:noWrap w:val="0"/>
            <w:vAlign w:val="center"/>
          </w:tcPr>
          <w:p w14:paraId="1C20520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bookmarkEnd w:id="123"/>
    </w:tbl>
    <w:p w14:paraId="41475D62">
      <w:pPr>
        <w:keepNext w:val="0"/>
        <w:keepLines w:val="0"/>
        <w:pageBreakBefore w:val="0"/>
        <w:widowControl w:val="0"/>
        <w:tabs>
          <w:tab w:val="left" w:pos="389"/>
        </w:tabs>
        <w:kinsoku/>
        <w:wordWrap/>
        <w:overflowPunct/>
        <w:topLinePunct w:val="0"/>
        <w:autoSpaceDE/>
        <w:autoSpaceDN/>
        <w:bidi w:val="0"/>
        <w:adjustRightInd w:val="0"/>
        <w:snapToGrid w:val="0"/>
        <w:spacing w:line="480" w:lineRule="exact"/>
        <w:ind w:left="0" w:leftChars="0" w:right="0" w:firstLine="482" w:firstLineChars="200"/>
        <w:textAlignment w:val="auto"/>
        <w:rPr>
          <w:rFonts w:hint="default" w:ascii="Times New Roman" w:hAnsi="Times New Roman" w:cs="Times New Roman"/>
          <w:b/>
          <w:bCs/>
          <w:color w:val="auto"/>
          <w:kern w:val="0"/>
          <w:szCs w:val="28"/>
          <w:highlight w:val="none"/>
        </w:rPr>
      </w:pPr>
      <w:r>
        <w:rPr>
          <w:rFonts w:hint="eastAsia" w:cs="Times New Roman"/>
          <w:b/>
          <w:bCs/>
          <w:color w:val="auto"/>
          <w:kern w:val="0"/>
          <w:szCs w:val="28"/>
          <w:highlight w:val="none"/>
          <w:lang w:eastAsia="zh-CN"/>
        </w:rPr>
        <w:tab/>
      </w:r>
      <w:r>
        <w:rPr>
          <w:rFonts w:hint="eastAsia" w:cs="Times New Roman"/>
          <w:b/>
          <w:bCs/>
          <w:color w:val="auto"/>
          <w:kern w:val="0"/>
          <w:szCs w:val="28"/>
          <w:highlight w:val="none"/>
          <w:lang w:eastAsia="zh-CN"/>
        </w:rPr>
        <w:t>3.4.1</w:t>
      </w:r>
      <w:r>
        <w:rPr>
          <w:rFonts w:hint="default" w:ascii="Times New Roman" w:hAnsi="Times New Roman" w:cs="Times New Roman"/>
          <w:b/>
          <w:bCs/>
          <w:color w:val="auto"/>
          <w:kern w:val="0"/>
          <w:szCs w:val="28"/>
          <w:highlight w:val="none"/>
          <w:lang w:val="en-US" w:eastAsia="zh-CN"/>
        </w:rPr>
        <w:t>.2</w:t>
      </w:r>
      <w:r>
        <w:rPr>
          <w:rFonts w:hint="default" w:ascii="Times New Roman" w:hAnsi="Times New Roman" w:cs="Times New Roman"/>
          <w:b/>
          <w:bCs/>
          <w:color w:val="auto"/>
          <w:kern w:val="0"/>
          <w:szCs w:val="28"/>
          <w:highlight w:val="none"/>
        </w:rPr>
        <w:t>废水</w:t>
      </w:r>
    </w:p>
    <w:bookmarkEnd w:id="124"/>
    <w:p w14:paraId="1094BF6C">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（1）生产废水</w:t>
      </w:r>
    </w:p>
    <w:p w14:paraId="075C9C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ascii="Times New Roman" w:hAnsi="Times New Roman" w:eastAsia="宋体" w:cs="Times New Roman"/>
          <w:caps w:val="0"/>
          <w:smallCaps w:val="0"/>
          <w:snapToGrid w:val="0"/>
          <w:color w:val="auto"/>
          <w:kern w:val="0"/>
          <w:sz w:val="24"/>
          <w:szCs w:val="24"/>
          <w:lang w:eastAsia="zh-CN"/>
        </w:rPr>
        <w:t>本项目过程中主要是</w:t>
      </w:r>
      <w:r>
        <w:rPr>
          <w:rFonts w:hint="eastAsia" w:cs="Times New Roman"/>
          <w:caps w:val="0"/>
          <w:smallCaps w:val="0"/>
          <w:snapToGrid w:val="0"/>
          <w:color w:val="auto"/>
          <w:kern w:val="0"/>
          <w:sz w:val="24"/>
          <w:szCs w:val="24"/>
          <w:lang w:val="en-US" w:eastAsia="zh-CN"/>
        </w:rPr>
        <w:t>球磨筛分、浸出</w:t>
      </w:r>
      <w:r>
        <w:rPr>
          <w:rFonts w:hint="eastAsia" w:ascii="Times New Roman" w:hAnsi="Times New Roman" w:eastAsia="宋体" w:cs="Times New Roman"/>
          <w:caps w:val="0"/>
          <w:smallCaps w:val="0"/>
          <w:snapToGrid w:val="0"/>
          <w:color w:val="auto"/>
          <w:kern w:val="0"/>
          <w:sz w:val="24"/>
          <w:szCs w:val="24"/>
          <w:lang w:eastAsia="zh-CN"/>
        </w:rPr>
        <w:t>系统、萃取</w:t>
      </w:r>
      <w:r>
        <w:rPr>
          <w:rFonts w:hint="eastAsia" w:cs="Times New Roman"/>
          <w:caps w:val="0"/>
          <w:smallCaps w:val="0"/>
          <w:snapToGrid w:val="0"/>
          <w:color w:val="auto"/>
          <w:kern w:val="0"/>
          <w:sz w:val="24"/>
          <w:szCs w:val="24"/>
          <w:lang w:val="en-US" w:eastAsia="zh-CN"/>
        </w:rPr>
        <w:t>-</w:t>
      </w:r>
      <w:r>
        <w:rPr>
          <w:rFonts w:hint="eastAsia" w:ascii="Times New Roman" w:hAnsi="Times New Roman" w:eastAsia="宋体" w:cs="Times New Roman"/>
          <w:caps w:val="0"/>
          <w:smallCaps w:val="0"/>
          <w:snapToGrid w:val="0"/>
          <w:color w:val="auto"/>
          <w:kern w:val="0"/>
          <w:sz w:val="24"/>
          <w:szCs w:val="24"/>
          <w:lang w:eastAsia="zh-CN"/>
        </w:rPr>
        <w:t>电积车间及碱式喷淋塔产生废水。其中</w:t>
      </w:r>
      <w:r>
        <w:rPr>
          <w:rFonts w:hint="eastAsia" w:cs="Times New Roman"/>
          <w:caps w:val="0"/>
          <w:smallCaps w:val="0"/>
          <w:snapToGrid w:val="0"/>
          <w:color w:val="auto"/>
          <w:kern w:val="0"/>
          <w:sz w:val="24"/>
          <w:szCs w:val="24"/>
          <w:lang w:val="en-US" w:eastAsia="zh-CN"/>
        </w:rPr>
        <w:t>球磨筛分用水量为</w:t>
      </w:r>
      <w:r>
        <w:rPr>
          <w:rFonts w:hint="default" w:ascii="Times New Roman" w:hAnsi="Times New Roman" w:eastAsia="宋体" w:cs="Times New Roman"/>
          <w:color w:val="auto"/>
          <w:sz w:val="24"/>
          <w:szCs w:val="24"/>
          <w:highlight w:val="none"/>
          <w:lang w:val="en-US" w:eastAsia="zh-CN"/>
        </w:rPr>
        <w:t>3360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w:t>
      </w:r>
      <w:r>
        <w:rPr>
          <w:rFonts w:hint="eastAsia" w:cs="Times New Roman"/>
          <w:caps w:val="0"/>
          <w:smallCaps w:val="0"/>
          <w:snapToGrid w:val="0"/>
          <w:color w:val="auto"/>
          <w:kern w:val="0"/>
          <w:sz w:val="24"/>
          <w:szCs w:val="24"/>
          <w:lang w:eastAsia="zh-CN"/>
        </w:rPr>
        <w:t>，</w:t>
      </w:r>
      <w:r>
        <w:rPr>
          <w:rFonts w:hint="eastAsia" w:cs="Times New Roman"/>
          <w:caps w:val="0"/>
          <w:smallCaps w:val="0"/>
          <w:snapToGrid w:val="0"/>
          <w:color w:val="auto"/>
          <w:kern w:val="0"/>
          <w:sz w:val="24"/>
          <w:szCs w:val="24"/>
          <w:lang w:val="en-US" w:eastAsia="zh-CN"/>
        </w:rPr>
        <w:t>除少部分用水随矿石进入下一生产环节，其余水量回用；浸出</w:t>
      </w:r>
      <w:r>
        <w:rPr>
          <w:rFonts w:hint="eastAsia" w:ascii="Times New Roman" w:hAnsi="Times New Roman" w:eastAsia="宋体" w:cs="Times New Roman"/>
          <w:caps w:val="0"/>
          <w:smallCaps w:val="0"/>
          <w:snapToGrid w:val="0"/>
          <w:color w:val="auto"/>
          <w:kern w:val="0"/>
          <w:sz w:val="24"/>
          <w:szCs w:val="24"/>
          <w:lang w:eastAsia="zh-CN"/>
        </w:rPr>
        <w:t>用水</w:t>
      </w:r>
      <w:r>
        <w:rPr>
          <w:rFonts w:hint="default" w:ascii="Times New Roman" w:hAnsi="Times New Roman" w:eastAsia="宋体" w:cs="Times New Roman"/>
          <w:b w:val="0"/>
          <w:bCs w:val="0"/>
          <w:snapToGrid/>
          <w:color w:val="auto"/>
          <w:kern w:val="2"/>
          <w:sz w:val="24"/>
          <w:szCs w:val="24"/>
          <w:highlight w:val="none"/>
          <w:lang w:val="en-US" w:eastAsia="zh-CN"/>
        </w:rPr>
        <w:t>540m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/d，由于同时加入稀硫酸进行调节pH，因此</w:t>
      </w:r>
      <w:r>
        <w:rPr>
          <w:rFonts w:hint="eastAsia" w:cs="Times New Roman"/>
          <w:caps w:val="0"/>
          <w:smallCaps w:val="0"/>
          <w:snapToGrid w:val="0"/>
          <w:color w:val="auto"/>
          <w:kern w:val="0"/>
          <w:sz w:val="24"/>
          <w:szCs w:val="24"/>
          <w:lang w:val="en-US" w:eastAsia="zh-CN"/>
        </w:rPr>
        <w:t>浸出</w:t>
      </w:r>
      <w:r>
        <w:rPr>
          <w:rFonts w:hint="eastAsia" w:ascii="Times New Roman" w:hAnsi="Times New Roman" w:eastAsia="宋体" w:cs="Times New Roman"/>
          <w:caps w:val="0"/>
          <w:smallCaps w:val="0"/>
          <w:snapToGrid w:val="0"/>
          <w:color w:val="auto"/>
          <w:kern w:val="0"/>
          <w:sz w:val="24"/>
          <w:szCs w:val="24"/>
          <w:lang w:eastAsia="zh-CN"/>
        </w:rPr>
        <w:t>液主要污染物为pH、Cu，</w:t>
      </w:r>
      <w:r>
        <w:rPr>
          <w:rFonts w:hint="eastAsia" w:cs="Times New Roman"/>
          <w:caps w:val="0"/>
          <w:smallCaps w:val="0"/>
          <w:snapToGrid w:val="0"/>
          <w:color w:val="auto"/>
          <w:kern w:val="0"/>
          <w:sz w:val="24"/>
          <w:szCs w:val="24"/>
          <w:lang w:eastAsia="zh-CN"/>
        </w:rPr>
        <w:t>浸出液</w:t>
      </w:r>
      <w:r>
        <w:rPr>
          <w:rFonts w:hint="eastAsia" w:ascii="Times New Roman" w:hAnsi="Times New Roman" w:eastAsia="宋体" w:cs="Times New Roman"/>
          <w:caps w:val="0"/>
          <w:smallCaps w:val="0"/>
          <w:snapToGrid w:val="0"/>
          <w:color w:val="auto"/>
          <w:kern w:val="0"/>
          <w:sz w:val="24"/>
          <w:szCs w:val="24"/>
          <w:lang w:eastAsia="zh-CN"/>
        </w:rPr>
        <w:t>进入萃取</w:t>
      </w:r>
      <w:r>
        <w:rPr>
          <w:rFonts w:hint="eastAsia" w:cs="Times New Roman"/>
          <w:caps w:val="0"/>
          <w:smallCaps w:val="0"/>
          <w:snapToGrid w:val="0"/>
          <w:color w:val="auto"/>
          <w:kern w:val="0"/>
          <w:sz w:val="24"/>
          <w:szCs w:val="24"/>
          <w:lang w:val="en-US" w:eastAsia="zh-CN"/>
        </w:rPr>
        <w:t>-电积</w:t>
      </w:r>
      <w:r>
        <w:rPr>
          <w:rFonts w:hint="eastAsia" w:ascii="Times New Roman" w:hAnsi="Times New Roman" w:eastAsia="宋体" w:cs="Times New Roman"/>
          <w:caps w:val="0"/>
          <w:smallCaps w:val="0"/>
          <w:snapToGrid w:val="0"/>
          <w:color w:val="auto"/>
          <w:kern w:val="0"/>
          <w:sz w:val="24"/>
          <w:szCs w:val="24"/>
          <w:lang w:eastAsia="zh-CN"/>
        </w:rPr>
        <w:t>环节循环使用，形成萃余液，萃余液仍属于含酸废水，再循环至</w:t>
      </w:r>
      <w:r>
        <w:rPr>
          <w:rFonts w:hint="eastAsia" w:cs="Times New Roman"/>
          <w:caps w:val="0"/>
          <w:smallCaps w:val="0"/>
          <w:snapToGrid w:val="0"/>
          <w:color w:val="auto"/>
          <w:kern w:val="0"/>
          <w:sz w:val="24"/>
          <w:szCs w:val="24"/>
          <w:lang w:eastAsia="zh-CN"/>
        </w:rPr>
        <w:t>浸出系统</w:t>
      </w:r>
      <w:r>
        <w:rPr>
          <w:rFonts w:hint="eastAsia" w:ascii="Times New Roman" w:hAnsi="Times New Roman" w:eastAsia="宋体" w:cs="Times New Roman"/>
          <w:caps w:val="0"/>
          <w:smallCaps w:val="0"/>
          <w:snapToGrid w:val="0"/>
          <w:color w:val="auto"/>
          <w:kern w:val="0"/>
          <w:sz w:val="24"/>
          <w:szCs w:val="24"/>
          <w:lang w:eastAsia="zh-CN"/>
        </w:rPr>
        <w:t>形成闭路循环使用。</w:t>
      </w:r>
      <w:r>
        <w:rPr>
          <w:rFonts w:hint="eastAsia" w:cs="Times New Roman"/>
          <w:caps w:val="0"/>
          <w:smallCaps w:val="0"/>
          <w:snapToGrid w:val="0"/>
          <w:color w:val="auto"/>
          <w:kern w:val="0"/>
          <w:sz w:val="24"/>
          <w:szCs w:val="24"/>
          <w:lang w:eastAsia="zh-CN"/>
        </w:rPr>
        <w:t>萃余液</w:t>
      </w:r>
      <w:r>
        <w:rPr>
          <w:rFonts w:hint="eastAsia" w:ascii="Times New Roman" w:hAnsi="Times New Roman" w:eastAsia="宋体" w:cs="Times New Roman"/>
          <w:caps w:val="0"/>
          <w:smallCaps w:val="0"/>
          <w:snapToGrid w:val="0"/>
          <w:color w:val="auto"/>
          <w:kern w:val="0"/>
          <w:sz w:val="24"/>
          <w:szCs w:val="24"/>
          <w:lang w:eastAsia="zh-CN"/>
        </w:rPr>
        <w:t>部分</w:t>
      </w:r>
      <w:r>
        <w:rPr>
          <w:rFonts w:hint="eastAsia" w:cs="Times New Roman"/>
          <w:caps w:val="0"/>
          <w:smallCaps w:val="0"/>
          <w:snapToGrid w:val="0"/>
          <w:color w:val="auto"/>
          <w:kern w:val="0"/>
          <w:sz w:val="24"/>
          <w:szCs w:val="24"/>
          <w:lang w:val="en-US" w:eastAsia="zh-CN"/>
        </w:rPr>
        <w:t>经过酸碱中和后用于浸出渣的清洗，</w:t>
      </w:r>
      <w:r>
        <w:rPr>
          <w:rFonts w:hint="eastAsia" w:ascii="Times New Roman" w:hAnsi="Times New Roman" w:eastAsia="宋体" w:cs="Times New Roman"/>
          <w:caps w:val="0"/>
          <w:smallCaps w:val="0"/>
          <w:snapToGrid w:val="0"/>
          <w:color w:val="auto"/>
          <w:kern w:val="0"/>
          <w:sz w:val="24"/>
          <w:szCs w:val="24"/>
          <w:lang w:eastAsia="zh-CN"/>
        </w:rPr>
        <w:t>会进入浸出渣中。因此项目</w:t>
      </w:r>
      <w:r>
        <w:rPr>
          <w:rFonts w:hint="eastAsia" w:cs="Times New Roman"/>
          <w:caps w:val="0"/>
          <w:smallCaps w:val="0"/>
          <w:snapToGrid w:val="0"/>
          <w:color w:val="auto"/>
          <w:kern w:val="0"/>
          <w:sz w:val="24"/>
          <w:szCs w:val="24"/>
          <w:lang w:val="en-US" w:eastAsia="zh-CN"/>
        </w:rPr>
        <w:t>运行</w:t>
      </w:r>
      <w:r>
        <w:rPr>
          <w:rFonts w:hint="eastAsia" w:ascii="Times New Roman" w:hAnsi="Times New Roman" w:eastAsia="宋体" w:cs="Times New Roman"/>
          <w:caps w:val="0"/>
          <w:smallCaps w:val="0"/>
          <w:snapToGrid w:val="0"/>
          <w:color w:val="auto"/>
          <w:kern w:val="0"/>
          <w:sz w:val="24"/>
          <w:szCs w:val="24"/>
          <w:lang w:eastAsia="zh-CN"/>
        </w:rPr>
        <w:t>期间无生产废水。</w:t>
      </w:r>
    </w:p>
    <w:p w14:paraId="4534120E">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（2）生活污水</w:t>
      </w:r>
    </w:p>
    <w:p w14:paraId="5F7E3A6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snapToGrid w:val="0"/>
          <w:color w:val="auto"/>
          <w:kern w:val="0"/>
          <w:sz w:val="24"/>
          <w:szCs w:val="24"/>
          <w:highlight w:val="none"/>
          <w:lang w:bidi="ar"/>
        </w:rPr>
      </w:pPr>
      <w:r>
        <w:rPr>
          <w:rFonts w:hint="default" w:ascii="Times New Roman" w:hAnsi="Times New Roman" w:cs="Times New Roman"/>
          <w:snapToGrid w:val="0"/>
          <w:color w:val="auto"/>
          <w:kern w:val="0"/>
          <w:sz w:val="24"/>
          <w:szCs w:val="24"/>
          <w:highlight w:val="none"/>
          <w:lang w:bidi="ar"/>
        </w:rPr>
        <w:t>本项目新增员工30人，预计产生生活污水1.92m</w:t>
      </w:r>
      <w:r>
        <w:rPr>
          <w:rFonts w:hint="default" w:ascii="Times New Roman" w:hAnsi="Times New Roman" w:cs="Times New Roman"/>
          <w:snapToGrid w:val="0"/>
          <w:color w:val="auto"/>
          <w:kern w:val="0"/>
          <w:sz w:val="24"/>
          <w:szCs w:val="24"/>
          <w:highlight w:val="none"/>
          <w:vertAlign w:val="superscript"/>
          <w:lang w:bidi="ar"/>
        </w:rPr>
        <w:t>3</w:t>
      </w:r>
      <w:r>
        <w:rPr>
          <w:rFonts w:hint="default" w:ascii="Times New Roman" w:hAnsi="Times New Roman" w:cs="Times New Roman"/>
          <w:snapToGrid w:val="0"/>
          <w:color w:val="auto"/>
          <w:kern w:val="0"/>
          <w:sz w:val="24"/>
          <w:szCs w:val="24"/>
          <w:highlight w:val="none"/>
          <w:lang w:bidi="ar"/>
        </w:rPr>
        <w:t>/d，</w:t>
      </w:r>
      <w:r>
        <w:rPr>
          <w:rFonts w:hint="default" w:ascii="Times New Roman" w:hAnsi="Times New Roman" w:cs="Times New Roman"/>
          <w:snapToGrid w:val="0"/>
          <w:color w:val="auto"/>
          <w:kern w:val="0"/>
          <w:sz w:val="24"/>
          <w:szCs w:val="24"/>
          <w:highlight w:val="none"/>
          <w:lang w:val="en-US" w:eastAsia="zh-CN" w:bidi="ar"/>
        </w:rPr>
        <w:t>480</w:t>
      </w:r>
      <w:r>
        <w:rPr>
          <w:rFonts w:hint="default" w:ascii="Times New Roman" w:hAnsi="Times New Roman" w:cs="Times New Roman"/>
          <w:snapToGrid w:val="0"/>
          <w:color w:val="auto"/>
          <w:kern w:val="0"/>
          <w:sz w:val="24"/>
          <w:szCs w:val="24"/>
          <w:highlight w:val="none"/>
          <w:lang w:bidi="ar"/>
        </w:rPr>
        <w:t>m</w:t>
      </w:r>
      <w:r>
        <w:rPr>
          <w:rFonts w:hint="default" w:ascii="Times New Roman" w:hAnsi="Times New Roman" w:cs="Times New Roman"/>
          <w:snapToGrid w:val="0"/>
          <w:color w:val="auto"/>
          <w:kern w:val="0"/>
          <w:sz w:val="24"/>
          <w:szCs w:val="24"/>
          <w:highlight w:val="none"/>
          <w:vertAlign w:val="superscript"/>
          <w:lang w:bidi="ar"/>
        </w:rPr>
        <w:t>3</w:t>
      </w:r>
      <w:r>
        <w:rPr>
          <w:rFonts w:hint="eastAsia" w:ascii="Times New Roman" w:hAnsi="Times New Roman" w:cs="Times New Roman"/>
          <w:snapToGrid w:val="0"/>
          <w:color w:val="auto"/>
          <w:kern w:val="0"/>
          <w:sz w:val="24"/>
          <w:szCs w:val="24"/>
          <w:highlight w:val="none"/>
          <w:vertAlign w:val="baseline"/>
          <w:lang w:val="en-US" w:eastAsia="zh-CN" w:bidi="ar"/>
        </w:rPr>
        <w:t>/a</w:t>
      </w:r>
      <w:r>
        <w:rPr>
          <w:rFonts w:hint="default" w:ascii="Times New Roman" w:hAnsi="Times New Roman" w:cs="Times New Roman"/>
          <w:snapToGrid w:val="0"/>
          <w:color w:val="auto"/>
          <w:kern w:val="0"/>
          <w:sz w:val="24"/>
          <w:szCs w:val="24"/>
          <w:highlight w:val="none"/>
          <w:lang w:bidi="ar"/>
        </w:rPr>
        <w:t>，</w:t>
      </w:r>
      <w:r>
        <w:rPr>
          <w:rFonts w:ascii="Times New Roman" w:hAnsi="Times New Roman" w:cs="Times New Roman"/>
          <w:snapToGrid w:val="0"/>
          <w:color w:val="auto"/>
          <w:kern w:val="0"/>
          <w:sz w:val="24"/>
          <w:szCs w:val="24"/>
          <w:highlight w:val="none"/>
          <w:lang w:bidi="ar"/>
        </w:rPr>
        <w:t>项目生活污水污染物排放情况见下表，主要污染物产生浓度为pH6～9、CODcr350mg/l、BOD</w:t>
      </w:r>
      <w:r>
        <w:rPr>
          <w:rFonts w:ascii="Times New Roman" w:hAnsi="Times New Roman" w:cs="Times New Roman"/>
          <w:snapToGrid w:val="0"/>
          <w:color w:val="auto"/>
          <w:kern w:val="0"/>
          <w:sz w:val="24"/>
          <w:szCs w:val="24"/>
          <w:highlight w:val="none"/>
          <w:vertAlign w:val="subscript"/>
          <w:lang w:bidi="ar"/>
        </w:rPr>
        <w:t>5</w:t>
      </w:r>
      <w:r>
        <w:rPr>
          <w:rFonts w:ascii="Times New Roman" w:hAnsi="Times New Roman" w:cs="Times New Roman"/>
          <w:snapToGrid w:val="0"/>
          <w:color w:val="auto"/>
          <w:kern w:val="0"/>
          <w:sz w:val="24"/>
          <w:szCs w:val="24"/>
          <w:highlight w:val="none"/>
          <w:lang w:bidi="ar"/>
        </w:rPr>
        <w:t>150mg/l、SS200mg/l、NH</w:t>
      </w:r>
      <w:r>
        <w:rPr>
          <w:rFonts w:ascii="Times New Roman" w:hAnsi="Times New Roman" w:cs="Times New Roman"/>
          <w:snapToGrid w:val="0"/>
          <w:color w:val="auto"/>
          <w:kern w:val="0"/>
          <w:sz w:val="24"/>
          <w:szCs w:val="24"/>
          <w:highlight w:val="none"/>
          <w:vertAlign w:val="subscript"/>
          <w:lang w:bidi="ar"/>
        </w:rPr>
        <w:t>3</w:t>
      </w:r>
      <w:r>
        <w:rPr>
          <w:rFonts w:ascii="Times New Roman" w:hAnsi="Times New Roman" w:cs="Times New Roman"/>
          <w:snapToGrid w:val="0"/>
          <w:color w:val="auto"/>
          <w:kern w:val="0"/>
          <w:sz w:val="24"/>
          <w:szCs w:val="24"/>
          <w:highlight w:val="none"/>
          <w:lang w:bidi="ar"/>
        </w:rPr>
        <w:t>-N25mg/l、动植物油5mg/l。</w:t>
      </w:r>
    </w:p>
    <w:p w14:paraId="02EE2A62">
      <w:pPr>
        <w:pStyle w:val="32"/>
        <w:keepNext w:val="0"/>
        <w:keepLines w:val="0"/>
        <w:pageBreakBefore w:val="0"/>
        <w:widowControl w:val="0"/>
        <w:tabs>
          <w:tab w:val="left" w:pos="908"/>
        </w:tabs>
        <w:kinsoku/>
        <w:wordWrap/>
        <w:overflowPunct/>
        <w:topLinePunct w:val="0"/>
        <w:autoSpaceDE/>
        <w:autoSpaceDN/>
        <w:bidi w:val="0"/>
        <w:adjustRightInd w:val="0"/>
        <w:snapToGrid/>
        <w:spacing w:after="0" w:line="240" w:lineRule="auto"/>
        <w:ind w:firstLine="0" w:firstLineChars="0"/>
        <w:jc w:val="center"/>
        <w:textAlignment w:val="baseline"/>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表3.</w:t>
      </w:r>
      <w:r>
        <w:rPr>
          <w:rFonts w:hint="eastAsia"/>
          <w:b/>
          <w:color w:val="auto"/>
          <w:sz w:val="21"/>
          <w:szCs w:val="21"/>
          <w:highlight w:val="none"/>
          <w:lang w:val="en-US" w:eastAsia="zh-CN"/>
        </w:rPr>
        <w:t>4-9</w:t>
      </w:r>
      <w:r>
        <w:rPr>
          <w:rFonts w:ascii="Times New Roman" w:hAnsi="Times New Roman" w:eastAsia="宋体"/>
          <w:b/>
          <w:color w:val="auto"/>
          <w:sz w:val="21"/>
          <w:szCs w:val="21"/>
          <w:highlight w:val="none"/>
        </w:rPr>
        <w:t xml:space="preserve">     废水污染物总量表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6"/>
        <w:gridCol w:w="2142"/>
        <w:gridCol w:w="2502"/>
        <w:gridCol w:w="2979"/>
      </w:tblGrid>
      <w:tr w14:paraId="2D0DB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721" w:type="pct"/>
            <w:gridSpan w:val="2"/>
            <w:tcBorders>
              <w:tl2br w:val="nil"/>
              <w:tr2bl w:val="nil"/>
            </w:tcBorders>
            <w:vAlign w:val="center"/>
          </w:tcPr>
          <w:p w14:paraId="30245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项   目</w:t>
            </w:r>
          </w:p>
        </w:tc>
        <w:tc>
          <w:tcPr>
            <w:tcW w:w="1496" w:type="pct"/>
            <w:tcBorders>
              <w:tl2br w:val="nil"/>
              <w:tr2bl w:val="nil"/>
            </w:tcBorders>
            <w:vAlign w:val="center"/>
          </w:tcPr>
          <w:p w14:paraId="7CAE7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产生浓度mg/L</w:t>
            </w:r>
          </w:p>
        </w:tc>
        <w:tc>
          <w:tcPr>
            <w:tcW w:w="1781" w:type="pct"/>
            <w:tcBorders>
              <w:tl2br w:val="nil"/>
              <w:tr2bl w:val="nil"/>
            </w:tcBorders>
            <w:vAlign w:val="center"/>
          </w:tcPr>
          <w:p w14:paraId="01BEF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color w:val="auto"/>
                <w:sz w:val="21"/>
                <w:szCs w:val="21"/>
                <w:highlight w:val="none"/>
              </w:rPr>
              <w:t>产生量t</w:t>
            </w:r>
          </w:p>
        </w:tc>
      </w:tr>
      <w:tr w14:paraId="28109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restart"/>
            <w:tcBorders>
              <w:tl2br w:val="nil"/>
              <w:tr2bl w:val="nil"/>
            </w:tcBorders>
            <w:vAlign w:val="center"/>
          </w:tcPr>
          <w:p w14:paraId="03B6D2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生活污水</w:t>
            </w:r>
          </w:p>
        </w:tc>
        <w:tc>
          <w:tcPr>
            <w:tcW w:w="1281" w:type="pct"/>
            <w:tcBorders>
              <w:tl2br w:val="nil"/>
              <w:tr2bl w:val="nil"/>
            </w:tcBorders>
            <w:vAlign w:val="center"/>
          </w:tcPr>
          <w:p w14:paraId="4C4EA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废水量（</w:t>
            </w: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/a</w:t>
            </w:r>
            <w:r>
              <w:rPr>
                <w:rFonts w:ascii="Times New Roman" w:hAnsi="Times New Roman" w:cs="Times New Roman"/>
                <w:snapToGrid w:val="0"/>
                <w:color w:val="auto"/>
                <w:sz w:val="21"/>
                <w:szCs w:val="21"/>
                <w:highlight w:val="none"/>
              </w:rPr>
              <w:t>）</w:t>
            </w:r>
          </w:p>
        </w:tc>
        <w:tc>
          <w:tcPr>
            <w:tcW w:w="1496" w:type="pct"/>
            <w:tcBorders>
              <w:tl2br w:val="nil"/>
              <w:tr2bl w:val="nil"/>
            </w:tcBorders>
            <w:vAlign w:val="center"/>
          </w:tcPr>
          <w:p w14:paraId="42274E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w:t>
            </w:r>
          </w:p>
        </w:tc>
        <w:tc>
          <w:tcPr>
            <w:tcW w:w="1781" w:type="pct"/>
            <w:tcBorders>
              <w:tl2br w:val="nil"/>
              <w:tr2bl w:val="nil"/>
            </w:tcBorders>
            <w:vAlign w:val="center"/>
          </w:tcPr>
          <w:p w14:paraId="607A5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1036.8</w:t>
            </w:r>
          </w:p>
        </w:tc>
      </w:tr>
      <w:tr w14:paraId="7BB1B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40" w:type="pct"/>
            <w:vMerge w:val="continue"/>
            <w:tcBorders>
              <w:tl2br w:val="nil"/>
              <w:tr2bl w:val="nil"/>
            </w:tcBorders>
            <w:vAlign w:val="center"/>
          </w:tcPr>
          <w:p w14:paraId="7DB075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30F285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COD</w:t>
            </w:r>
          </w:p>
        </w:tc>
        <w:tc>
          <w:tcPr>
            <w:tcW w:w="1496" w:type="pct"/>
            <w:tcBorders>
              <w:tl2br w:val="nil"/>
              <w:tr2bl w:val="nil"/>
            </w:tcBorders>
            <w:vAlign w:val="center"/>
          </w:tcPr>
          <w:p w14:paraId="4E8DF7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350</w:t>
            </w:r>
          </w:p>
        </w:tc>
        <w:tc>
          <w:tcPr>
            <w:tcW w:w="1781" w:type="pct"/>
            <w:tcBorders>
              <w:tl2br w:val="nil"/>
              <w:tr2bl w:val="nil"/>
            </w:tcBorders>
            <w:vAlign w:val="center"/>
          </w:tcPr>
          <w:p w14:paraId="731A98AE">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0.363</w:t>
            </w:r>
          </w:p>
        </w:tc>
      </w:tr>
      <w:tr w14:paraId="7E3F1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7EA216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090F02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496" w:type="pct"/>
            <w:tcBorders>
              <w:tl2br w:val="nil"/>
              <w:tr2bl w:val="nil"/>
            </w:tcBorders>
            <w:vAlign w:val="center"/>
          </w:tcPr>
          <w:p w14:paraId="2F25A4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150</w:t>
            </w:r>
          </w:p>
        </w:tc>
        <w:tc>
          <w:tcPr>
            <w:tcW w:w="1781" w:type="pct"/>
            <w:tcBorders>
              <w:tl2br w:val="nil"/>
              <w:tr2bl w:val="nil"/>
            </w:tcBorders>
            <w:vAlign w:val="center"/>
          </w:tcPr>
          <w:p w14:paraId="5755D18E">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0.155</w:t>
            </w:r>
          </w:p>
        </w:tc>
      </w:tr>
      <w:tr w14:paraId="2A4F6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68D800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6F894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SS</w:t>
            </w:r>
          </w:p>
        </w:tc>
        <w:tc>
          <w:tcPr>
            <w:tcW w:w="1496" w:type="pct"/>
            <w:tcBorders>
              <w:tl2br w:val="nil"/>
              <w:tr2bl w:val="nil"/>
            </w:tcBorders>
            <w:vAlign w:val="center"/>
          </w:tcPr>
          <w:p w14:paraId="68966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200</w:t>
            </w:r>
          </w:p>
        </w:tc>
        <w:tc>
          <w:tcPr>
            <w:tcW w:w="1781" w:type="pct"/>
            <w:tcBorders>
              <w:tl2br w:val="nil"/>
              <w:tr2bl w:val="nil"/>
            </w:tcBorders>
            <w:vAlign w:val="center"/>
          </w:tcPr>
          <w:p w14:paraId="12F84D9B">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0.207</w:t>
            </w:r>
          </w:p>
        </w:tc>
      </w:tr>
      <w:tr w14:paraId="0F60E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68729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468B9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氨氮</w:t>
            </w:r>
          </w:p>
        </w:tc>
        <w:tc>
          <w:tcPr>
            <w:tcW w:w="1496" w:type="pct"/>
            <w:tcBorders>
              <w:tl2br w:val="nil"/>
              <w:tr2bl w:val="nil"/>
            </w:tcBorders>
            <w:vAlign w:val="center"/>
          </w:tcPr>
          <w:p w14:paraId="41C28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25</w:t>
            </w:r>
          </w:p>
        </w:tc>
        <w:tc>
          <w:tcPr>
            <w:tcW w:w="1781" w:type="pct"/>
            <w:tcBorders>
              <w:tl2br w:val="nil"/>
              <w:tr2bl w:val="nil"/>
            </w:tcBorders>
            <w:vAlign w:val="center"/>
          </w:tcPr>
          <w:p w14:paraId="782BDF99">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0.026</w:t>
            </w:r>
          </w:p>
        </w:tc>
      </w:tr>
      <w:tr w14:paraId="385BF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5F375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3FD71B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动植物油</w:t>
            </w:r>
          </w:p>
        </w:tc>
        <w:tc>
          <w:tcPr>
            <w:tcW w:w="1496" w:type="pct"/>
            <w:tcBorders>
              <w:tl2br w:val="nil"/>
              <w:tr2bl w:val="nil"/>
            </w:tcBorders>
            <w:vAlign w:val="center"/>
          </w:tcPr>
          <w:p w14:paraId="07692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5</w:t>
            </w:r>
          </w:p>
        </w:tc>
        <w:tc>
          <w:tcPr>
            <w:tcW w:w="1781" w:type="pct"/>
            <w:tcBorders>
              <w:tl2br w:val="nil"/>
              <w:tr2bl w:val="nil"/>
            </w:tcBorders>
            <w:vAlign w:val="center"/>
          </w:tcPr>
          <w:p w14:paraId="32998911">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r>
    </w:tbl>
    <w:p w14:paraId="4C11DE5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zh-CN" w:bidi="ar"/>
        </w:rPr>
      </w:pPr>
      <w:r>
        <w:rPr>
          <w:rFonts w:hint="default" w:ascii="Times New Roman" w:hAnsi="Times New Roman" w:eastAsia="宋体" w:cs="Times New Roman"/>
          <w:snapToGrid w:val="0"/>
          <w:color w:val="auto"/>
          <w:kern w:val="0"/>
          <w:sz w:val="24"/>
          <w:szCs w:val="24"/>
          <w:highlight w:val="none"/>
          <w:lang w:bidi="ar"/>
        </w:rPr>
        <w:t>废水依托生活区</w:t>
      </w:r>
      <w:r>
        <w:rPr>
          <w:rFonts w:hint="default" w:ascii="Times New Roman" w:hAnsi="Times New Roman" w:eastAsia="宋体" w:cs="Times New Roman"/>
          <w:snapToGrid w:val="0"/>
          <w:color w:val="auto"/>
          <w:kern w:val="0"/>
          <w:sz w:val="24"/>
          <w:szCs w:val="24"/>
          <w:highlight w:val="none"/>
          <w:lang w:val="zh-CN" w:bidi="ar"/>
        </w:rPr>
        <w:t>化粪池暂存，定期拉运处理。</w:t>
      </w:r>
    </w:p>
    <w:p w14:paraId="539B01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kern w:val="0"/>
          <w:szCs w:val="28"/>
          <w:highlight w:val="none"/>
          <w:lang w:val="en-US" w:eastAsia="zh-CN"/>
        </w:rPr>
      </w:pPr>
      <w:r>
        <w:rPr>
          <w:rFonts w:hint="eastAsia" w:cs="Times New Roman"/>
          <w:b/>
          <w:bCs/>
          <w:color w:val="auto"/>
          <w:kern w:val="0"/>
          <w:szCs w:val="28"/>
          <w:highlight w:val="none"/>
          <w:lang w:val="en-US" w:eastAsia="zh-CN"/>
        </w:rPr>
        <w:t>3.4.1</w:t>
      </w:r>
      <w:r>
        <w:rPr>
          <w:rFonts w:hint="default" w:ascii="Times New Roman" w:hAnsi="Times New Roman" w:cs="Times New Roman"/>
          <w:b/>
          <w:bCs/>
          <w:color w:val="auto"/>
          <w:kern w:val="0"/>
          <w:szCs w:val="28"/>
          <w:highlight w:val="none"/>
          <w:lang w:val="en-US" w:eastAsia="zh-CN"/>
        </w:rPr>
        <w:t>.3噪声</w:t>
      </w:r>
    </w:p>
    <w:p w14:paraId="5B1076A8">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cs="Times New Roman"/>
          <w:color w:val="auto"/>
          <w:kern w:val="0"/>
          <w:szCs w:val="24"/>
          <w:highlight w:val="none"/>
          <w:lang w:bidi="ar"/>
        </w:rPr>
      </w:pPr>
      <w:bookmarkStart w:id="128" w:name="_Toc243820666"/>
      <w:bookmarkStart w:id="129" w:name="_Hlk149944911"/>
      <w:r>
        <w:rPr>
          <w:rFonts w:hint="default" w:ascii="Times New Roman" w:hAnsi="Times New Roman" w:cs="Times New Roman"/>
          <w:color w:val="auto"/>
          <w:kern w:val="0"/>
          <w:szCs w:val="24"/>
          <w:highlight w:val="none"/>
          <w:lang w:bidi="ar"/>
        </w:rPr>
        <w:t>本项目</w:t>
      </w:r>
      <w:r>
        <w:rPr>
          <w:rFonts w:hint="eastAsia" w:cs="Times New Roman"/>
          <w:color w:val="auto"/>
          <w:kern w:val="0"/>
          <w:szCs w:val="24"/>
          <w:highlight w:val="none"/>
          <w:lang w:eastAsia="zh-CN" w:bidi="ar"/>
        </w:rPr>
        <w:t>运营期</w:t>
      </w:r>
      <w:r>
        <w:rPr>
          <w:rFonts w:hint="default" w:ascii="Times New Roman" w:hAnsi="Times New Roman" w:cs="Times New Roman"/>
          <w:color w:val="auto"/>
          <w:kern w:val="0"/>
          <w:szCs w:val="24"/>
          <w:highlight w:val="none"/>
          <w:lang w:bidi="ar"/>
        </w:rPr>
        <w:t>的主要设备有颚式破碎机</w:t>
      </w:r>
      <w:r>
        <w:rPr>
          <w:rFonts w:hint="eastAsia" w:cs="Times New Roman"/>
          <w:color w:val="auto"/>
          <w:kern w:val="0"/>
          <w:szCs w:val="24"/>
          <w:highlight w:val="none"/>
          <w:lang w:eastAsia="zh-CN" w:bidi="ar"/>
        </w:rPr>
        <w:t>、锤式破碎机、</w:t>
      </w:r>
      <w:r>
        <w:rPr>
          <w:rFonts w:hint="eastAsia" w:cs="Times New Roman"/>
          <w:color w:val="auto"/>
          <w:kern w:val="0"/>
          <w:szCs w:val="24"/>
          <w:highlight w:val="none"/>
          <w:lang w:val="en-US" w:eastAsia="zh-CN" w:bidi="ar"/>
        </w:rPr>
        <w:t>球磨机、</w:t>
      </w:r>
      <w:r>
        <w:rPr>
          <w:rFonts w:hint="default" w:ascii="Times New Roman" w:hAnsi="Times New Roman" w:cs="Times New Roman"/>
          <w:color w:val="auto"/>
          <w:kern w:val="0"/>
          <w:szCs w:val="24"/>
          <w:highlight w:val="none"/>
          <w:lang w:bidi="ar"/>
        </w:rPr>
        <w:t>装载机、各种泵及运输车辆等，主要噪声源噪声产生与排放情况见下表。</w:t>
      </w:r>
    </w:p>
    <w:p w14:paraId="73F2663A">
      <w:pPr>
        <w:pStyle w:val="32"/>
        <w:keepNext w:val="0"/>
        <w:keepLines w:val="0"/>
        <w:pageBreakBefore w:val="0"/>
        <w:widowControl w:val="0"/>
        <w:tabs>
          <w:tab w:val="left" w:pos="908"/>
        </w:tabs>
        <w:kinsoku/>
        <w:wordWrap/>
        <w:overflowPunct/>
        <w:topLinePunct w:val="0"/>
        <w:autoSpaceDE/>
        <w:autoSpaceDN/>
        <w:bidi w:val="0"/>
        <w:adjustRightInd w:val="0"/>
        <w:snapToGrid w:val="0"/>
        <w:spacing w:after="0" w:line="240" w:lineRule="auto"/>
        <w:ind w:left="0" w:leftChars="0" w:right="0" w:firstLine="0" w:firstLineChars="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3.4-</w:t>
      </w:r>
      <w:r>
        <w:rPr>
          <w:rFonts w:hint="eastAsia" w:cs="Times New Roman"/>
          <w:b/>
          <w:color w:val="auto"/>
          <w:sz w:val="21"/>
          <w:szCs w:val="21"/>
          <w:highlight w:val="none"/>
          <w:lang w:val="en-US" w:eastAsia="zh-CN"/>
        </w:rPr>
        <w:t>10</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eastAsia="zh-CN"/>
        </w:rPr>
        <w:t>运营期主要噪声源</w:t>
      </w:r>
      <w:r>
        <w:rPr>
          <w:rFonts w:hint="default" w:ascii="Times New Roman" w:hAnsi="Times New Roman" w:eastAsia="宋体" w:cs="Times New Roman"/>
          <w:b/>
          <w:color w:val="auto"/>
          <w:sz w:val="21"/>
          <w:szCs w:val="21"/>
          <w:highlight w:val="none"/>
        </w:rPr>
        <w:t>噪声产生与排放情况表</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92"/>
        <w:gridCol w:w="1379"/>
        <w:gridCol w:w="1379"/>
        <w:gridCol w:w="1379"/>
        <w:gridCol w:w="1233"/>
        <w:gridCol w:w="1541"/>
      </w:tblGrid>
      <w:tr w14:paraId="765BFF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54DE84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编号</w:t>
            </w:r>
          </w:p>
        </w:tc>
        <w:tc>
          <w:tcPr>
            <w:tcW w:w="830" w:type="pct"/>
            <w:tcBorders>
              <w:tl2br w:val="nil"/>
              <w:tr2bl w:val="nil"/>
            </w:tcBorders>
            <w:vAlign w:val="top"/>
          </w:tcPr>
          <w:p w14:paraId="55135F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噪声源</w:t>
            </w:r>
          </w:p>
        </w:tc>
        <w:tc>
          <w:tcPr>
            <w:tcW w:w="830" w:type="pct"/>
            <w:tcBorders>
              <w:tl2br w:val="nil"/>
              <w:tr2bl w:val="nil"/>
            </w:tcBorders>
            <w:vAlign w:val="top"/>
          </w:tcPr>
          <w:p w14:paraId="39F746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噪声产生</w:t>
            </w:r>
          </w:p>
        </w:tc>
        <w:tc>
          <w:tcPr>
            <w:tcW w:w="830" w:type="pct"/>
            <w:tcBorders>
              <w:tl2br w:val="nil"/>
              <w:tr2bl w:val="nil"/>
            </w:tcBorders>
            <w:vAlign w:val="top"/>
          </w:tcPr>
          <w:p w14:paraId="336CC8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处理措施</w:t>
            </w:r>
          </w:p>
        </w:tc>
        <w:tc>
          <w:tcPr>
            <w:tcW w:w="742" w:type="pct"/>
            <w:tcBorders>
              <w:tl2br w:val="nil"/>
              <w:tr2bl w:val="nil"/>
            </w:tcBorders>
            <w:vAlign w:val="top"/>
          </w:tcPr>
          <w:p w14:paraId="48B1C5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降噪效果</w:t>
            </w:r>
          </w:p>
        </w:tc>
        <w:tc>
          <w:tcPr>
            <w:tcW w:w="927" w:type="pct"/>
            <w:tcBorders>
              <w:tl2br w:val="nil"/>
              <w:tr2bl w:val="nil"/>
            </w:tcBorders>
            <w:vAlign w:val="top"/>
          </w:tcPr>
          <w:p w14:paraId="4D6790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噪声排放</w:t>
            </w:r>
          </w:p>
        </w:tc>
      </w:tr>
      <w:tr w14:paraId="55CCAE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6171C8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p>
        </w:tc>
        <w:tc>
          <w:tcPr>
            <w:tcW w:w="830" w:type="pct"/>
            <w:tcBorders>
              <w:tl2br w:val="nil"/>
              <w:tr2bl w:val="nil"/>
            </w:tcBorders>
            <w:vAlign w:val="top"/>
          </w:tcPr>
          <w:p w14:paraId="23E083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装载车</w:t>
            </w:r>
          </w:p>
        </w:tc>
        <w:tc>
          <w:tcPr>
            <w:tcW w:w="830" w:type="pct"/>
            <w:tcBorders>
              <w:tl2br w:val="nil"/>
              <w:tr2bl w:val="nil"/>
            </w:tcBorders>
            <w:vAlign w:val="top"/>
          </w:tcPr>
          <w:p w14:paraId="735D96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85~90dB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tcBorders>
              <w:tl2br w:val="nil"/>
              <w:tr2bl w:val="nil"/>
            </w:tcBorders>
            <w:vAlign w:val="top"/>
          </w:tcPr>
          <w:p w14:paraId="519E16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w:t>
            </w:r>
          </w:p>
        </w:tc>
        <w:tc>
          <w:tcPr>
            <w:tcW w:w="742" w:type="pct"/>
            <w:tcBorders>
              <w:tl2br w:val="nil"/>
              <w:tr2bl w:val="nil"/>
            </w:tcBorders>
            <w:vAlign w:val="top"/>
          </w:tcPr>
          <w:p w14:paraId="42DCCE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w:t>
            </w:r>
          </w:p>
        </w:tc>
        <w:tc>
          <w:tcPr>
            <w:tcW w:w="927" w:type="pct"/>
            <w:tcBorders>
              <w:tl2br w:val="nil"/>
              <w:tr2bl w:val="nil"/>
            </w:tcBorders>
            <w:vAlign w:val="top"/>
          </w:tcPr>
          <w:p w14:paraId="00BEA9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85~90dB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0BD0B9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0B8966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2</w:t>
            </w:r>
          </w:p>
        </w:tc>
        <w:tc>
          <w:tcPr>
            <w:tcW w:w="830" w:type="pct"/>
            <w:tcBorders>
              <w:tl2br w:val="nil"/>
              <w:tr2bl w:val="nil"/>
            </w:tcBorders>
            <w:vAlign w:val="top"/>
          </w:tcPr>
          <w:p w14:paraId="39F3AD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eastAsia" w:cs="Times New Roman"/>
                <w:snapToGrid w:val="0"/>
                <w:color w:val="auto"/>
                <w:sz w:val="21"/>
                <w:szCs w:val="21"/>
                <w:highlight w:val="none"/>
                <w:lang w:val="en-US" w:eastAsia="zh-CN"/>
              </w:rPr>
              <w:t>各类泵</w:t>
            </w:r>
          </w:p>
        </w:tc>
        <w:tc>
          <w:tcPr>
            <w:tcW w:w="830" w:type="pct"/>
            <w:tcBorders>
              <w:tl2br w:val="nil"/>
              <w:tr2bl w:val="nil"/>
            </w:tcBorders>
            <w:vAlign w:val="top"/>
          </w:tcPr>
          <w:p w14:paraId="17EF49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95~ 105dB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restart"/>
            <w:tcBorders>
              <w:tl2br w:val="nil"/>
              <w:tr2bl w:val="nil"/>
            </w:tcBorders>
            <w:vAlign w:val="top"/>
          </w:tcPr>
          <w:p w14:paraId="57C158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安装</w:t>
            </w:r>
            <w:r>
              <w:rPr>
                <w:rFonts w:hint="eastAsia" w:cs="Times New Roman"/>
                <w:snapToGrid w:val="0"/>
                <w:color w:val="auto"/>
                <w:sz w:val="21"/>
                <w:szCs w:val="21"/>
                <w:highlight w:val="none"/>
                <w:lang w:eastAsia="zh-CN"/>
              </w:rPr>
              <w:t>减振</w:t>
            </w:r>
            <w:r>
              <w:rPr>
                <w:rFonts w:hint="default" w:ascii="Times New Roman" w:hAnsi="Times New Roman" w:cs="Times New Roman"/>
                <w:snapToGrid w:val="0"/>
                <w:color w:val="auto"/>
                <w:sz w:val="21"/>
                <w:szCs w:val="21"/>
                <w:highlight w:val="none"/>
              </w:rPr>
              <w:t>座、隔声罩</w:t>
            </w:r>
          </w:p>
        </w:tc>
        <w:tc>
          <w:tcPr>
            <w:tcW w:w="742" w:type="pct"/>
            <w:vMerge w:val="restart"/>
            <w:tcBorders>
              <w:tl2br w:val="nil"/>
              <w:tr2bl w:val="nil"/>
            </w:tcBorders>
            <w:vAlign w:val="top"/>
          </w:tcPr>
          <w:p w14:paraId="089762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15dB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927" w:type="pct"/>
            <w:tcBorders>
              <w:tl2br w:val="nil"/>
              <w:tr2bl w:val="nil"/>
            </w:tcBorders>
            <w:vAlign w:val="top"/>
          </w:tcPr>
          <w:p w14:paraId="6ADC9D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80~90dB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2CAFC9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24829B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3</w:t>
            </w:r>
          </w:p>
        </w:tc>
        <w:tc>
          <w:tcPr>
            <w:tcW w:w="830" w:type="pct"/>
            <w:tcBorders>
              <w:tl2br w:val="nil"/>
              <w:tr2bl w:val="nil"/>
            </w:tcBorders>
            <w:vAlign w:val="top"/>
          </w:tcPr>
          <w:p w14:paraId="10BCDF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风机</w:t>
            </w:r>
          </w:p>
        </w:tc>
        <w:tc>
          <w:tcPr>
            <w:tcW w:w="830" w:type="pct"/>
            <w:tcBorders>
              <w:tl2br w:val="nil"/>
              <w:tr2bl w:val="nil"/>
            </w:tcBorders>
            <w:vAlign w:val="top"/>
          </w:tcPr>
          <w:p w14:paraId="453F0C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85~ 100dB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continue"/>
            <w:tcBorders>
              <w:tl2br w:val="nil"/>
              <w:tr2bl w:val="nil"/>
            </w:tcBorders>
            <w:vAlign w:val="top"/>
          </w:tcPr>
          <w:p w14:paraId="405959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742" w:type="pct"/>
            <w:vMerge w:val="continue"/>
            <w:tcBorders>
              <w:tl2br w:val="nil"/>
              <w:tr2bl w:val="nil"/>
            </w:tcBorders>
            <w:vAlign w:val="top"/>
          </w:tcPr>
          <w:p w14:paraId="5585B7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p>
        </w:tc>
        <w:tc>
          <w:tcPr>
            <w:tcW w:w="927" w:type="pct"/>
            <w:tcBorders>
              <w:tl2br w:val="nil"/>
              <w:tr2bl w:val="nil"/>
            </w:tcBorders>
            <w:vAlign w:val="top"/>
          </w:tcPr>
          <w:p w14:paraId="5ED5CC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70~85dB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3ADF3E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2992A2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w:t>
            </w:r>
          </w:p>
        </w:tc>
        <w:tc>
          <w:tcPr>
            <w:tcW w:w="830" w:type="pct"/>
            <w:tcBorders>
              <w:tl2br w:val="nil"/>
              <w:tr2bl w:val="nil"/>
            </w:tcBorders>
            <w:vAlign w:val="top"/>
          </w:tcPr>
          <w:p w14:paraId="5C9869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颚式破碎机</w:t>
            </w:r>
          </w:p>
        </w:tc>
        <w:tc>
          <w:tcPr>
            <w:tcW w:w="830" w:type="pct"/>
            <w:tcBorders>
              <w:tl2br w:val="nil"/>
              <w:tr2bl w:val="nil"/>
            </w:tcBorders>
            <w:vAlign w:val="top"/>
          </w:tcPr>
          <w:p w14:paraId="55BBD1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85-114</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restart"/>
            <w:tcBorders>
              <w:tl2br w:val="nil"/>
              <w:tr2bl w:val="nil"/>
            </w:tcBorders>
            <w:vAlign w:val="top"/>
          </w:tcPr>
          <w:p w14:paraId="5E47F5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优选低噪声设备、基础减振降噪</w:t>
            </w:r>
          </w:p>
        </w:tc>
        <w:tc>
          <w:tcPr>
            <w:tcW w:w="742" w:type="pct"/>
            <w:vMerge w:val="continue"/>
            <w:tcBorders>
              <w:tl2br w:val="nil"/>
              <w:tr2bl w:val="nil"/>
            </w:tcBorders>
            <w:vAlign w:val="top"/>
          </w:tcPr>
          <w:p w14:paraId="74FC5E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927" w:type="pct"/>
            <w:tcBorders>
              <w:tl2br w:val="nil"/>
              <w:tr2bl w:val="nil"/>
            </w:tcBorders>
            <w:vAlign w:val="top"/>
          </w:tcPr>
          <w:p w14:paraId="17D9AD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70~99</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2202CB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2F853D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5</w:t>
            </w:r>
          </w:p>
        </w:tc>
        <w:tc>
          <w:tcPr>
            <w:tcW w:w="830" w:type="pct"/>
            <w:tcBorders>
              <w:tl2br w:val="nil"/>
              <w:tr2bl w:val="nil"/>
            </w:tcBorders>
            <w:vAlign w:val="top"/>
          </w:tcPr>
          <w:p w14:paraId="3DADD1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锤式破碎机</w:t>
            </w:r>
          </w:p>
        </w:tc>
        <w:tc>
          <w:tcPr>
            <w:tcW w:w="830" w:type="pct"/>
            <w:tcBorders>
              <w:tl2br w:val="nil"/>
              <w:tr2bl w:val="nil"/>
            </w:tcBorders>
            <w:vAlign w:val="top"/>
          </w:tcPr>
          <w:p w14:paraId="0D1AF2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85-114</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continue"/>
            <w:tcBorders>
              <w:tl2br w:val="nil"/>
              <w:tr2bl w:val="nil"/>
            </w:tcBorders>
            <w:vAlign w:val="top"/>
          </w:tcPr>
          <w:p w14:paraId="112D0E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742" w:type="pct"/>
            <w:vMerge w:val="continue"/>
            <w:tcBorders>
              <w:tl2br w:val="nil"/>
              <w:tr2bl w:val="nil"/>
            </w:tcBorders>
            <w:vAlign w:val="top"/>
          </w:tcPr>
          <w:p w14:paraId="111645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927" w:type="pct"/>
            <w:tcBorders>
              <w:tl2br w:val="nil"/>
              <w:tr2bl w:val="nil"/>
            </w:tcBorders>
            <w:vAlign w:val="top"/>
          </w:tcPr>
          <w:p w14:paraId="6D845D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eastAsia" w:cs="Times New Roman"/>
                <w:snapToGrid w:val="0"/>
                <w:color w:val="auto"/>
                <w:sz w:val="21"/>
                <w:szCs w:val="21"/>
                <w:highlight w:val="none"/>
                <w:lang w:val="en-US" w:eastAsia="zh-CN"/>
              </w:rPr>
              <w:t>70~99</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5E9D68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5EB9F8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6</w:t>
            </w:r>
          </w:p>
        </w:tc>
        <w:tc>
          <w:tcPr>
            <w:tcW w:w="830" w:type="pct"/>
            <w:tcBorders>
              <w:tl2br w:val="nil"/>
              <w:tr2bl w:val="nil"/>
            </w:tcBorders>
            <w:vAlign w:val="top"/>
          </w:tcPr>
          <w:p w14:paraId="0438D8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球磨机</w:t>
            </w:r>
          </w:p>
        </w:tc>
        <w:tc>
          <w:tcPr>
            <w:tcW w:w="830" w:type="pct"/>
            <w:tcBorders>
              <w:tl2br w:val="nil"/>
              <w:tr2bl w:val="nil"/>
            </w:tcBorders>
            <w:vAlign w:val="top"/>
          </w:tcPr>
          <w:p w14:paraId="136822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120-130</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continue"/>
            <w:tcBorders>
              <w:tl2br w:val="nil"/>
              <w:tr2bl w:val="nil"/>
            </w:tcBorders>
            <w:vAlign w:val="top"/>
          </w:tcPr>
          <w:p w14:paraId="70EC86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742" w:type="pct"/>
            <w:vMerge w:val="continue"/>
            <w:tcBorders>
              <w:tl2br w:val="nil"/>
              <w:tr2bl w:val="nil"/>
            </w:tcBorders>
            <w:vAlign w:val="top"/>
          </w:tcPr>
          <w:p w14:paraId="7DE88A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927" w:type="pct"/>
            <w:tcBorders>
              <w:tl2br w:val="nil"/>
              <w:tr2bl w:val="nil"/>
            </w:tcBorders>
            <w:vAlign w:val="top"/>
          </w:tcPr>
          <w:p w14:paraId="67F527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105~115</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bl>
    <w:p w14:paraId="0783C04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kern w:val="0"/>
          <w:szCs w:val="28"/>
          <w:highlight w:val="none"/>
          <w:lang w:val="en-US" w:eastAsia="zh-CN"/>
        </w:rPr>
      </w:pPr>
      <w:r>
        <w:rPr>
          <w:rFonts w:hint="eastAsia" w:cs="Times New Roman"/>
          <w:b/>
          <w:bCs/>
          <w:color w:val="auto"/>
          <w:kern w:val="0"/>
          <w:szCs w:val="28"/>
          <w:highlight w:val="none"/>
          <w:lang w:val="en-US" w:eastAsia="zh-CN"/>
        </w:rPr>
        <w:t>3.4.1</w:t>
      </w:r>
      <w:r>
        <w:rPr>
          <w:rFonts w:hint="default" w:ascii="Times New Roman" w:hAnsi="Times New Roman" w:cs="Times New Roman"/>
          <w:b/>
          <w:bCs/>
          <w:color w:val="auto"/>
          <w:kern w:val="0"/>
          <w:szCs w:val="28"/>
          <w:highlight w:val="none"/>
          <w:lang w:val="en-US" w:eastAsia="zh-CN"/>
        </w:rPr>
        <w:t>.4固体废物</w:t>
      </w:r>
      <w:bookmarkEnd w:id="128"/>
    </w:p>
    <w:bookmarkEnd w:id="122"/>
    <w:bookmarkEnd w:id="129"/>
    <w:p w14:paraId="062B62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bookmarkStart w:id="130" w:name="_Hlk149944936"/>
      <w:r>
        <w:rPr>
          <w:rFonts w:hint="default" w:ascii="Times New Roman" w:hAnsi="Times New Roman" w:cs="Times New Roman"/>
          <w:color w:val="auto"/>
          <w:kern w:val="0"/>
          <w:szCs w:val="28"/>
          <w:highlight w:val="none"/>
          <w:lang w:val="en-US" w:eastAsia="zh-CN"/>
        </w:rPr>
        <w:t>本项目</w:t>
      </w:r>
      <w:r>
        <w:rPr>
          <w:rFonts w:hint="eastAsia" w:cs="Times New Roman"/>
          <w:color w:val="auto"/>
          <w:kern w:val="0"/>
          <w:szCs w:val="28"/>
          <w:highlight w:val="none"/>
          <w:lang w:val="en-US" w:eastAsia="zh-CN"/>
        </w:rPr>
        <w:t>运营期</w:t>
      </w:r>
      <w:r>
        <w:rPr>
          <w:rFonts w:hint="default" w:ascii="Times New Roman" w:hAnsi="Times New Roman" w:cs="Times New Roman"/>
          <w:color w:val="auto"/>
          <w:kern w:val="0"/>
          <w:szCs w:val="28"/>
          <w:highlight w:val="none"/>
          <w:lang w:val="en-US" w:eastAsia="zh-CN"/>
        </w:rPr>
        <w:t>产生的固废主要有</w:t>
      </w:r>
      <w:r>
        <w:rPr>
          <w:rFonts w:hint="eastAsia" w:cs="Times New Roman"/>
          <w:color w:val="auto"/>
          <w:kern w:val="0"/>
          <w:szCs w:val="28"/>
          <w:highlight w:val="none"/>
          <w:lang w:val="en-US" w:eastAsia="zh-CN"/>
        </w:rPr>
        <w:t>浸出矿渣</w:t>
      </w:r>
      <w:r>
        <w:rPr>
          <w:rFonts w:hint="default" w:ascii="Times New Roman" w:hAnsi="Times New Roman" w:cs="Times New Roman"/>
          <w:color w:val="auto"/>
          <w:kern w:val="0"/>
          <w:szCs w:val="28"/>
          <w:highlight w:val="none"/>
          <w:lang w:val="en-US" w:eastAsia="zh-CN"/>
        </w:rPr>
        <w:t>、</w:t>
      </w:r>
      <w:r>
        <w:rPr>
          <w:rFonts w:hint="eastAsia" w:cs="Times New Roman"/>
          <w:color w:val="auto"/>
          <w:kern w:val="0"/>
          <w:szCs w:val="28"/>
          <w:highlight w:val="none"/>
          <w:lang w:val="en-US" w:eastAsia="zh-CN"/>
        </w:rPr>
        <w:t>收集粉尘</w:t>
      </w:r>
      <w:r>
        <w:rPr>
          <w:rFonts w:hint="default" w:ascii="Times New Roman" w:hAnsi="Times New Roman" w:cs="Times New Roman"/>
          <w:color w:val="auto"/>
          <w:kern w:val="0"/>
          <w:szCs w:val="28"/>
          <w:highlight w:val="none"/>
          <w:lang w:val="en-US" w:eastAsia="zh-CN"/>
        </w:rPr>
        <w:t>、废机油、</w:t>
      </w:r>
      <w:r>
        <w:rPr>
          <w:rFonts w:hint="eastAsia" w:cs="Times New Roman"/>
          <w:color w:val="auto"/>
          <w:kern w:val="0"/>
          <w:szCs w:val="28"/>
          <w:highlight w:val="none"/>
          <w:lang w:val="en-US" w:eastAsia="zh-CN"/>
        </w:rPr>
        <w:t>空油桶</w:t>
      </w:r>
      <w:r>
        <w:rPr>
          <w:rFonts w:hint="default" w:ascii="Times New Roman" w:hAnsi="Times New Roman" w:cs="Times New Roman"/>
          <w:color w:val="auto"/>
          <w:kern w:val="0"/>
          <w:szCs w:val="28"/>
          <w:highlight w:val="none"/>
          <w:lang w:val="en-US" w:eastAsia="zh-CN"/>
        </w:rPr>
        <w:t>、氢氧化钠包装袋</w:t>
      </w:r>
      <w:r>
        <w:rPr>
          <w:rFonts w:hint="eastAsia" w:cs="Times New Roman"/>
          <w:color w:val="auto"/>
          <w:kern w:val="0"/>
          <w:szCs w:val="28"/>
          <w:highlight w:val="none"/>
          <w:lang w:val="en-US" w:eastAsia="zh-CN"/>
        </w:rPr>
        <w:t>及废布袋</w:t>
      </w:r>
      <w:r>
        <w:rPr>
          <w:rFonts w:hint="default" w:ascii="Times New Roman" w:hAnsi="Times New Roman" w:cs="Times New Roman"/>
          <w:color w:val="auto"/>
          <w:kern w:val="0"/>
          <w:szCs w:val="28"/>
          <w:highlight w:val="none"/>
          <w:lang w:val="en-US" w:eastAsia="zh-CN"/>
        </w:rPr>
        <w:t>。</w:t>
      </w:r>
    </w:p>
    <w:p w14:paraId="0BAE3D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lang w:val="en-US" w:eastAsia="zh-CN"/>
        </w:rPr>
        <w:t>1</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rPr>
        <w:t>生活垃圾</w:t>
      </w:r>
    </w:p>
    <w:p w14:paraId="0A2660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项目新增员工30人，以每人每天产生</w:t>
      </w:r>
      <w:r>
        <w:rPr>
          <w:rFonts w:hint="eastAsia" w:cs="Times New Roman"/>
          <w:color w:val="auto"/>
          <w:kern w:val="0"/>
          <w:szCs w:val="28"/>
          <w:highlight w:val="none"/>
          <w:lang w:val="en-US" w:eastAsia="zh-CN"/>
        </w:rPr>
        <w:t>1</w:t>
      </w:r>
      <w:r>
        <w:rPr>
          <w:rFonts w:hint="default" w:ascii="Times New Roman" w:hAnsi="Times New Roman" w:cs="Times New Roman"/>
          <w:color w:val="auto"/>
          <w:kern w:val="0"/>
          <w:szCs w:val="28"/>
          <w:highlight w:val="none"/>
        </w:rPr>
        <w:t>kg生活垃圾计算，则共产生生活垃圾</w:t>
      </w:r>
      <w:r>
        <w:rPr>
          <w:rFonts w:hint="eastAsia" w:cs="Times New Roman"/>
          <w:color w:val="auto"/>
          <w:kern w:val="0"/>
          <w:szCs w:val="28"/>
          <w:highlight w:val="none"/>
          <w:lang w:val="en-US" w:eastAsia="zh-CN"/>
        </w:rPr>
        <w:t>30</w:t>
      </w:r>
      <w:r>
        <w:rPr>
          <w:rFonts w:hint="default" w:ascii="Times New Roman" w:hAnsi="Times New Roman" w:cs="Times New Roman"/>
          <w:color w:val="auto"/>
          <w:kern w:val="0"/>
          <w:szCs w:val="28"/>
          <w:highlight w:val="none"/>
        </w:rPr>
        <w:t>kg/d，</w:t>
      </w:r>
      <w:r>
        <w:rPr>
          <w:rFonts w:hint="eastAsia" w:cs="Times New Roman"/>
          <w:color w:val="auto"/>
          <w:kern w:val="0"/>
          <w:szCs w:val="28"/>
          <w:highlight w:val="none"/>
          <w:lang w:val="en-US" w:eastAsia="zh-CN"/>
        </w:rPr>
        <w:t>7.5</w:t>
      </w:r>
      <w:r>
        <w:rPr>
          <w:rFonts w:hint="default" w:ascii="Times New Roman" w:hAnsi="Times New Roman" w:cs="Times New Roman"/>
          <w:color w:val="auto"/>
          <w:kern w:val="0"/>
          <w:szCs w:val="28"/>
          <w:highlight w:val="none"/>
        </w:rPr>
        <w:t>t/a；此类垃圾分类收集于生活垃圾箱中，</w:t>
      </w:r>
      <w:r>
        <w:rPr>
          <w:rFonts w:hint="eastAsia" w:cs="Times New Roman"/>
          <w:color w:val="auto"/>
          <w:kern w:val="0"/>
          <w:szCs w:val="28"/>
          <w:highlight w:val="none"/>
          <w:lang w:val="en-US" w:eastAsia="zh-CN"/>
        </w:rPr>
        <w:t>由环卫部门</w:t>
      </w:r>
      <w:r>
        <w:rPr>
          <w:rFonts w:hint="default" w:ascii="Times New Roman" w:hAnsi="Times New Roman" w:cs="Times New Roman"/>
          <w:color w:val="auto"/>
          <w:kern w:val="0"/>
          <w:szCs w:val="28"/>
          <w:highlight w:val="none"/>
        </w:rPr>
        <w:t>定期清运至生活垃圾填埋场</w:t>
      </w:r>
      <w:r>
        <w:rPr>
          <w:rFonts w:hint="eastAsia" w:cs="Times New Roman"/>
          <w:color w:val="auto"/>
          <w:kern w:val="0"/>
          <w:szCs w:val="28"/>
          <w:highlight w:val="none"/>
          <w:lang w:val="en-US" w:eastAsia="zh-CN"/>
        </w:rPr>
        <w:t>填埋</w:t>
      </w:r>
      <w:r>
        <w:rPr>
          <w:rFonts w:hint="default" w:ascii="Times New Roman" w:hAnsi="Times New Roman" w:cs="Times New Roman"/>
          <w:color w:val="auto"/>
          <w:kern w:val="0"/>
          <w:szCs w:val="28"/>
          <w:highlight w:val="none"/>
        </w:rPr>
        <w:t>。</w:t>
      </w:r>
    </w:p>
    <w:p w14:paraId="3D5EB9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eastAsia="宋体" w:cs="Times New Roman"/>
          <w:color w:val="auto"/>
          <w:kern w:val="0"/>
          <w:sz w:val="24"/>
          <w:szCs w:val="28"/>
          <w:highlight w:val="none"/>
          <w:lang w:val="en-US" w:eastAsia="zh-CN" w:bidi="ar-SA"/>
        </w:rPr>
        <w:t>（</w:t>
      </w:r>
      <w:r>
        <w:rPr>
          <w:rFonts w:hint="eastAsia" w:cs="Times New Roman"/>
          <w:color w:val="auto"/>
          <w:kern w:val="0"/>
          <w:sz w:val="24"/>
          <w:szCs w:val="28"/>
          <w:highlight w:val="none"/>
          <w:lang w:val="en-US" w:eastAsia="zh-CN" w:bidi="ar-SA"/>
        </w:rPr>
        <w:t>2</w:t>
      </w:r>
      <w:r>
        <w:rPr>
          <w:rFonts w:hint="default" w:ascii="Times New Roman" w:hAnsi="Times New Roman" w:eastAsia="宋体" w:cs="Times New Roman"/>
          <w:color w:val="auto"/>
          <w:kern w:val="0"/>
          <w:sz w:val="24"/>
          <w:szCs w:val="28"/>
          <w:highlight w:val="none"/>
          <w:lang w:val="en-US" w:eastAsia="zh-CN" w:bidi="ar-SA"/>
        </w:rPr>
        <w:t>）</w:t>
      </w:r>
      <w:r>
        <w:rPr>
          <w:rFonts w:hint="default" w:ascii="Times New Roman" w:hAnsi="Times New Roman" w:cs="Times New Roman"/>
          <w:color w:val="auto"/>
          <w:kern w:val="0"/>
          <w:szCs w:val="28"/>
          <w:highlight w:val="none"/>
          <w:lang w:val="en-US" w:eastAsia="zh-CN"/>
        </w:rPr>
        <w:t>浸出矿渣</w:t>
      </w:r>
    </w:p>
    <w:p w14:paraId="4AD537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val="en-US" w:eastAsia="zh-CN"/>
        </w:rPr>
        <w:t>项目产生的浸出矿渣约496500t，按照《铜冶炼污染防治可行技术指南》中“2.2.3 固体废物污染：湿法炼铜排放的固体废物主要为浸出渣。湿法炼铜浸出渣、脱硫副产物的属性需经过鉴别，并根据其性质和类别确定处理处置方式。</w:t>
      </w:r>
      <w:r>
        <w:rPr>
          <w:rFonts w:hint="eastAsia" w:cs="Times New Roman"/>
          <w:color w:val="auto"/>
          <w:kern w:val="0"/>
          <w:szCs w:val="28"/>
          <w:highlight w:val="none"/>
          <w:lang w:val="en-US" w:eastAsia="zh-CN"/>
        </w:rPr>
        <w:t>”的要求进行鉴别，鉴别前</w:t>
      </w:r>
      <w:r>
        <w:rPr>
          <w:rFonts w:hint="default" w:ascii="Times New Roman" w:hAnsi="Times New Roman" w:cs="Times New Roman"/>
          <w:color w:val="auto"/>
          <w:kern w:val="0"/>
          <w:szCs w:val="28"/>
          <w:highlight w:val="none"/>
          <w:lang w:val="en-US" w:eastAsia="zh-CN"/>
        </w:rPr>
        <w:t>的浸出渣按照《危险废物贮存污染控制标准》（GB18597-2023）进行管理，暂存于</w:t>
      </w:r>
      <w:r>
        <w:rPr>
          <w:rFonts w:hint="eastAsia" w:cs="Times New Roman"/>
          <w:color w:val="auto"/>
          <w:kern w:val="0"/>
          <w:szCs w:val="28"/>
          <w:highlight w:val="none"/>
          <w:lang w:val="en-US" w:eastAsia="zh-CN"/>
        </w:rPr>
        <w:t>危废贮存库</w:t>
      </w:r>
      <w:r>
        <w:rPr>
          <w:rFonts w:hint="default" w:ascii="Times New Roman" w:hAnsi="Times New Roman" w:cs="Times New Roman"/>
          <w:color w:val="auto"/>
          <w:kern w:val="0"/>
          <w:szCs w:val="28"/>
          <w:highlight w:val="none"/>
          <w:lang w:val="en-US" w:eastAsia="zh-CN"/>
        </w:rPr>
        <w:t>内</w:t>
      </w:r>
      <w:r>
        <w:rPr>
          <w:rFonts w:hint="eastAsia" w:cs="Times New Roman"/>
          <w:color w:val="auto"/>
          <w:kern w:val="0"/>
          <w:szCs w:val="28"/>
          <w:highlight w:val="none"/>
          <w:lang w:val="en-US" w:eastAsia="zh-CN"/>
        </w:rPr>
        <w:t>，若</w:t>
      </w:r>
      <w:r>
        <w:rPr>
          <w:rFonts w:hint="default" w:ascii="Times New Roman" w:hAnsi="Times New Roman" w:cs="Times New Roman"/>
          <w:color w:val="auto"/>
          <w:kern w:val="0"/>
          <w:szCs w:val="28"/>
          <w:highlight w:val="none"/>
          <w:lang w:val="en-US" w:eastAsia="zh-CN"/>
        </w:rPr>
        <w:t>鉴别结果为危险废物，收集后交由有相应危险废物处理资质的单位处置，若属于一般固体废物，则暂存于尾矿库中，并采取苫盖防尘网定期洒水等措施有效抑制扬尘产生，外售下游企业</w:t>
      </w:r>
      <w:r>
        <w:rPr>
          <w:rFonts w:hint="eastAsia" w:cs="Times New Roman"/>
          <w:color w:val="auto"/>
          <w:kern w:val="0"/>
          <w:szCs w:val="28"/>
          <w:highlight w:val="none"/>
          <w:lang w:val="en-US" w:eastAsia="zh-CN"/>
        </w:rPr>
        <w:t>。</w:t>
      </w:r>
    </w:p>
    <w:p w14:paraId="78AC79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w:t>
      </w:r>
      <w:r>
        <w:rPr>
          <w:rFonts w:hint="eastAsia" w:cs="Times New Roman"/>
          <w:color w:val="auto"/>
          <w:kern w:val="0"/>
          <w:szCs w:val="28"/>
          <w:highlight w:val="none"/>
          <w:lang w:val="en-US" w:eastAsia="zh-CN"/>
        </w:rPr>
        <w:t>3</w:t>
      </w:r>
      <w:r>
        <w:rPr>
          <w:rFonts w:hint="default" w:ascii="Times New Roman" w:hAnsi="Times New Roman" w:cs="Times New Roman"/>
          <w:color w:val="auto"/>
          <w:kern w:val="0"/>
          <w:szCs w:val="28"/>
          <w:highlight w:val="none"/>
          <w:lang w:eastAsia="zh-CN"/>
        </w:rPr>
        <w:t>）收集尘</w:t>
      </w:r>
    </w:p>
    <w:p w14:paraId="69095D7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破碎系统除尘器收集的收集尘470.26t/a，全部回用于生产。根据《国家危险废物名录（2025版）》，铜冶炼烟气收尘属于危险废物，废物类别HW48（废物代码091-001-48），危险特性T。</w:t>
      </w:r>
    </w:p>
    <w:p w14:paraId="4EDD03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rPr>
      </w:pPr>
      <w:r>
        <w:rPr>
          <w:rFonts w:hint="eastAsia" w:ascii="Times New Roman" w:hAnsi="Times New Roman" w:eastAsia="宋体" w:cs="Times New Roman"/>
          <w:snapToGrid w:val="0"/>
          <w:color w:val="auto"/>
          <w:spacing w:val="0"/>
          <w:kern w:val="0"/>
          <w:sz w:val="24"/>
          <w:szCs w:val="24"/>
          <w:highlight w:val="none"/>
          <w:lang w:eastAsia="zh-CN"/>
        </w:rPr>
        <w:t>（</w:t>
      </w:r>
      <w:r>
        <w:rPr>
          <w:rFonts w:hint="eastAsia" w:ascii="Times New Roman" w:hAnsi="Times New Roman" w:eastAsia="宋体" w:cs="Times New Roman"/>
          <w:snapToGrid w:val="0"/>
          <w:color w:val="auto"/>
          <w:spacing w:val="0"/>
          <w:kern w:val="0"/>
          <w:sz w:val="24"/>
          <w:szCs w:val="24"/>
          <w:highlight w:val="none"/>
          <w:lang w:val="en-US" w:eastAsia="zh-CN"/>
        </w:rPr>
        <w:t>4</w:t>
      </w:r>
      <w:r>
        <w:rPr>
          <w:rFonts w:hint="eastAsia" w:ascii="Times New Roman" w:hAnsi="Times New Roman" w:eastAsia="宋体" w:cs="Times New Roman"/>
          <w:snapToGrid w:val="0"/>
          <w:color w:val="auto"/>
          <w:spacing w:val="0"/>
          <w:kern w:val="0"/>
          <w:sz w:val="24"/>
          <w:szCs w:val="24"/>
          <w:highlight w:val="none"/>
          <w:lang w:eastAsia="zh-CN"/>
        </w:rPr>
        <w:t>）</w:t>
      </w:r>
      <w:r>
        <w:rPr>
          <w:rFonts w:hint="default" w:ascii="Times New Roman" w:hAnsi="Times New Roman" w:eastAsia="宋体" w:cs="Times New Roman"/>
          <w:snapToGrid w:val="0"/>
          <w:color w:val="auto"/>
          <w:spacing w:val="0"/>
          <w:kern w:val="0"/>
          <w:sz w:val="24"/>
          <w:szCs w:val="24"/>
          <w:highlight w:val="none"/>
        </w:rPr>
        <w:t>废弃除尘布袋</w:t>
      </w:r>
    </w:p>
    <w:p w14:paraId="6EC892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rPr>
      </w:pPr>
      <w:r>
        <w:rPr>
          <w:rFonts w:hint="default" w:ascii="Times New Roman" w:hAnsi="Times New Roman" w:eastAsia="宋体" w:cs="Times New Roman"/>
          <w:snapToGrid w:val="0"/>
          <w:color w:val="auto"/>
          <w:spacing w:val="0"/>
          <w:kern w:val="0"/>
          <w:sz w:val="24"/>
          <w:szCs w:val="24"/>
          <w:highlight w:val="none"/>
        </w:rPr>
        <w:t>本项目</w:t>
      </w:r>
      <w:r>
        <w:rPr>
          <w:rFonts w:hint="default" w:ascii="Times New Roman" w:hAnsi="Times New Roman" w:eastAsia="宋体" w:cs="Times New Roman"/>
          <w:snapToGrid w:val="0"/>
          <w:color w:val="auto"/>
          <w:spacing w:val="0"/>
          <w:kern w:val="0"/>
          <w:sz w:val="24"/>
          <w:szCs w:val="24"/>
          <w:highlight w:val="none"/>
          <w:lang w:eastAsia="zh-CN"/>
        </w:rPr>
        <w:t>生产过程中废气通过</w:t>
      </w:r>
      <w:r>
        <w:rPr>
          <w:rFonts w:hint="default" w:ascii="Times New Roman" w:hAnsi="Times New Roman" w:eastAsia="宋体" w:cs="Times New Roman"/>
          <w:snapToGrid w:val="0"/>
          <w:color w:val="auto"/>
          <w:spacing w:val="0"/>
          <w:kern w:val="0"/>
          <w:sz w:val="24"/>
          <w:szCs w:val="24"/>
          <w:highlight w:val="none"/>
        </w:rPr>
        <w:t>布袋除尘器进行收尘，其中的布袋需要定期更换，滤袋是袋式除尘器的核心部件，滤袋使用寿命根据不同滤袋材质和使用的工况而不同，使用寿命一般为3至4年，滤袋每隔数年需更换，更换下来的废弃滤袋数量大，处置不当将会产生新的污染源。根据企业提供资料，废布袋产生量约为9t，约3年更换一次，定期委托有资质的单位处理。</w:t>
      </w:r>
    </w:p>
    <w:p w14:paraId="08E422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w:t>
      </w:r>
      <w:r>
        <w:rPr>
          <w:rFonts w:hint="eastAsia" w:cs="Times New Roman"/>
          <w:color w:val="auto"/>
          <w:kern w:val="0"/>
          <w:szCs w:val="28"/>
          <w:highlight w:val="none"/>
          <w:lang w:val="en-US" w:eastAsia="zh-CN"/>
        </w:rPr>
        <w:t>5</w:t>
      </w:r>
      <w:r>
        <w:rPr>
          <w:rFonts w:hint="default" w:ascii="Times New Roman" w:hAnsi="Times New Roman" w:cs="Times New Roman"/>
          <w:color w:val="auto"/>
          <w:kern w:val="0"/>
          <w:szCs w:val="28"/>
          <w:highlight w:val="none"/>
          <w:lang w:eastAsia="zh-CN"/>
        </w:rPr>
        <w:t>）氢氧化钠包装袋</w:t>
      </w:r>
    </w:p>
    <w:p w14:paraId="1ACBAE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本项目碱洗塔使用氢氧化钠将产生氢氧化钠包装袋，根据建设单位提供资料，本项目氢氧化钠包装袋产生量为0.0</w:t>
      </w:r>
      <w:r>
        <w:rPr>
          <w:rFonts w:hint="eastAsia" w:cs="Times New Roman"/>
          <w:color w:val="auto"/>
          <w:kern w:val="0"/>
          <w:szCs w:val="28"/>
          <w:highlight w:val="none"/>
          <w:lang w:val="en-US" w:eastAsia="zh-CN"/>
        </w:rPr>
        <w:t>5</w:t>
      </w:r>
      <w:r>
        <w:rPr>
          <w:rFonts w:hint="default" w:ascii="Times New Roman" w:hAnsi="Times New Roman" w:cs="Times New Roman"/>
          <w:color w:val="auto"/>
          <w:kern w:val="0"/>
          <w:szCs w:val="28"/>
          <w:highlight w:val="none"/>
          <w:lang w:eastAsia="zh-CN"/>
        </w:rPr>
        <w:t>t/a。氢氧化钠包装袋通过对照《国家危险废物名录（2025年版）》，氢氧化钠包装袋属于危险废物，危废代码为（HW49，900-041-49），本项目生产过程中产生的氢氧化钠包装袋统一收集，暂存在危险废物贮存点，委托有资质的单位统一处理。</w:t>
      </w:r>
    </w:p>
    <w:p w14:paraId="4AB4D0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w:t>
      </w:r>
      <w:r>
        <w:rPr>
          <w:rFonts w:hint="eastAsia" w:cs="Times New Roman"/>
          <w:color w:val="auto"/>
          <w:kern w:val="0"/>
          <w:szCs w:val="28"/>
          <w:highlight w:val="none"/>
          <w:lang w:val="en-US" w:eastAsia="zh-CN"/>
        </w:rPr>
        <w:t>6</w:t>
      </w:r>
      <w:r>
        <w:rPr>
          <w:rFonts w:hint="default" w:ascii="Times New Roman" w:hAnsi="Times New Roman" w:cs="Times New Roman"/>
          <w:color w:val="auto"/>
          <w:kern w:val="0"/>
          <w:szCs w:val="28"/>
          <w:highlight w:val="none"/>
          <w:lang w:eastAsia="zh-CN"/>
        </w:rPr>
        <w:t>）废润滑油</w:t>
      </w:r>
    </w:p>
    <w:p w14:paraId="658D69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本项目设备维护、更换和拆解过程中产生的废润滑油，产生量约为0.1t/a，收集、储存于</w:t>
      </w:r>
      <w:r>
        <w:rPr>
          <w:rFonts w:hint="eastAsia" w:cs="Times New Roman"/>
          <w:color w:val="auto"/>
          <w:kern w:val="0"/>
          <w:szCs w:val="28"/>
          <w:highlight w:val="none"/>
          <w:lang w:eastAsia="zh-CN"/>
        </w:rPr>
        <w:t>危废贮存库</w:t>
      </w:r>
      <w:r>
        <w:rPr>
          <w:rFonts w:hint="default" w:ascii="Times New Roman" w:hAnsi="Times New Roman" w:cs="Times New Roman"/>
          <w:color w:val="auto"/>
          <w:kern w:val="0"/>
          <w:szCs w:val="28"/>
          <w:highlight w:val="none"/>
          <w:lang w:eastAsia="zh-CN"/>
        </w:rPr>
        <w:t>，交由有资质的机构处理。根据《国家危险废物名录（2025年版）》，废润滑油属于危险废物，危险废物代码为（HW08，900-217-08），暂存在危险废物贮存点，委托有资质的单位处理。</w:t>
      </w:r>
    </w:p>
    <w:p w14:paraId="63360C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w:t>
      </w:r>
      <w:r>
        <w:rPr>
          <w:rFonts w:hint="eastAsia" w:cs="Times New Roman"/>
          <w:color w:val="auto"/>
          <w:kern w:val="0"/>
          <w:szCs w:val="28"/>
          <w:highlight w:val="none"/>
          <w:lang w:val="en-US" w:eastAsia="zh-CN"/>
        </w:rPr>
        <w:t>7</w:t>
      </w:r>
      <w:r>
        <w:rPr>
          <w:rFonts w:hint="default" w:ascii="Times New Roman" w:hAnsi="Times New Roman" w:cs="Times New Roman"/>
          <w:color w:val="auto"/>
          <w:kern w:val="0"/>
          <w:szCs w:val="28"/>
          <w:highlight w:val="none"/>
          <w:lang w:eastAsia="zh-CN"/>
        </w:rPr>
        <w:t>）空油桶</w:t>
      </w:r>
    </w:p>
    <w:p w14:paraId="124B5E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eastAsia="zh-CN"/>
        </w:rPr>
        <w:t>本项目在使用矿物油时产生的空油桶约为0.0</w:t>
      </w:r>
      <w:r>
        <w:rPr>
          <w:rFonts w:hint="eastAsia" w:cs="Times New Roman"/>
          <w:color w:val="auto"/>
          <w:kern w:val="0"/>
          <w:szCs w:val="28"/>
          <w:highlight w:val="none"/>
          <w:lang w:val="en-US" w:eastAsia="zh-CN"/>
        </w:rPr>
        <w:t>6</w:t>
      </w:r>
      <w:r>
        <w:rPr>
          <w:rFonts w:hint="default" w:ascii="Times New Roman" w:hAnsi="Times New Roman" w:cs="Times New Roman"/>
          <w:color w:val="auto"/>
          <w:kern w:val="0"/>
          <w:szCs w:val="28"/>
          <w:highlight w:val="none"/>
          <w:lang w:eastAsia="zh-CN"/>
        </w:rPr>
        <w:t>t/a，收集、储存于</w:t>
      </w:r>
      <w:r>
        <w:rPr>
          <w:rFonts w:hint="eastAsia" w:cs="Times New Roman"/>
          <w:color w:val="auto"/>
          <w:kern w:val="0"/>
          <w:szCs w:val="28"/>
          <w:highlight w:val="none"/>
          <w:lang w:eastAsia="zh-CN"/>
        </w:rPr>
        <w:t>危废贮存库</w:t>
      </w:r>
      <w:r>
        <w:rPr>
          <w:rFonts w:hint="default" w:ascii="Times New Roman" w:hAnsi="Times New Roman" w:cs="Times New Roman"/>
          <w:color w:val="auto"/>
          <w:kern w:val="0"/>
          <w:szCs w:val="28"/>
          <w:highlight w:val="none"/>
          <w:lang w:eastAsia="zh-CN"/>
        </w:rPr>
        <w:t>，交由有资质的单位处理。根据《国家危险废物名录（2025年版）》，沾染矿物油的废弃包装物属于危险废物，危废代码为（HW08，900-249-08），暂存在危险废物贮存点，委托有资质的单位统一处理。</w:t>
      </w:r>
    </w:p>
    <w:p w14:paraId="672C63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项目</w:t>
      </w:r>
      <w:r>
        <w:rPr>
          <w:rFonts w:hint="eastAsia" w:cs="Times New Roman"/>
          <w:color w:val="auto"/>
          <w:kern w:val="0"/>
          <w:szCs w:val="28"/>
          <w:highlight w:val="none"/>
          <w:lang w:val="en-US" w:eastAsia="zh-CN"/>
        </w:rPr>
        <w:t>固体</w:t>
      </w:r>
      <w:r>
        <w:rPr>
          <w:rFonts w:hint="default" w:ascii="Times New Roman" w:hAnsi="Times New Roman" w:cs="Times New Roman"/>
          <w:color w:val="auto"/>
          <w:kern w:val="0"/>
          <w:szCs w:val="28"/>
          <w:highlight w:val="none"/>
        </w:rPr>
        <w:t>废物产生与排放情况见下表。</w:t>
      </w:r>
    </w:p>
    <w:p w14:paraId="7C56F7FD">
      <w:pPr>
        <w:pStyle w:val="32"/>
        <w:keepNext w:val="0"/>
        <w:keepLines w:val="0"/>
        <w:pageBreakBefore w:val="0"/>
        <w:widowControl w:val="0"/>
        <w:tabs>
          <w:tab w:val="left" w:pos="908"/>
        </w:tabs>
        <w:kinsoku/>
        <w:wordWrap/>
        <w:overflowPunct/>
        <w:topLinePunct w:val="0"/>
        <w:autoSpaceDE/>
        <w:autoSpaceDN/>
        <w:bidi w:val="0"/>
        <w:adjustRightInd w:val="0"/>
        <w:snapToGrid w:val="0"/>
        <w:spacing w:after="0" w:line="240" w:lineRule="auto"/>
        <w:ind w:left="0" w:leftChars="0" w:right="0" w:firstLine="0" w:firstLineChars="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eastAsia="zh-CN"/>
        </w:rPr>
        <w:t>3.4-</w:t>
      </w:r>
      <w:r>
        <w:rPr>
          <w:rFonts w:hint="eastAsia" w:cs="Times New Roman"/>
          <w:b/>
          <w:color w:val="auto"/>
          <w:sz w:val="21"/>
          <w:szCs w:val="21"/>
          <w:highlight w:val="none"/>
          <w:lang w:val="en-US" w:eastAsia="zh-CN"/>
        </w:rPr>
        <w:t>10</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val="en-US" w:eastAsia="zh-CN"/>
        </w:rPr>
        <w:t>固体</w:t>
      </w:r>
      <w:r>
        <w:rPr>
          <w:rFonts w:hint="default" w:ascii="Times New Roman" w:hAnsi="Times New Roman" w:eastAsia="宋体" w:cs="Times New Roman"/>
          <w:b/>
          <w:color w:val="auto"/>
          <w:sz w:val="21"/>
          <w:szCs w:val="21"/>
          <w:highlight w:val="none"/>
        </w:rPr>
        <w:t>废物产生与排放情况表</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1808"/>
        <w:gridCol w:w="632"/>
        <w:gridCol w:w="886"/>
        <w:gridCol w:w="1115"/>
        <w:gridCol w:w="1266"/>
        <w:gridCol w:w="1603"/>
      </w:tblGrid>
      <w:tr w14:paraId="20FDB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708" w:type="pct"/>
            <w:tcBorders>
              <w:tl2br w:val="nil"/>
              <w:tr2bl w:val="nil"/>
            </w:tcBorders>
            <w:noWrap w:val="0"/>
            <w:vAlign w:val="center"/>
          </w:tcPr>
          <w:p w14:paraId="4115A214">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p w14:paraId="1351B164">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1061" w:type="pct"/>
            <w:tcBorders>
              <w:tl2br w:val="nil"/>
              <w:tr2bl w:val="nil"/>
            </w:tcBorders>
            <w:noWrap w:val="0"/>
            <w:vAlign w:val="center"/>
          </w:tcPr>
          <w:p w14:paraId="79060942">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371" w:type="pct"/>
            <w:tcBorders>
              <w:tl2br w:val="nil"/>
              <w:tr2bl w:val="nil"/>
            </w:tcBorders>
            <w:noWrap w:val="0"/>
            <w:vAlign w:val="center"/>
          </w:tcPr>
          <w:p w14:paraId="0B721149">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物理性状</w:t>
            </w:r>
          </w:p>
        </w:tc>
        <w:tc>
          <w:tcPr>
            <w:tcW w:w="520" w:type="pct"/>
            <w:tcBorders>
              <w:tl2br w:val="nil"/>
              <w:tr2bl w:val="nil"/>
            </w:tcBorders>
            <w:noWrap w:val="0"/>
            <w:vAlign w:val="center"/>
          </w:tcPr>
          <w:p w14:paraId="595AB1C0">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环境危险特性</w:t>
            </w:r>
          </w:p>
        </w:tc>
        <w:tc>
          <w:tcPr>
            <w:tcW w:w="654" w:type="pct"/>
            <w:tcBorders>
              <w:tl2br w:val="nil"/>
              <w:tr2bl w:val="nil"/>
            </w:tcBorders>
            <w:noWrap w:val="0"/>
            <w:vAlign w:val="center"/>
          </w:tcPr>
          <w:p w14:paraId="502F8401">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年度产生量</w:t>
            </w:r>
          </w:p>
          <w:p w14:paraId="61B9CFDA">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743" w:type="pct"/>
            <w:tcBorders>
              <w:tl2br w:val="nil"/>
              <w:tr2bl w:val="nil"/>
            </w:tcBorders>
            <w:noWrap w:val="0"/>
            <w:vAlign w:val="center"/>
          </w:tcPr>
          <w:p w14:paraId="34C44F66">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贮存方式</w:t>
            </w:r>
          </w:p>
        </w:tc>
        <w:tc>
          <w:tcPr>
            <w:tcW w:w="940" w:type="pct"/>
            <w:tcBorders>
              <w:tl2br w:val="nil"/>
              <w:tr2bl w:val="nil"/>
            </w:tcBorders>
            <w:noWrap w:val="0"/>
            <w:vAlign w:val="center"/>
          </w:tcPr>
          <w:p w14:paraId="7DB76334">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最终去向</w:t>
            </w:r>
          </w:p>
        </w:tc>
      </w:tr>
      <w:tr w14:paraId="4E3E6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08" w:type="pct"/>
            <w:tcBorders>
              <w:tl2br w:val="nil"/>
              <w:tr2bl w:val="nil"/>
            </w:tcBorders>
            <w:noWrap w:val="0"/>
            <w:vAlign w:val="center"/>
          </w:tcPr>
          <w:p w14:paraId="6795D1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napToGrid w:val="0"/>
                <w:color w:val="auto"/>
                <w:spacing w:val="0"/>
                <w:kern w:val="0"/>
                <w:position w:val="0"/>
                <w:sz w:val="21"/>
                <w:szCs w:val="21"/>
                <w:highlight w:val="none"/>
                <w:lang w:val="en-US" w:eastAsia="zh-CN"/>
              </w:rPr>
              <w:t>收集尘</w:t>
            </w:r>
          </w:p>
        </w:tc>
        <w:tc>
          <w:tcPr>
            <w:tcW w:w="1061" w:type="pct"/>
            <w:tcBorders>
              <w:tl2br w:val="nil"/>
              <w:tr2bl w:val="nil"/>
            </w:tcBorders>
            <w:noWrap w:val="0"/>
            <w:vAlign w:val="center"/>
          </w:tcPr>
          <w:p w14:paraId="40F19655">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HW48</w:t>
            </w:r>
          </w:p>
          <w:p w14:paraId="6CBC0D84">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091-001-48</w:t>
            </w:r>
          </w:p>
        </w:tc>
        <w:tc>
          <w:tcPr>
            <w:tcW w:w="371" w:type="pct"/>
            <w:tcBorders>
              <w:tl2br w:val="nil"/>
              <w:tr2bl w:val="nil"/>
            </w:tcBorders>
            <w:noWrap w:val="0"/>
            <w:vAlign w:val="center"/>
          </w:tcPr>
          <w:p w14:paraId="5C927F96">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520" w:type="pct"/>
            <w:tcBorders>
              <w:tl2br w:val="nil"/>
              <w:tr2bl w:val="nil"/>
            </w:tcBorders>
            <w:noWrap w:val="0"/>
            <w:vAlign w:val="center"/>
          </w:tcPr>
          <w:p w14:paraId="79F542AB">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654" w:type="pct"/>
            <w:tcBorders>
              <w:tl2br w:val="nil"/>
              <w:tr2bl w:val="nil"/>
            </w:tcBorders>
            <w:noWrap w:val="0"/>
            <w:vAlign w:val="center"/>
          </w:tcPr>
          <w:p w14:paraId="21DEE7C1">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cs="Times New Roman"/>
                <w:snapToGrid w:val="0"/>
                <w:color w:val="auto"/>
                <w:spacing w:val="0"/>
                <w:kern w:val="0"/>
                <w:sz w:val="21"/>
                <w:szCs w:val="21"/>
                <w:highlight w:val="none"/>
                <w:lang w:val="en-US" w:eastAsia="zh-CN"/>
              </w:rPr>
              <w:t>470.26</w:t>
            </w:r>
          </w:p>
        </w:tc>
        <w:tc>
          <w:tcPr>
            <w:tcW w:w="743" w:type="pct"/>
            <w:tcBorders>
              <w:tl2br w:val="nil"/>
              <w:tr2bl w:val="nil"/>
            </w:tcBorders>
            <w:noWrap w:val="0"/>
            <w:vAlign w:val="center"/>
          </w:tcPr>
          <w:p w14:paraId="02E3391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不贮存</w:t>
            </w:r>
          </w:p>
        </w:tc>
        <w:tc>
          <w:tcPr>
            <w:tcW w:w="940" w:type="pct"/>
            <w:tcBorders>
              <w:tl2br w:val="nil"/>
              <w:tr2bl w:val="nil"/>
            </w:tcBorders>
            <w:noWrap w:val="0"/>
            <w:vAlign w:val="center"/>
          </w:tcPr>
          <w:p w14:paraId="6DFFB493">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回用于生产</w:t>
            </w:r>
          </w:p>
        </w:tc>
      </w:tr>
      <w:tr w14:paraId="1F18F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08" w:type="pct"/>
            <w:tcBorders>
              <w:tl2br w:val="nil"/>
              <w:tr2bl w:val="nil"/>
            </w:tcBorders>
            <w:noWrap w:val="0"/>
            <w:vAlign w:val="center"/>
          </w:tcPr>
          <w:p w14:paraId="3AED1D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snapToGrid w:val="0"/>
                <w:color w:val="auto"/>
                <w:spacing w:val="0"/>
                <w:kern w:val="0"/>
                <w:position w:val="0"/>
                <w:sz w:val="21"/>
                <w:szCs w:val="21"/>
                <w:highlight w:val="none"/>
                <w:lang w:eastAsia="zh-CN"/>
              </w:rPr>
              <w:t>废布袋</w:t>
            </w:r>
          </w:p>
        </w:tc>
        <w:tc>
          <w:tcPr>
            <w:tcW w:w="1061" w:type="pct"/>
            <w:tcBorders>
              <w:tl2br w:val="nil"/>
              <w:tr2bl w:val="nil"/>
            </w:tcBorders>
            <w:noWrap w:val="0"/>
            <w:vAlign w:val="center"/>
          </w:tcPr>
          <w:p w14:paraId="2EB2948B">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p w14:paraId="106723EE">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color w:val="auto"/>
                <w:sz w:val="21"/>
                <w:szCs w:val="21"/>
                <w:highlight w:val="none"/>
                <w:lang w:val="en-US" w:eastAsia="zh-CN"/>
              </w:rPr>
              <w:t>900-041-49</w:t>
            </w:r>
          </w:p>
        </w:tc>
        <w:tc>
          <w:tcPr>
            <w:tcW w:w="371" w:type="pct"/>
            <w:tcBorders>
              <w:tl2br w:val="nil"/>
              <w:tr2bl w:val="nil"/>
            </w:tcBorders>
            <w:noWrap w:val="0"/>
            <w:vAlign w:val="center"/>
          </w:tcPr>
          <w:p w14:paraId="1884F56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default" w:ascii="Times New Roman" w:hAnsi="Times New Roman" w:eastAsia="宋体" w:cs="Times New Roman"/>
                <w:snapToGrid w:val="0"/>
                <w:color w:val="auto"/>
                <w:spacing w:val="0"/>
                <w:kern w:val="0"/>
                <w:position w:val="0"/>
                <w:sz w:val="21"/>
                <w:szCs w:val="21"/>
                <w:highlight w:val="none"/>
                <w:lang w:val="en-US" w:eastAsia="zh-CN"/>
              </w:rPr>
              <w:t>固态</w:t>
            </w:r>
          </w:p>
        </w:tc>
        <w:tc>
          <w:tcPr>
            <w:tcW w:w="520" w:type="pct"/>
            <w:tcBorders>
              <w:tl2br w:val="nil"/>
              <w:tr2bl w:val="nil"/>
            </w:tcBorders>
            <w:noWrap w:val="0"/>
            <w:vAlign w:val="center"/>
          </w:tcPr>
          <w:p w14:paraId="56F377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color w:val="auto"/>
                <w:sz w:val="21"/>
                <w:szCs w:val="21"/>
                <w:highlight w:val="none"/>
                <w:lang w:val="en-US" w:eastAsia="zh-CN"/>
              </w:rPr>
              <w:t>T/In</w:t>
            </w:r>
          </w:p>
        </w:tc>
        <w:tc>
          <w:tcPr>
            <w:tcW w:w="654" w:type="pct"/>
            <w:tcBorders>
              <w:tl2br w:val="nil"/>
              <w:tr2bl w:val="nil"/>
            </w:tcBorders>
            <w:noWrap w:val="0"/>
            <w:vAlign w:val="center"/>
          </w:tcPr>
          <w:p w14:paraId="319F5B4A">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default" w:ascii="Times New Roman" w:hAnsi="Times New Roman" w:eastAsia="宋体" w:cs="Times New Roman"/>
                <w:snapToGrid w:val="0"/>
                <w:color w:val="auto"/>
                <w:spacing w:val="0"/>
                <w:kern w:val="0"/>
                <w:sz w:val="21"/>
                <w:szCs w:val="21"/>
                <w:highlight w:val="none"/>
                <w:lang w:val="en-US" w:eastAsia="zh-CN"/>
              </w:rPr>
              <w:t>3</w:t>
            </w:r>
          </w:p>
        </w:tc>
        <w:tc>
          <w:tcPr>
            <w:tcW w:w="743" w:type="pct"/>
            <w:tcBorders>
              <w:tl2br w:val="nil"/>
              <w:tr2bl w:val="nil"/>
            </w:tcBorders>
            <w:noWrap w:val="0"/>
            <w:vAlign w:val="center"/>
          </w:tcPr>
          <w:p w14:paraId="778BF780">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color w:val="auto"/>
                <w:sz w:val="21"/>
                <w:szCs w:val="21"/>
                <w:highlight w:val="none"/>
                <w:lang w:val="en-US" w:eastAsia="zh-CN"/>
              </w:rPr>
              <w:t>不贮存</w:t>
            </w:r>
          </w:p>
        </w:tc>
        <w:tc>
          <w:tcPr>
            <w:tcW w:w="940" w:type="pct"/>
            <w:tcBorders>
              <w:tl2br w:val="nil"/>
              <w:tr2bl w:val="nil"/>
            </w:tcBorders>
            <w:noWrap w:val="0"/>
            <w:vAlign w:val="center"/>
          </w:tcPr>
          <w:p w14:paraId="1CB73FEA">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定期委托有资质的单位处理</w:t>
            </w:r>
          </w:p>
        </w:tc>
      </w:tr>
      <w:tr w14:paraId="03926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08" w:type="pct"/>
            <w:tcBorders>
              <w:tl2br w:val="nil"/>
              <w:tr2bl w:val="nil"/>
            </w:tcBorders>
            <w:noWrap w:val="0"/>
            <w:vAlign w:val="center"/>
          </w:tcPr>
          <w:p w14:paraId="166BBB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eastAsia" w:ascii="Times New Roman" w:hAnsi="Times New Roman" w:eastAsia="宋体" w:cs="Times New Roman"/>
                <w:snapToGrid w:val="0"/>
                <w:color w:val="auto"/>
                <w:spacing w:val="0"/>
                <w:kern w:val="0"/>
                <w:position w:val="0"/>
                <w:sz w:val="21"/>
                <w:szCs w:val="21"/>
                <w:highlight w:val="none"/>
                <w:lang w:val="en-US" w:eastAsia="zh-CN"/>
              </w:rPr>
              <w:t>浸出矿渣</w:t>
            </w:r>
          </w:p>
        </w:tc>
        <w:tc>
          <w:tcPr>
            <w:tcW w:w="1061" w:type="pct"/>
            <w:tcBorders>
              <w:tl2br w:val="nil"/>
              <w:tr2bl w:val="nil"/>
            </w:tcBorders>
            <w:noWrap w:val="0"/>
            <w:vAlign w:val="center"/>
          </w:tcPr>
          <w:p w14:paraId="4750F25C">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cs="Times New Roman"/>
                <w:color w:val="auto"/>
                <w:sz w:val="21"/>
                <w:szCs w:val="21"/>
                <w:highlight w:val="none"/>
                <w:lang w:val="en-US" w:eastAsia="zh-CN"/>
              </w:rPr>
              <w:t>-</w:t>
            </w:r>
          </w:p>
        </w:tc>
        <w:tc>
          <w:tcPr>
            <w:tcW w:w="371" w:type="pct"/>
            <w:tcBorders>
              <w:tl2br w:val="nil"/>
              <w:tr2bl w:val="nil"/>
            </w:tcBorders>
            <w:noWrap w:val="0"/>
            <w:vAlign w:val="center"/>
          </w:tcPr>
          <w:p w14:paraId="794FE89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default" w:ascii="Times New Roman" w:hAnsi="Times New Roman" w:eastAsia="宋体" w:cs="Times New Roman"/>
                <w:snapToGrid w:val="0"/>
                <w:color w:val="auto"/>
                <w:spacing w:val="0"/>
                <w:kern w:val="0"/>
                <w:position w:val="0"/>
                <w:sz w:val="21"/>
                <w:szCs w:val="21"/>
                <w:highlight w:val="none"/>
                <w:lang w:val="en-US" w:eastAsia="zh-CN"/>
              </w:rPr>
              <w:t>固态</w:t>
            </w:r>
          </w:p>
        </w:tc>
        <w:tc>
          <w:tcPr>
            <w:tcW w:w="520" w:type="pct"/>
            <w:tcBorders>
              <w:tl2br w:val="nil"/>
              <w:tr2bl w:val="nil"/>
            </w:tcBorders>
            <w:noWrap w:val="0"/>
            <w:vAlign w:val="center"/>
          </w:tcPr>
          <w:p w14:paraId="748BCD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54" w:type="pct"/>
            <w:tcBorders>
              <w:tl2br w:val="nil"/>
              <w:tr2bl w:val="nil"/>
            </w:tcBorders>
            <w:noWrap w:val="0"/>
            <w:vAlign w:val="center"/>
          </w:tcPr>
          <w:p w14:paraId="418B2EC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sz w:val="21"/>
                <w:szCs w:val="21"/>
                <w:highlight w:val="none"/>
                <w:lang w:val="en-US" w:eastAsia="zh-CN"/>
              </w:rPr>
            </w:pPr>
            <w:r>
              <w:rPr>
                <w:rFonts w:hint="eastAsia" w:hAnsi="Times New Roman" w:cs="Times New Roman"/>
                <w:color w:val="auto"/>
                <w:sz w:val="21"/>
                <w:szCs w:val="21"/>
                <w:highlight w:val="none"/>
                <w:lang w:val="en-US" w:eastAsia="zh-CN"/>
              </w:rPr>
              <w:t>496500</w:t>
            </w:r>
          </w:p>
        </w:tc>
        <w:tc>
          <w:tcPr>
            <w:tcW w:w="743" w:type="pct"/>
            <w:tcBorders>
              <w:tl2br w:val="nil"/>
              <w:tr2bl w:val="nil"/>
            </w:tcBorders>
            <w:noWrap w:val="0"/>
            <w:vAlign w:val="center"/>
          </w:tcPr>
          <w:p w14:paraId="704D8900">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尾矿库</w:t>
            </w:r>
          </w:p>
        </w:tc>
        <w:tc>
          <w:tcPr>
            <w:tcW w:w="940" w:type="pct"/>
            <w:tcBorders>
              <w:tl2br w:val="nil"/>
              <w:tr2bl w:val="nil"/>
            </w:tcBorders>
            <w:noWrap w:val="0"/>
            <w:vAlign w:val="center"/>
          </w:tcPr>
          <w:p w14:paraId="5722095C">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eastAsia" w:hAnsi="Times New Roman"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lang w:val="en-US" w:eastAsia="zh-CN"/>
              </w:rPr>
              <w:t>《铜冶炼污染防治可行技术指南》的要求进行鉴别，根据鉴别结果确定处置方式</w:t>
            </w:r>
          </w:p>
        </w:tc>
      </w:tr>
      <w:tr w14:paraId="72F5C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8" w:type="pct"/>
            <w:tcBorders>
              <w:tl2br w:val="nil"/>
              <w:tr2bl w:val="nil"/>
            </w:tcBorders>
            <w:noWrap w:val="0"/>
            <w:vAlign w:val="center"/>
          </w:tcPr>
          <w:p w14:paraId="3F6A29D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废机油</w:t>
            </w:r>
          </w:p>
        </w:tc>
        <w:tc>
          <w:tcPr>
            <w:tcW w:w="1061" w:type="pct"/>
            <w:tcBorders>
              <w:tl2br w:val="nil"/>
              <w:tr2bl w:val="nil"/>
            </w:tcBorders>
            <w:noWrap w:val="0"/>
            <w:vAlign w:val="center"/>
          </w:tcPr>
          <w:p w14:paraId="4475A6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eastAsia="zh-CN"/>
              </w:rPr>
              <w:t>HW08</w:t>
            </w:r>
          </w:p>
          <w:p w14:paraId="694720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snapToGrid w:val="0"/>
                <w:color w:val="auto"/>
                <w:kern w:val="2"/>
                <w:sz w:val="21"/>
                <w:szCs w:val="21"/>
                <w:highlight w:val="none"/>
                <w:lang w:eastAsia="zh-CN"/>
              </w:rPr>
              <w:t>900-218-08</w:t>
            </w:r>
          </w:p>
        </w:tc>
        <w:tc>
          <w:tcPr>
            <w:tcW w:w="371" w:type="pct"/>
            <w:tcBorders>
              <w:tl2br w:val="nil"/>
              <w:tr2bl w:val="nil"/>
            </w:tcBorders>
            <w:noWrap w:val="0"/>
            <w:vAlign w:val="center"/>
          </w:tcPr>
          <w:p w14:paraId="55DBEE4E">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520" w:type="pct"/>
            <w:tcBorders>
              <w:tl2br w:val="nil"/>
              <w:tr2bl w:val="nil"/>
            </w:tcBorders>
            <w:noWrap w:val="0"/>
            <w:vAlign w:val="center"/>
          </w:tcPr>
          <w:p w14:paraId="50D069D3">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eastAsia"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I</w:t>
            </w:r>
          </w:p>
        </w:tc>
        <w:tc>
          <w:tcPr>
            <w:tcW w:w="654" w:type="pct"/>
            <w:tcBorders>
              <w:tl2br w:val="nil"/>
              <w:tr2bl w:val="nil"/>
            </w:tcBorders>
            <w:noWrap w:val="0"/>
            <w:vAlign w:val="center"/>
          </w:tcPr>
          <w:p w14:paraId="04E57B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0.</w:t>
            </w:r>
            <w:r>
              <w:rPr>
                <w:rFonts w:hint="default" w:ascii="Times New Roman" w:hAnsi="Times New Roman" w:cs="Times New Roman"/>
                <w:snapToGrid w:val="0"/>
                <w:color w:val="auto"/>
                <w:kern w:val="2"/>
                <w:sz w:val="21"/>
                <w:szCs w:val="21"/>
                <w:highlight w:val="none"/>
                <w:lang w:val="en-US" w:eastAsia="zh-CN"/>
              </w:rPr>
              <w:t>1</w:t>
            </w:r>
          </w:p>
        </w:tc>
        <w:tc>
          <w:tcPr>
            <w:tcW w:w="743" w:type="pct"/>
            <w:vMerge w:val="restart"/>
            <w:tcBorders>
              <w:tl2br w:val="nil"/>
              <w:tr2bl w:val="nil"/>
            </w:tcBorders>
            <w:noWrap w:val="0"/>
            <w:vAlign w:val="center"/>
          </w:tcPr>
          <w:p w14:paraId="04820FD5">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cs="Times New Roman"/>
                <w:color w:val="auto"/>
                <w:sz w:val="21"/>
                <w:szCs w:val="21"/>
                <w:highlight w:val="none"/>
                <w:lang w:val="en-US" w:eastAsia="zh-CN"/>
              </w:rPr>
              <w:t>危废贮存库</w:t>
            </w:r>
          </w:p>
        </w:tc>
        <w:tc>
          <w:tcPr>
            <w:tcW w:w="940" w:type="pct"/>
            <w:vMerge w:val="restart"/>
            <w:tcBorders>
              <w:tl2br w:val="nil"/>
              <w:tr2bl w:val="nil"/>
            </w:tcBorders>
            <w:noWrap w:val="0"/>
            <w:vAlign w:val="center"/>
          </w:tcPr>
          <w:p w14:paraId="467DF26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定期委托有资质的单位处理</w:t>
            </w:r>
          </w:p>
        </w:tc>
      </w:tr>
      <w:tr w14:paraId="72B88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8" w:type="pct"/>
            <w:tcBorders>
              <w:tl2br w:val="nil"/>
              <w:tr2bl w:val="nil"/>
            </w:tcBorders>
            <w:noWrap w:val="0"/>
            <w:vAlign w:val="center"/>
          </w:tcPr>
          <w:p w14:paraId="27E542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eastAsia" w:cs="Times New Roman"/>
                <w:snapToGrid w:val="0"/>
                <w:color w:val="auto"/>
                <w:kern w:val="2"/>
                <w:sz w:val="21"/>
                <w:szCs w:val="21"/>
                <w:highlight w:val="none"/>
                <w:lang w:eastAsia="zh-CN"/>
              </w:rPr>
              <w:t>空油桶</w:t>
            </w:r>
          </w:p>
        </w:tc>
        <w:tc>
          <w:tcPr>
            <w:tcW w:w="1061" w:type="pct"/>
            <w:tcBorders>
              <w:tl2br w:val="nil"/>
              <w:tr2bl w:val="nil"/>
            </w:tcBorders>
            <w:noWrap w:val="0"/>
            <w:vAlign w:val="center"/>
          </w:tcPr>
          <w:p w14:paraId="090EA3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eastAsia="zh-CN"/>
              </w:rPr>
              <w:t>HW08</w:t>
            </w:r>
          </w:p>
          <w:p w14:paraId="1C5B09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900-249-08</w:t>
            </w:r>
          </w:p>
        </w:tc>
        <w:tc>
          <w:tcPr>
            <w:tcW w:w="371" w:type="pct"/>
            <w:tcBorders>
              <w:tl2br w:val="nil"/>
              <w:tr2bl w:val="nil"/>
            </w:tcBorders>
            <w:noWrap w:val="0"/>
            <w:vAlign w:val="center"/>
          </w:tcPr>
          <w:p w14:paraId="5F36D8C3">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20" w:type="pct"/>
            <w:tcBorders>
              <w:tl2br w:val="nil"/>
              <w:tr2bl w:val="nil"/>
            </w:tcBorders>
            <w:noWrap w:val="0"/>
            <w:vAlign w:val="center"/>
          </w:tcPr>
          <w:p w14:paraId="3071F35C">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654" w:type="pct"/>
            <w:tcBorders>
              <w:tl2br w:val="nil"/>
              <w:tr2bl w:val="nil"/>
            </w:tcBorders>
            <w:noWrap w:val="0"/>
            <w:vAlign w:val="center"/>
          </w:tcPr>
          <w:p w14:paraId="6FC127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0.06</w:t>
            </w:r>
          </w:p>
        </w:tc>
        <w:tc>
          <w:tcPr>
            <w:tcW w:w="743" w:type="pct"/>
            <w:vMerge w:val="continue"/>
            <w:tcBorders>
              <w:tl2br w:val="nil"/>
              <w:tr2bl w:val="nil"/>
            </w:tcBorders>
            <w:noWrap w:val="0"/>
            <w:vAlign w:val="center"/>
          </w:tcPr>
          <w:p w14:paraId="4EB165EF">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940" w:type="pct"/>
            <w:vMerge w:val="continue"/>
            <w:tcBorders>
              <w:tl2br w:val="nil"/>
              <w:tr2bl w:val="nil"/>
            </w:tcBorders>
            <w:noWrap w:val="0"/>
            <w:vAlign w:val="center"/>
          </w:tcPr>
          <w:p w14:paraId="55149182">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tc>
      </w:tr>
      <w:tr w14:paraId="5DF4D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pct"/>
            <w:tcBorders>
              <w:tl2br w:val="nil"/>
              <w:tr2bl w:val="nil"/>
            </w:tcBorders>
            <w:noWrap w:val="0"/>
            <w:vAlign w:val="center"/>
          </w:tcPr>
          <w:p w14:paraId="581B95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val="en-US" w:eastAsia="zh-CN"/>
              </w:rPr>
              <w:t>氢氧化钠包装袋</w:t>
            </w:r>
          </w:p>
        </w:tc>
        <w:tc>
          <w:tcPr>
            <w:tcW w:w="1061" w:type="pct"/>
            <w:tcBorders>
              <w:tl2br w:val="nil"/>
              <w:tr2bl w:val="nil"/>
            </w:tcBorders>
            <w:noWrap w:val="0"/>
            <w:vAlign w:val="top"/>
          </w:tcPr>
          <w:p w14:paraId="477853B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HW</w:t>
            </w:r>
            <w:r>
              <w:rPr>
                <w:rFonts w:hint="default" w:ascii="Times New Roman" w:hAnsi="Times New Roman" w:cs="Times New Roman"/>
                <w:snapToGrid w:val="0"/>
                <w:color w:val="auto"/>
                <w:kern w:val="2"/>
                <w:sz w:val="21"/>
                <w:szCs w:val="21"/>
                <w:highlight w:val="none"/>
                <w:lang w:val="en-US" w:eastAsia="zh-CN"/>
              </w:rPr>
              <w:t>49</w:t>
            </w:r>
          </w:p>
          <w:p w14:paraId="38C36E1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900-041-49</w:t>
            </w:r>
          </w:p>
        </w:tc>
        <w:tc>
          <w:tcPr>
            <w:tcW w:w="371" w:type="pct"/>
            <w:tcBorders>
              <w:tl2br w:val="nil"/>
              <w:tr2bl w:val="nil"/>
            </w:tcBorders>
            <w:noWrap w:val="0"/>
            <w:vAlign w:val="center"/>
          </w:tcPr>
          <w:p w14:paraId="743B62E2">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20" w:type="pct"/>
            <w:tcBorders>
              <w:tl2br w:val="nil"/>
              <w:tr2bl w:val="nil"/>
            </w:tcBorders>
            <w:noWrap w:val="0"/>
            <w:vAlign w:val="center"/>
          </w:tcPr>
          <w:p w14:paraId="38D6C306">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654" w:type="pct"/>
            <w:tcBorders>
              <w:tl2br w:val="nil"/>
              <w:tr2bl w:val="nil"/>
            </w:tcBorders>
            <w:noWrap w:val="0"/>
            <w:vAlign w:val="center"/>
          </w:tcPr>
          <w:p w14:paraId="6A7CA0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snapToGrid w:val="0"/>
                <w:color w:val="auto"/>
                <w:kern w:val="2"/>
                <w:sz w:val="21"/>
                <w:szCs w:val="21"/>
                <w:highlight w:val="none"/>
                <w:lang w:val="en-US" w:eastAsia="zh-CN"/>
              </w:rPr>
              <w:t>0.0</w:t>
            </w:r>
            <w:r>
              <w:rPr>
                <w:rFonts w:hint="eastAsia" w:cs="Times New Roman"/>
                <w:snapToGrid w:val="0"/>
                <w:color w:val="auto"/>
                <w:kern w:val="2"/>
                <w:sz w:val="21"/>
                <w:szCs w:val="21"/>
                <w:highlight w:val="none"/>
                <w:lang w:val="en-US" w:eastAsia="zh-CN"/>
              </w:rPr>
              <w:t>5</w:t>
            </w:r>
          </w:p>
        </w:tc>
        <w:tc>
          <w:tcPr>
            <w:tcW w:w="743" w:type="pct"/>
            <w:vMerge w:val="continue"/>
            <w:tcBorders>
              <w:tl2br w:val="nil"/>
              <w:tr2bl w:val="nil"/>
            </w:tcBorders>
            <w:noWrap w:val="0"/>
            <w:vAlign w:val="center"/>
          </w:tcPr>
          <w:p w14:paraId="2B1EDD41">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940" w:type="pct"/>
            <w:vMerge w:val="continue"/>
            <w:tcBorders>
              <w:tl2br w:val="nil"/>
              <w:tr2bl w:val="nil"/>
            </w:tcBorders>
            <w:noWrap w:val="0"/>
            <w:vAlign w:val="center"/>
          </w:tcPr>
          <w:p w14:paraId="75819FFE">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tc>
      </w:tr>
      <w:tr w14:paraId="5E88B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pct"/>
            <w:tcBorders>
              <w:tl2br w:val="nil"/>
              <w:tr2bl w:val="nil"/>
            </w:tcBorders>
            <w:noWrap w:val="0"/>
            <w:vAlign w:val="center"/>
          </w:tcPr>
          <w:p w14:paraId="70EF8F7A">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w:t>
            </w:r>
          </w:p>
        </w:tc>
        <w:tc>
          <w:tcPr>
            <w:tcW w:w="1061" w:type="pct"/>
            <w:tcBorders>
              <w:tl2br w:val="nil"/>
              <w:tr2bl w:val="nil"/>
            </w:tcBorders>
            <w:shd w:val="clear" w:color="auto" w:fill="auto"/>
            <w:noWrap w:val="0"/>
            <w:vAlign w:val="center"/>
          </w:tcPr>
          <w:p w14:paraId="131F5465">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pacing w:val="1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371" w:type="pct"/>
            <w:tcBorders>
              <w:tl2br w:val="nil"/>
              <w:tr2bl w:val="nil"/>
            </w:tcBorders>
            <w:shd w:val="clear" w:color="auto" w:fill="auto"/>
            <w:noWrap w:val="0"/>
            <w:vAlign w:val="center"/>
          </w:tcPr>
          <w:p w14:paraId="23660FEC">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pacing w:val="1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520" w:type="pct"/>
            <w:tcBorders>
              <w:tl2br w:val="nil"/>
              <w:tr2bl w:val="nil"/>
            </w:tcBorders>
            <w:noWrap w:val="0"/>
            <w:vAlign w:val="center"/>
          </w:tcPr>
          <w:p w14:paraId="20AB8FE6">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54" w:type="pct"/>
            <w:tcBorders>
              <w:tl2br w:val="nil"/>
              <w:tr2bl w:val="nil"/>
            </w:tcBorders>
            <w:noWrap w:val="0"/>
            <w:vAlign w:val="center"/>
          </w:tcPr>
          <w:p w14:paraId="63136B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rPr>
            </w:pPr>
            <w:r>
              <w:rPr>
                <w:rFonts w:hint="eastAsia" w:ascii="Times New Roman" w:hAnsi="Times New Roman" w:cs="Times New Roman"/>
                <w:snapToGrid w:val="0"/>
                <w:color w:val="auto"/>
                <w:kern w:val="2"/>
                <w:sz w:val="21"/>
                <w:szCs w:val="21"/>
                <w:highlight w:val="none"/>
                <w:lang w:val="en-US" w:eastAsia="zh-CN"/>
              </w:rPr>
              <w:t>7.5</w:t>
            </w:r>
          </w:p>
        </w:tc>
        <w:tc>
          <w:tcPr>
            <w:tcW w:w="743" w:type="pct"/>
            <w:tcBorders>
              <w:tl2br w:val="nil"/>
              <w:tr2bl w:val="nil"/>
            </w:tcBorders>
            <w:noWrap w:val="0"/>
            <w:vAlign w:val="center"/>
          </w:tcPr>
          <w:p w14:paraId="069BCD68">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8"/>
                <w:highlight w:val="none"/>
              </w:rPr>
              <w:t>生活垃圾箱</w:t>
            </w:r>
          </w:p>
        </w:tc>
        <w:tc>
          <w:tcPr>
            <w:tcW w:w="940" w:type="pct"/>
            <w:tcBorders>
              <w:tl2br w:val="nil"/>
              <w:tr2bl w:val="nil"/>
            </w:tcBorders>
            <w:noWrap w:val="0"/>
            <w:vAlign w:val="center"/>
          </w:tcPr>
          <w:p w14:paraId="56D55063">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环卫部门定期拉运</w:t>
            </w:r>
          </w:p>
        </w:tc>
      </w:tr>
    </w:tbl>
    <w:p w14:paraId="73B1F22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3.4.</w:t>
      </w:r>
      <w:r>
        <w:rPr>
          <w:rFonts w:hint="eastAsia" w:cs="Times New Roman"/>
          <w:color w:val="auto"/>
          <w:highlight w:val="none"/>
          <w:lang w:val="en-US" w:eastAsia="zh-CN"/>
        </w:rPr>
        <w:t>2</w:t>
      </w:r>
      <w:r>
        <w:rPr>
          <w:rFonts w:hint="default" w:ascii="Times New Roman" w:hAnsi="Times New Roman" w:cs="Times New Roman"/>
          <w:color w:val="auto"/>
          <w:highlight w:val="none"/>
        </w:rPr>
        <w:t>污染物排放量汇总</w:t>
      </w:r>
    </w:p>
    <w:p w14:paraId="75BDCFB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本项目运营后污染物排放情况如表</w:t>
      </w:r>
      <w:r>
        <w:rPr>
          <w:rFonts w:hint="default" w:ascii="Times New Roman" w:hAnsi="Times New Roman" w:cs="Times New Roman"/>
          <w:color w:val="auto"/>
          <w:highlight w:val="none"/>
          <w:lang w:val="en-US" w:eastAsia="zh-CN"/>
        </w:rPr>
        <w:t>3.4-</w:t>
      </w:r>
      <w:r>
        <w:rPr>
          <w:rFonts w:hint="eastAsia" w:cs="Times New Roman"/>
          <w:color w:val="auto"/>
          <w:highlight w:val="none"/>
          <w:lang w:val="en-US" w:eastAsia="zh-CN"/>
        </w:rPr>
        <w:t>11</w:t>
      </w:r>
      <w:r>
        <w:rPr>
          <w:rFonts w:hint="default" w:ascii="Times New Roman" w:hAnsi="Times New Roman" w:cs="Times New Roman"/>
          <w:color w:val="auto"/>
          <w:highlight w:val="none"/>
        </w:rPr>
        <w:t>所示，项目实施后全厂“三本账”汇总情况见表</w:t>
      </w:r>
      <w:r>
        <w:rPr>
          <w:rFonts w:hint="default" w:ascii="Times New Roman" w:hAnsi="Times New Roman" w:cs="Times New Roman"/>
          <w:color w:val="auto"/>
          <w:highlight w:val="none"/>
          <w:lang w:eastAsia="zh-CN"/>
        </w:rPr>
        <w:t>3.4-</w:t>
      </w:r>
      <w:r>
        <w:rPr>
          <w:rFonts w:hint="eastAsia" w:cs="Times New Roman"/>
          <w:color w:val="auto"/>
          <w:highlight w:val="none"/>
          <w:lang w:val="en-US" w:eastAsia="zh-CN"/>
        </w:rPr>
        <w:t>12</w:t>
      </w:r>
      <w:r>
        <w:rPr>
          <w:rFonts w:hint="default" w:ascii="Times New Roman" w:hAnsi="Times New Roman" w:cs="Times New Roman"/>
          <w:color w:val="auto"/>
          <w:highlight w:val="none"/>
        </w:rPr>
        <w:t>。</w:t>
      </w:r>
    </w:p>
    <w:p w14:paraId="5688CC61">
      <w:pPr>
        <w:pStyle w:val="10"/>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表3.4-</w:t>
      </w:r>
      <w:bookmarkEnd w:id="130"/>
      <w:bookmarkStart w:id="131" w:name="_Hlk150378653"/>
      <w:r>
        <w:rPr>
          <w:rFonts w:hint="eastAsia" w:ascii="Times New Roman" w:eastAsia="宋体" w:cs="Times New Roman"/>
          <w:color w:val="auto"/>
          <w:sz w:val="21"/>
          <w:szCs w:val="21"/>
          <w:highlight w:val="none"/>
          <w:lang w:val="en-US" w:eastAsia="zh-CN"/>
        </w:rPr>
        <w:t xml:space="preserve">11  </w:t>
      </w:r>
      <w:r>
        <w:rPr>
          <w:rFonts w:hint="default" w:ascii="Times New Roman" w:hAnsi="Times New Roman" w:eastAsia="宋体" w:cs="Times New Roman"/>
          <w:b/>
          <w:bCs/>
          <w:color w:val="auto"/>
          <w:sz w:val="21"/>
          <w:szCs w:val="21"/>
          <w:highlight w:val="none"/>
        </w:rPr>
        <w:t>本项目污染物产排汇总一览表</w:t>
      </w:r>
    </w:p>
    <w:tbl>
      <w:tblPr>
        <w:tblStyle w:val="3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75"/>
        <w:gridCol w:w="973"/>
        <w:gridCol w:w="1550"/>
        <w:gridCol w:w="1100"/>
        <w:gridCol w:w="2052"/>
        <w:gridCol w:w="2053"/>
      </w:tblGrid>
      <w:tr w14:paraId="1566BA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932" w:type="pct"/>
            <w:gridSpan w:val="2"/>
            <w:tcBorders>
              <w:tl2br w:val="nil"/>
              <w:tr2bl w:val="nil"/>
            </w:tcBorders>
            <w:vAlign w:val="center"/>
          </w:tcPr>
          <w:p w14:paraId="01F65A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种类</w:t>
            </w:r>
          </w:p>
        </w:tc>
        <w:tc>
          <w:tcPr>
            <w:tcW w:w="933" w:type="pct"/>
            <w:tcBorders>
              <w:tl2br w:val="nil"/>
              <w:tr2bl w:val="nil"/>
            </w:tcBorders>
            <w:vAlign w:val="center"/>
          </w:tcPr>
          <w:p w14:paraId="1BE7B3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662" w:type="pct"/>
            <w:tcBorders>
              <w:tl2br w:val="nil"/>
              <w:tr2bl w:val="nil"/>
            </w:tcBorders>
            <w:vAlign w:val="center"/>
          </w:tcPr>
          <w:p w14:paraId="2DEB25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tc>
        <w:tc>
          <w:tcPr>
            <w:tcW w:w="1235" w:type="pct"/>
            <w:tcBorders>
              <w:tl2br w:val="nil"/>
              <w:tr2bl w:val="nil"/>
            </w:tcBorders>
            <w:vAlign w:val="center"/>
          </w:tcPr>
          <w:p w14:paraId="6CDE2F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p>
        </w:tc>
        <w:tc>
          <w:tcPr>
            <w:tcW w:w="1236" w:type="pct"/>
            <w:tcBorders>
              <w:tl2br w:val="nil"/>
              <w:tr2bl w:val="nil"/>
            </w:tcBorders>
            <w:vAlign w:val="center"/>
          </w:tcPr>
          <w:p w14:paraId="113312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处理方式</w:t>
            </w:r>
          </w:p>
        </w:tc>
      </w:tr>
      <w:tr w14:paraId="373082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restart"/>
            <w:tcBorders>
              <w:tl2br w:val="nil"/>
              <w:tr2bl w:val="nil"/>
            </w:tcBorders>
            <w:vAlign w:val="center"/>
          </w:tcPr>
          <w:p w14:paraId="230AA8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585" w:type="pct"/>
            <w:tcBorders>
              <w:tl2br w:val="nil"/>
              <w:tr2bl w:val="nil"/>
            </w:tcBorders>
            <w:vAlign w:val="center"/>
          </w:tcPr>
          <w:p w14:paraId="2CA46D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排气筒废气</w:t>
            </w:r>
          </w:p>
        </w:tc>
        <w:tc>
          <w:tcPr>
            <w:tcW w:w="933" w:type="pct"/>
            <w:tcBorders>
              <w:tl2br w:val="nil"/>
              <w:tr2bl w:val="nil"/>
            </w:tcBorders>
            <w:vAlign w:val="center"/>
          </w:tcPr>
          <w:p w14:paraId="5D9820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62" w:type="pct"/>
            <w:tcBorders>
              <w:tl2br w:val="nil"/>
              <w:tr2bl w:val="nil"/>
            </w:tcBorders>
            <w:vAlign w:val="center"/>
          </w:tcPr>
          <w:p w14:paraId="3CF56E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118.75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290077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1.19t</w:t>
            </w:r>
          </w:p>
        </w:tc>
        <w:tc>
          <w:tcPr>
            <w:tcW w:w="1236" w:type="pct"/>
            <w:vMerge w:val="restart"/>
            <w:tcBorders>
              <w:tl2br w:val="nil"/>
              <w:tr2bl w:val="nil"/>
            </w:tcBorders>
            <w:vAlign w:val="center"/>
          </w:tcPr>
          <w:p w14:paraId="188C13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w:t>
            </w:r>
          </w:p>
        </w:tc>
      </w:tr>
      <w:tr w14:paraId="38AEBF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0E2F3F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563E3C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rPr>
              <w:t>排气筒废气</w:t>
            </w:r>
          </w:p>
        </w:tc>
        <w:tc>
          <w:tcPr>
            <w:tcW w:w="933" w:type="pct"/>
            <w:tcBorders>
              <w:tl2br w:val="nil"/>
              <w:tr2bl w:val="nil"/>
            </w:tcBorders>
            <w:vAlign w:val="center"/>
          </w:tcPr>
          <w:p w14:paraId="176A1A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62" w:type="pct"/>
            <w:tcBorders>
              <w:tl2br w:val="nil"/>
              <w:tr2bl w:val="nil"/>
            </w:tcBorders>
            <w:vAlign w:val="center"/>
          </w:tcPr>
          <w:p w14:paraId="3C0C9B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356.26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2FB1BA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3.56t</w:t>
            </w:r>
          </w:p>
        </w:tc>
        <w:tc>
          <w:tcPr>
            <w:tcW w:w="1236" w:type="pct"/>
            <w:vMerge w:val="continue"/>
            <w:tcBorders>
              <w:tl2br w:val="nil"/>
              <w:tr2bl w:val="nil"/>
            </w:tcBorders>
            <w:vAlign w:val="center"/>
          </w:tcPr>
          <w:p w14:paraId="39DBDA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r>
      <w:tr w14:paraId="59677D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4262B3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3C176C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DA003排气筒</w:t>
            </w:r>
          </w:p>
        </w:tc>
        <w:tc>
          <w:tcPr>
            <w:tcW w:w="933" w:type="pct"/>
            <w:tcBorders>
              <w:tl2br w:val="nil"/>
              <w:tr2bl w:val="nil"/>
            </w:tcBorders>
            <w:vAlign w:val="center"/>
          </w:tcPr>
          <w:p w14:paraId="47D51D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662" w:type="pct"/>
            <w:tcBorders>
              <w:tl2br w:val="nil"/>
              <w:tr2bl w:val="nil"/>
            </w:tcBorders>
            <w:vAlign w:val="center"/>
          </w:tcPr>
          <w:p w14:paraId="6BA25C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0.072</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3A51B2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0.016</w:t>
            </w:r>
            <w:r>
              <w:rPr>
                <w:rFonts w:hint="default" w:ascii="Times New Roman" w:hAnsi="Times New Roman" w:eastAsia="宋体" w:cs="Times New Roman"/>
                <w:color w:val="auto"/>
                <w:sz w:val="21"/>
                <w:szCs w:val="21"/>
                <w:highlight w:val="none"/>
                <w:lang w:val="en-US" w:eastAsia="zh-CN"/>
              </w:rPr>
              <w:t>t</w:t>
            </w:r>
          </w:p>
        </w:tc>
        <w:tc>
          <w:tcPr>
            <w:tcW w:w="1236" w:type="pct"/>
            <w:tcBorders>
              <w:tl2br w:val="nil"/>
              <w:tr2bl w:val="nil"/>
            </w:tcBorders>
            <w:vAlign w:val="center"/>
          </w:tcPr>
          <w:p w14:paraId="1EBFC6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碱液吸收塔+15m高排气筒排放</w:t>
            </w:r>
          </w:p>
        </w:tc>
      </w:tr>
      <w:tr w14:paraId="109471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7CE977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restart"/>
            <w:tcBorders>
              <w:tl2br w:val="nil"/>
              <w:tr2bl w:val="nil"/>
            </w:tcBorders>
            <w:vAlign w:val="center"/>
          </w:tcPr>
          <w:p w14:paraId="3A8FB5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p w14:paraId="7EB28A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933" w:type="pct"/>
            <w:tcBorders>
              <w:tl2br w:val="nil"/>
              <w:tr2bl w:val="nil"/>
            </w:tcBorders>
            <w:vAlign w:val="center"/>
          </w:tcPr>
          <w:p w14:paraId="6BF6C3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硫酸雾</w:t>
            </w:r>
          </w:p>
        </w:tc>
        <w:tc>
          <w:tcPr>
            <w:tcW w:w="662" w:type="pct"/>
            <w:tcBorders>
              <w:tl2br w:val="nil"/>
              <w:tr2bl w:val="nil"/>
            </w:tcBorders>
            <w:vAlign w:val="center"/>
          </w:tcPr>
          <w:p w14:paraId="1F7864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24ABDC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0.144</w:t>
            </w:r>
            <w:r>
              <w:rPr>
                <w:rFonts w:hint="default" w:ascii="Times New Roman" w:hAnsi="Times New Roman" w:eastAsia="宋体" w:cs="Times New Roman"/>
                <w:color w:val="auto"/>
                <w:sz w:val="21"/>
                <w:szCs w:val="21"/>
                <w:highlight w:val="none"/>
                <w:lang w:val="en-US" w:eastAsia="zh-CN"/>
              </w:rPr>
              <w:t>t</w:t>
            </w:r>
          </w:p>
        </w:tc>
        <w:tc>
          <w:tcPr>
            <w:tcW w:w="1236" w:type="pct"/>
            <w:tcBorders>
              <w:tl2br w:val="nil"/>
              <w:tr2bl w:val="nil"/>
            </w:tcBorders>
            <w:vAlign w:val="center"/>
          </w:tcPr>
          <w:p w14:paraId="02CA15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加强管理</w:t>
            </w:r>
            <w:r>
              <w:rPr>
                <w:rFonts w:hint="eastAsia" w:cs="Times New Roman"/>
                <w:color w:val="auto"/>
                <w:sz w:val="21"/>
                <w:szCs w:val="21"/>
                <w:highlight w:val="none"/>
                <w:lang w:val="en-US" w:eastAsia="zh-CN"/>
              </w:rPr>
              <w:t>，</w:t>
            </w:r>
            <w:r>
              <w:rPr>
                <w:rFonts w:hint="eastAsia" w:ascii="Times New Roman" w:hAnsi="Times New Roman" w:cs="Times New Roman"/>
                <w:b w:val="0"/>
                <w:bCs w:val="0"/>
                <w:snapToGrid/>
                <w:color w:val="auto"/>
                <w:kern w:val="2"/>
                <w:sz w:val="21"/>
                <w:szCs w:val="21"/>
                <w:highlight w:val="none"/>
                <w:lang w:val="en-US" w:eastAsia="zh-CN"/>
              </w:rPr>
              <w:t>车间通风，添加酸雾抑制剂</w:t>
            </w:r>
          </w:p>
        </w:tc>
      </w:tr>
      <w:tr w14:paraId="6AB8D8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continue"/>
            <w:tcBorders>
              <w:tl2br w:val="nil"/>
              <w:tr2bl w:val="nil"/>
            </w:tcBorders>
            <w:vAlign w:val="center"/>
          </w:tcPr>
          <w:p w14:paraId="06AE29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2AFF61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78CDED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TSP</w:t>
            </w:r>
          </w:p>
        </w:tc>
        <w:tc>
          <w:tcPr>
            <w:tcW w:w="662" w:type="pct"/>
            <w:tcBorders>
              <w:tl2br w:val="nil"/>
              <w:tr2bl w:val="nil"/>
            </w:tcBorders>
            <w:vAlign w:val="center"/>
          </w:tcPr>
          <w:p w14:paraId="0B5EF3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141.68</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253525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32.93</w:t>
            </w:r>
            <w:r>
              <w:rPr>
                <w:rFonts w:hint="default" w:ascii="Times New Roman" w:hAnsi="Times New Roman" w:eastAsia="宋体" w:cs="Times New Roman"/>
                <w:color w:val="auto"/>
                <w:sz w:val="21"/>
                <w:szCs w:val="21"/>
                <w:highlight w:val="none"/>
                <w:lang w:val="en-US" w:eastAsia="zh-CN"/>
              </w:rPr>
              <w:t>t</w:t>
            </w:r>
          </w:p>
        </w:tc>
        <w:tc>
          <w:tcPr>
            <w:tcW w:w="1236" w:type="pct"/>
            <w:tcBorders>
              <w:tl2br w:val="nil"/>
              <w:tr2bl w:val="nil"/>
            </w:tcBorders>
            <w:vAlign w:val="center"/>
          </w:tcPr>
          <w:p w14:paraId="5DE655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洒水降尘</w:t>
            </w:r>
          </w:p>
        </w:tc>
      </w:tr>
      <w:tr w14:paraId="207E9B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continue"/>
            <w:tcBorders>
              <w:tl2br w:val="nil"/>
              <w:tr2bl w:val="nil"/>
            </w:tcBorders>
            <w:vAlign w:val="center"/>
          </w:tcPr>
          <w:p w14:paraId="786B23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79E39F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692F89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662" w:type="pct"/>
            <w:tcBorders>
              <w:tl2br w:val="nil"/>
              <w:tr2bl w:val="nil"/>
            </w:tcBorders>
            <w:vAlign w:val="center"/>
          </w:tcPr>
          <w:p w14:paraId="481463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1EEAC1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0.015</w:t>
            </w:r>
            <w:r>
              <w:rPr>
                <w:rFonts w:hint="default" w:ascii="Times New Roman" w:hAnsi="Times New Roman" w:eastAsia="宋体" w:cs="Times New Roman"/>
                <w:color w:val="auto"/>
                <w:sz w:val="21"/>
                <w:szCs w:val="21"/>
                <w:highlight w:val="none"/>
                <w:lang w:val="en-US" w:eastAsia="zh-CN"/>
              </w:rPr>
              <w:t>t</w:t>
            </w:r>
          </w:p>
        </w:tc>
        <w:tc>
          <w:tcPr>
            <w:tcW w:w="1236" w:type="pct"/>
            <w:tcBorders>
              <w:tl2br w:val="nil"/>
              <w:tr2bl w:val="nil"/>
            </w:tcBorders>
            <w:vAlign w:val="center"/>
          </w:tcPr>
          <w:p w14:paraId="5AFF95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r>
      <w:tr w14:paraId="568042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346" w:type="pct"/>
            <w:vMerge w:val="restart"/>
            <w:tcBorders>
              <w:tl2br w:val="nil"/>
              <w:tr2bl w:val="nil"/>
            </w:tcBorders>
            <w:vAlign w:val="center"/>
          </w:tcPr>
          <w:p w14:paraId="00DA95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585" w:type="pct"/>
            <w:tcBorders>
              <w:tl2br w:val="nil"/>
              <w:tr2bl w:val="nil"/>
            </w:tcBorders>
            <w:vAlign w:val="center"/>
          </w:tcPr>
          <w:p w14:paraId="02BC07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w:t>
            </w:r>
          </w:p>
        </w:tc>
        <w:tc>
          <w:tcPr>
            <w:tcW w:w="933" w:type="pct"/>
            <w:tcBorders>
              <w:tl2br w:val="nil"/>
              <w:tr2bl w:val="nil"/>
            </w:tcBorders>
            <w:vAlign w:val="center"/>
          </w:tcPr>
          <w:p w14:paraId="055B56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主要污染物为pH、</w:t>
            </w:r>
            <w:r>
              <w:rPr>
                <w:rFonts w:hint="default" w:ascii="Times New Roman" w:hAnsi="Times New Roman" w:eastAsia="宋体" w:cs="Times New Roman"/>
                <w:color w:val="auto"/>
                <w:sz w:val="21"/>
                <w:szCs w:val="21"/>
                <w:highlight w:val="none"/>
                <w:lang w:val="en-US" w:eastAsia="zh-CN"/>
              </w:rPr>
              <w:t>COD、Cu</w:t>
            </w:r>
            <w:r>
              <w:rPr>
                <w:rFonts w:hint="default" w:ascii="Times New Roman" w:hAnsi="Times New Roman" w:eastAsia="宋体" w:cs="Times New Roman"/>
                <w:color w:val="auto"/>
                <w:sz w:val="21"/>
                <w:szCs w:val="21"/>
                <w:highlight w:val="none"/>
              </w:rPr>
              <w:t>等</w:t>
            </w:r>
          </w:p>
        </w:tc>
        <w:tc>
          <w:tcPr>
            <w:tcW w:w="662" w:type="pct"/>
            <w:tcBorders>
              <w:tl2br w:val="nil"/>
              <w:tr2bl w:val="nil"/>
            </w:tcBorders>
            <w:vAlign w:val="center"/>
          </w:tcPr>
          <w:p w14:paraId="30102F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0</w:t>
            </w:r>
          </w:p>
        </w:tc>
        <w:tc>
          <w:tcPr>
            <w:tcW w:w="1235" w:type="pct"/>
            <w:tcBorders>
              <w:tl2br w:val="nil"/>
              <w:tr2bl w:val="nil"/>
            </w:tcBorders>
            <w:vAlign w:val="center"/>
          </w:tcPr>
          <w:p w14:paraId="557A98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45A93D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本工艺</w:t>
            </w:r>
            <w:r>
              <w:rPr>
                <w:rFonts w:hint="eastAsia" w:cs="Times New Roman"/>
                <w:color w:val="auto"/>
                <w:sz w:val="21"/>
                <w:szCs w:val="21"/>
                <w:highlight w:val="none"/>
                <w:lang w:eastAsia="zh-CN"/>
              </w:rPr>
              <w:t>属于</w:t>
            </w:r>
            <w:r>
              <w:rPr>
                <w:rFonts w:hint="default" w:ascii="Times New Roman" w:hAnsi="Times New Roman" w:eastAsia="宋体" w:cs="Times New Roman"/>
                <w:color w:val="auto"/>
                <w:sz w:val="21"/>
                <w:szCs w:val="21"/>
                <w:highlight w:val="none"/>
              </w:rPr>
              <w:t>闭路循环系统，无废水排放</w:t>
            </w:r>
          </w:p>
        </w:tc>
      </w:tr>
      <w:tr w14:paraId="3FC35A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350C0C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2D6A2A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职工生活污水</w:t>
            </w:r>
          </w:p>
        </w:tc>
        <w:tc>
          <w:tcPr>
            <w:tcW w:w="933" w:type="pct"/>
            <w:tcBorders>
              <w:tl2br w:val="nil"/>
              <w:tr2bl w:val="nil"/>
            </w:tcBorders>
            <w:vAlign w:val="center"/>
          </w:tcPr>
          <w:p w14:paraId="2A7602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w:t>
            </w:r>
          </w:p>
        </w:tc>
        <w:tc>
          <w:tcPr>
            <w:tcW w:w="662" w:type="pct"/>
            <w:tcBorders>
              <w:tl2br w:val="nil"/>
              <w:tr2bl w:val="nil"/>
            </w:tcBorders>
            <w:vAlign w:val="center"/>
          </w:tcPr>
          <w:p w14:paraId="2A71D9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480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235" w:type="pct"/>
            <w:tcBorders>
              <w:tl2br w:val="nil"/>
              <w:tr2bl w:val="nil"/>
            </w:tcBorders>
            <w:vAlign w:val="center"/>
          </w:tcPr>
          <w:p w14:paraId="275A2A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24277E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依托生活区化粪池暂存，定期拉运处理</w:t>
            </w:r>
          </w:p>
        </w:tc>
      </w:tr>
      <w:tr w14:paraId="1AA322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restart"/>
            <w:tcBorders>
              <w:tl2br w:val="nil"/>
              <w:tr2bl w:val="nil"/>
            </w:tcBorders>
            <w:vAlign w:val="center"/>
          </w:tcPr>
          <w:p w14:paraId="7895AF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85" w:type="pct"/>
            <w:vMerge w:val="restart"/>
            <w:tcBorders>
              <w:tl2br w:val="nil"/>
              <w:tr2bl w:val="nil"/>
            </w:tcBorders>
            <w:vAlign w:val="center"/>
          </w:tcPr>
          <w:p w14:paraId="3444E8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933" w:type="pct"/>
            <w:tcBorders>
              <w:tl2br w:val="nil"/>
              <w:tr2bl w:val="nil"/>
            </w:tcBorders>
            <w:vAlign w:val="center"/>
          </w:tcPr>
          <w:p w14:paraId="4B24B9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浸出矿渣</w:t>
            </w:r>
          </w:p>
        </w:tc>
        <w:tc>
          <w:tcPr>
            <w:tcW w:w="662" w:type="pct"/>
            <w:tcBorders>
              <w:tl2br w:val="nil"/>
              <w:tr2bl w:val="nil"/>
            </w:tcBorders>
            <w:vAlign w:val="center"/>
          </w:tcPr>
          <w:p w14:paraId="7D7E8F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496500</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7829DB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61F896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hAnsi="Times New Roman"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lang w:val="en-US" w:eastAsia="zh-CN"/>
              </w:rPr>
              <w:t>《铜冶炼污染防治可行技术指南》的要求进行鉴别，根据鉴别结果确定处置方式</w:t>
            </w:r>
          </w:p>
        </w:tc>
      </w:tr>
      <w:tr w14:paraId="2BE5D5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continue"/>
            <w:tcBorders>
              <w:tl2br w:val="nil"/>
              <w:tr2bl w:val="nil"/>
            </w:tcBorders>
            <w:vAlign w:val="center"/>
          </w:tcPr>
          <w:p w14:paraId="02813E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47D454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vAlign w:val="center"/>
          </w:tcPr>
          <w:p w14:paraId="5054F2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收集粉尘</w:t>
            </w:r>
          </w:p>
        </w:tc>
        <w:tc>
          <w:tcPr>
            <w:tcW w:w="662" w:type="pct"/>
            <w:tcBorders>
              <w:tl2br w:val="nil"/>
              <w:tr2bl w:val="nil"/>
            </w:tcBorders>
            <w:vAlign w:val="center"/>
          </w:tcPr>
          <w:p w14:paraId="03D505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470.26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144D4C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6BBE56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回用于生产</w:t>
            </w:r>
          </w:p>
        </w:tc>
      </w:tr>
      <w:tr w14:paraId="19C3D2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5F6D08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03B9E7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shd w:val="clear" w:color="auto" w:fill="auto"/>
            <w:vAlign w:val="center"/>
          </w:tcPr>
          <w:p w14:paraId="6818C8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废布袋</w:t>
            </w:r>
          </w:p>
        </w:tc>
        <w:tc>
          <w:tcPr>
            <w:tcW w:w="662" w:type="pct"/>
            <w:tcBorders>
              <w:tl2br w:val="nil"/>
              <w:tr2bl w:val="nil"/>
            </w:tcBorders>
            <w:shd w:val="clear" w:color="auto" w:fill="auto"/>
            <w:vAlign w:val="center"/>
          </w:tcPr>
          <w:p w14:paraId="692D9C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3t</w:t>
            </w:r>
          </w:p>
        </w:tc>
        <w:tc>
          <w:tcPr>
            <w:tcW w:w="1235" w:type="pct"/>
            <w:tcBorders>
              <w:tl2br w:val="nil"/>
              <w:tr2bl w:val="nil"/>
            </w:tcBorders>
            <w:shd w:val="clear" w:color="auto" w:fill="auto"/>
            <w:vAlign w:val="center"/>
          </w:tcPr>
          <w:p w14:paraId="3CF1AD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36" w:type="pct"/>
            <w:vMerge w:val="restart"/>
            <w:tcBorders>
              <w:tl2br w:val="nil"/>
              <w:tr2bl w:val="nil"/>
            </w:tcBorders>
            <w:shd w:val="clear" w:color="auto" w:fill="auto"/>
            <w:vAlign w:val="center"/>
          </w:tcPr>
          <w:p w14:paraId="537DF7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暂存于危险废物贮存点，定期交由有相应处置资质单位处置。</w:t>
            </w:r>
          </w:p>
        </w:tc>
      </w:tr>
      <w:tr w14:paraId="7C237F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04EDC0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274D66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vAlign w:val="center"/>
          </w:tcPr>
          <w:p w14:paraId="5FF342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662" w:type="pct"/>
            <w:tcBorders>
              <w:tl2br w:val="nil"/>
              <w:tr2bl w:val="nil"/>
            </w:tcBorders>
            <w:vAlign w:val="center"/>
          </w:tcPr>
          <w:p w14:paraId="3EAB3E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0.1t</w:t>
            </w:r>
          </w:p>
        </w:tc>
        <w:tc>
          <w:tcPr>
            <w:tcW w:w="1235" w:type="pct"/>
            <w:tcBorders>
              <w:tl2br w:val="nil"/>
              <w:tr2bl w:val="nil"/>
            </w:tcBorders>
            <w:vAlign w:val="center"/>
          </w:tcPr>
          <w:p w14:paraId="3BDA59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vMerge w:val="continue"/>
            <w:tcBorders>
              <w:tl2br w:val="nil"/>
              <w:tr2bl w:val="nil"/>
            </w:tcBorders>
            <w:vAlign w:val="center"/>
          </w:tcPr>
          <w:p w14:paraId="1C61C3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3226DE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075704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18ABCF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75CA9AC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空油桶</w:t>
            </w:r>
          </w:p>
        </w:tc>
        <w:tc>
          <w:tcPr>
            <w:tcW w:w="662" w:type="pct"/>
            <w:tcBorders>
              <w:tl2br w:val="nil"/>
              <w:tr2bl w:val="nil"/>
            </w:tcBorders>
            <w:vAlign w:val="center"/>
          </w:tcPr>
          <w:p w14:paraId="243E144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0.06t</w:t>
            </w:r>
          </w:p>
        </w:tc>
        <w:tc>
          <w:tcPr>
            <w:tcW w:w="1235" w:type="pct"/>
            <w:tcBorders>
              <w:tl2br w:val="nil"/>
              <w:tr2bl w:val="nil"/>
            </w:tcBorders>
            <w:vAlign w:val="center"/>
          </w:tcPr>
          <w:p w14:paraId="34EFFD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vMerge w:val="continue"/>
            <w:tcBorders>
              <w:tl2br w:val="nil"/>
              <w:tr2bl w:val="nil"/>
            </w:tcBorders>
            <w:vAlign w:val="center"/>
          </w:tcPr>
          <w:p w14:paraId="3CEEB9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396EB7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continue"/>
            <w:tcBorders>
              <w:tl2br w:val="nil"/>
              <w:tr2bl w:val="nil"/>
            </w:tcBorders>
            <w:vAlign w:val="center"/>
          </w:tcPr>
          <w:p w14:paraId="4E21B7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76482C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1F724E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val="en-US" w:eastAsia="zh-CN"/>
              </w:rPr>
              <w:t>氢氧化钠包装袋</w:t>
            </w:r>
          </w:p>
        </w:tc>
        <w:tc>
          <w:tcPr>
            <w:tcW w:w="662" w:type="pct"/>
            <w:tcBorders>
              <w:tl2br w:val="nil"/>
              <w:tr2bl w:val="nil"/>
            </w:tcBorders>
            <w:vAlign w:val="center"/>
          </w:tcPr>
          <w:p w14:paraId="1F15F9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588028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vMerge w:val="continue"/>
            <w:tcBorders>
              <w:tl2br w:val="nil"/>
              <w:tr2bl w:val="nil"/>
            </w:tcBorders>
            <w:vAlign w:val="center"/>
          </w:tcPr>
          <w:p w14:paraId="33ACCA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0D247A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159479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517A5D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933" w:type="pct"/>
            <w:tcBorders>
              <w:tl2br w:val="nil"/>
              <w:tr2bl w:val="nil"/>
            </w:tcBorders>
            <w:vAlign w:val="center"/>
          </w:tcPr>
          <w:p w14:paraId="3A564F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662" w:type="pct"/>
            <w:tcBorders>
              <w:tl2br w:val="nil"/>
              <w:tr2bl w:val="nil"/>
            </w:tcBorders>
            <w:vAlign w:val="center"/>
          </w:tcPr>
          <w:p w14:paraId="6CB001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lang w:val="en-US" w:eastAsia="zh-CN"/>
              </w:rPr>
              <w:t>t/a</w:t>
            </w:r>
          </w:p>
        </w:tc>
        <w:tc>
          <w:tcPr>
            <w:tcW w:w="1235" w:type="pct"/>
            <w:tcBorders>
              <w:tl2br w:val="nil"/>
              <w:tr2bl w:val="nil"/>
            </w:tcBorders>
            <w:vAlign w:val="center"/>
          </w:tcPr>
          <w:p w14:paraId="5F6F60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2B51FA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定期清运至垃圾填埋场进行处置</w:t>
            </w:r>
          </w:p>
        </w:tc>
      </w:tr>
    </w:tbl>
    <w:p w14:paraId="42A800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eastAsia="zh-CN"/>
        </w:rPr>
        <w:t>3.4-</w:t>
      </w:r>
      <w:r>
        <w:rPr>
          <w:rFonts w:hint="eastAsia" w:cs="Times New Roman"/>
          <w:b/>
          <w:color w:val="auto"/>
          <w:sz w:val="21"/>
          <w:szCs w:val="21"/>
          <w:highlight w:val="none"/>
          <w:lang w:val="en-US" w:eastAsia="zh-CN"/>
        </w:rPr>
        <w:t>12</w:t>
      </w:r>
      <w:r>
        <w:rPr>
          <w:rFonts w:hint="default" w:ascii="Times New Roman" w:hAnsi="Times New Roman" w:eastAsia="宋体" w:cs="Times New Roman"/>
          <w:b/>
          <w:color w:val="auto"/>
          <w:sz w:val="21"/>
          <w:szCs w:val="21"/>
          <w:highlight w:val="none"/>
        </w:rPr>
        <w:t xml:space="preserve">  项目实施后全厂污染物排放“三本账”情况表</w:t>
      </w:r>
    </w:p>
    <w:tbl>
      <w:tblPr>
        <w:tblStyle w:val="19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6"/>
        <w:gridCol w:w="1714"/>
        <w:gridCol w:w="1709"/>
        <w:gridCol w:w="1571"/>
        <w:gridCol w:w="1437"/>
        <w:gridCol w:w="1275"/>
      </w:tblGrid>
      <w:tr w14:paraId="61C2D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Align w:val="center"/>
          </w:tcPr>
          <w:p w14:paraId="1B03BFA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bookmarkStart w:id="132" w:name="_Hlk151377970"/>
            <w:r>
              <w:rPr>
                <w:rFonts w:hint="default" w:ascii="Times New Roman" w:hAnsi="Times New Roman" w:eastAsia="宋体" w:cs="Times New Roman"/>
                <w:color w:val="auto"/>
                <w:sz w:val="21"/>
                <w:szCs w:val="21"/>
                <w:highlight w:val="none"/>
              </w:rPr>
              <w:t>类别</w:t>
            </w:r>
          </w:p>
        </w:tc>
        <w:tc>
          <w:tcPr>
            <w:tcW w:w="1024" w:type="pct"/>
            <w:vAlign w:val="center"/>
          </w:tcPr>
          <w:p w14:paraId="3129F65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021" w:type="pct"/>
            <w:vAlign w:val="center"/>
          </w:tcPr>
          <w:p w14:paraId="18A0B90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现有工程排放量（或产生量）</w:t>
            </w:r>
          </w:p>
        </w:tc>
        <w:tc>
          <w:tcPr>
            <w:tcW w:w="939" w:type="pct"/>
            <w:vAlign w:val="center"/>
          </w:tcPr>
          <w:p w14:paraId="77F3509E">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项目新增排放量</w:t>
            </w:r>
          </w:p>
        </w:tc>
        <w:tc>
          <w:tcPr>
            <w:tcW w:w="859" w:type="pct"/>
            <w:vAlign w:val="center"/>
          </w:tcPr>
          <w:p w14:paraId="333C033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“以新带老”削减量</w:t>
            </w:r>
          </w:p>
        </w:tc>
        <w:tc>
          <w:tcPr>
            <w:tcW w:w="762" w:type="pct"/>
            <w:vAlign w:val="center"/>
          </w:tcPr>
          <w:p w14:paraId="57D7E9D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排放总量</w:t>
            </w:r>
          </w:p>
        </w:tc>
      </w:tr>
      <w:tr w14:paraId="155C6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392" w:type="pct"/>
            <w:vMerge w:val="restart"/>
            <w:vAlign w:val="center"/>
          </w:tcPr>
          <w:p w14:paraId="66F2A88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1024" w:type="pct"/>
            <w:vAlign w:val="center"/>
          </w:tcPr>
          <w:p w14:paraId="407FA42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r>
              <w:rPr>
                <w:rFonts w:hint="default" w:ascii="Times New Roman" w:hAnsi="Times New Roman" w:eastAsia="宋体" w:cs="Times New Roman"/>
                <w:color w:val="auto"/>
                <w:spacing w:val="-3"/>
                <w:sz w:val="21"/>
                <w:szCs w:val="21"/>
                <w:highlight w:val="none"/>
              </w:rPr>
              <w:t>t/a</w:t>
            </w:r>
            <w:r>
              <w:rPr>
                <w:rFonts w:hint="default" w:ascii="Times New Roman" w:hAnsi="Times New Roman" w:eastAsia="宋体" w:cs="Times New Roman"/>
                <w:color w:val="auto"/>
                <w:sz w:val="21"/>
                <w:szCs w:val="21"/>
                <w:highlight w:val="none"/>
              </w:rPr>
              <w:t>）</w:t>
            </w:r>
          </w:p>
        </w:tc>
        <w:tc>
          <w:tcPr>
            <w:tcW w:w="1021" w:type="pct"/>
            <w:vAlign w:val="center"/>
          </w:tcPr>
          <w:p w14:paraId="1274FAFB">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241.7</w:t>
            </w:r>
          </w:p>
        </w:tc>
        <w:tc>
          <w:tcPr>
            <w:tcW w:w="939" w:type="pct"/>
            <w:vAlign w:val="center"/>
          </w:tcPr>
          <w:p w14:paraId="4F83F66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24.36</w:t>
            </w:r>
          </w:p>
        </w:tc>
        <w:tc>
          <w:tcPr>
            <w:tcW w:w="1511" w:type="dxa"/>
            <w:vAlign w:val="center"/>
          </w:tcPr>
          <w:p w14:paraId="1C57321A">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6"/>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241.7</w:t>
            </w:r>
          </w:p>
        </w:tc>
        <w:tc>
          <w:tcPr>
            <w:tcW w:w="762" w:type="pct"/>
            <w:vAlign w:val="center"/>
          </w:tcPr>
          <w:p w14:paraId="70187BA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z w:val="21"/>
                <w:szCs w:val="21"/>
                <w:highlight w:val="none"/>
                <w:lang w:val="en-US" w:eastAsia="zh-CN"/>
              </w:rPr>
              <w:t>24.36</w:t>
            </w:r>
          </w:p>
        </w:tc>
      </w:tr>
      <w:tr w14:paraId="7173D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188C709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055B06A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r>
              <w:rPr>
                <w:rFonts w:hint="default" w:ascii="Times New Roman" w:hAnsi="Times New Roman" w:eastAsia="宋体" w:cs="Times New Roman"/>
                <w:color w:val="auto"/>
                <w:spacing w:val="-3"/>
                <w:sz w:val="21"/>
                <w:szCs w:val="21"/>
                <w:highlight w:val="none"/>
              </w:rPr>
              <w:t>t/a</w:t>
            </w:r>
            <w:r>
              <w:rPr>
                <w:rFonts w:hint="default" w:ascii="Times New Roman" w:hAnsi="Times New Roman" w:eastAsia="宋体" w:cs="Times New Roman"/>
                <w:color w:val="auto"/>
                <w:sz w:val="21"/>
                <w:szCs w:val="21"/>
                <w:highlight w:val="none"/>
              </w:rPr>
              <w:t>）</w:t>
            </w:r>
          </w:p>
        </w:tc>
        <w:tc>
          <w:tcPr>
            <w:tcW w:w="1021" w:type="pct"/>
            <w:vAlign w:val="center"/>
          </w:tcPr>
          <w:p w14:paraId="67C20B2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0.32</w:t>
            </w:r>
          </w:p>
        </w:tc>
        <w:tc>
          <w:tcPr>
            <w:tcW w:w="939" w:type="pct"/>
            <w:vAlign w:val="center"/>
          </w:tcPr>
          <w:p w14:paraId="415982E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7E1DE4C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6"/>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0.32</w:t>
            </w:r>
          </w:p>
        </w:tc>
        <w:tc>
          <w:tcPr>
            <w:tcW w:w="762" w:type="pct"/>
            <w:vAlign w:val="center"/>
          </w:tcPr>
          <w:p w14:paraId="5CE626E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r>
      <w:tr w14:paraId="4D489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2CB8F0B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56E198B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r>
              <w:rPr>
                <w:rFonts w:hint="default" w:ascii="Times New Roman" w:hAnsi="Times New Roman" w:eastAsia="宋体" w:cs="Times New Roman"/>
                <w:color w:val="auto"/>
                <w:spacing w:val="-3"/>
                <w:sz w:val="21"/>
                <w:szCs w:val="21"/>
                <w:highlight w:val="none"/>
              </w:rPr>
              <w:t>t/a</w:t>
            </w:r>
            <w:r>
              <w:rPr>
                <w:rFonts w:hint="default" w:ascii="Times New Roman" w:hAnsi="Times New Roman" w:eastAsia="宋体" w:cs="Times New Roman"/>
                <w:color w:val="auto"/>
                <w:sz w:val="21"/>
                <w:szCs w:val="21"/>
                <w:highlight w:val="none"/>
              </w:rPr>
              <w:t>）</w:t>
            </w:r>
          </w:p>
        </w:tc>
        <w:tc>
          <w:tcPr>
            <w:tcW w:w="1021" w:type="pct"/>
            <w:vAlign w:val="center"/>
          </w:tcPr>
          <w:p w14:paraId="05DDF338">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0.29</w:t>
            </w:r>
          </w:p>
        </w:tc>
        <w:tc>
          <w:tcPr>
            <w:tcW w:w="939" w:type="pct"/>
            <w:vAlign w:val="center"/>
          </w:tcPr>
          <w:p w14:paraId="6A261C8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6C470AC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6"/>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0.29</w:t>
            </w:r>
          </w:p>
        </w:tc>
        <w:tc>
          <w:tcPr>
            <w:tcW w:w="762" w:type="pct"/>
            <w:vAlign w:val="center"/>
          </w:tcPr>
          <w:p w14:paraId="4841C97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r>
      <w:tr w14:paraId="7CA1E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2" w:type="pct"/>
            <w:vMerge w:val="continue"/>
            <w:vAlign w:val="center"/>
          </w:tcPr>
          <w:p w14:paraId="3C664B7C">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5FCAEE01">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硫酸雾</w:t>
            </w:r>
          </w:p>
        </w:tc>
        <w:tc>
          <w:tcPr>
            <w:tcW w:w="1021" w:type="pct"/>
            <w:vAlign w:val="center"/>
          </w:tcPr>
          <w:p w14:paraId="0546268A">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0</w:t>
            </w:r>
          </w:p>
        </w:tc>
        <w:tc>
          <w:tcPr>
            <w:tcW w:w="939" w:type="pct"/>
            <w:vAlign w:val="center"/>
          </w:tcPr>
          <w:p w14:paraId="24A3A9D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0.218</w:t>
            </w:r>
          </w:p>
        </w:tc>
        <w:tc>
          <w:tcPr>
            <w:tcW w:w="1511" w:type="dxa"/>
            <w:vAlign w:val="center"/>
          </w:tcPr>
          <w:p w14:paraId="16058C6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6"/>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0</w:t>
            </w:r>
          </w:p>
        </w:tc>
        <w:tc>
          <w:tcPr>
            <w:tcW w:w="762" w:type="pct"/>
            <w:vAlign w:val="center"/>
          </w:tcPr>
          <w:p w14:paraId="7BB6CEF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0.218</w:t>
            </w:r>
          </w:p>
        </w:tc>
      </w:tr>
      <w:tr w14:paraId="1D844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392" w:type="pct"/>
            <w:vMerge w:val="restart"/>
            <w:vAlign w:val="center"/>
          </w:tcPr>
          <w:p w14:paraId="2E3CDA8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024" w:type="pct"/>
            <w:vAlign w:val="center"/>
          </w:tcPr>
          <w:p w14:paraId="54033128">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rPr>
              <w:t>）</w:t>
            </w:r>
          </w:p>
        </w:tc>
        <w:tc>
          <w:tcPr>
            <w:tcW w:w="1021" w:type="pct"/>
            <w:vAlign w:val="center"/>
          </w:tcPr>
          <w:p w14:paraId="45AD354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299600</w:t>
            </w:r>
          </w:p>
        </w:tc>
        <w:tc>
          <w:tcPr>
            <w:tcW w:w="939" w:type="pct"/>
            <w:vAlign w:val="center"/>
          </w:tcPr>
          <w:p w14:paraId="02C634EE">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1511" w:type="dxa"/>
            <w:vAlign w:val="center"/>
          </w:tcPr>
          <w:p w14:paraId="3541A17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299600</w:t>
            </w:r>
          </w:p>
        </w:tc>
        <w:tc>
          <w:tcPr>
            <w:tcW w:w="762" w:type="pct"/>
            <w:vAlign w:val="center"/>
          </w:tcPr>
          <w:p w14:paraId="3E8778F1">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4C2BA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2" w:type="pct"/>
            <w:vMerge w:val="continue"/>
            <w:vAlign w:val="center"/>
          </w:tcPr>
          <w:p w14:paraId="3B99FA0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478A4DF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pacing w:val="-2"/>
                <w:sz w:val="21"/>
                <w:szCs w:val="21"/>
                <w:highlight w:val="none"/>
              </w:rPr>
              <w:t>m</w:t>
            </w:r>
            <w:r>
              <w:rPr>
                <w:rFonts w:hint="default" w:ascii="Times New Roman" w:hAnsi="Times New Roman" w:eastAsia="宋体" w:cs="Times New Roman"/>
                <w:color w:val="auto"/>
                <w:spacing w:val="-2"/>
                <w:sz w:val="21"/>
                <w:szCs w:val="21"/>
                <w:highlight w:val="none"/>
                <w:vertAlign w:val="superscript"/>
              </w:rPr>
              <w:t>3</w:t>
            </w:r>
            <w:r>
              <w:rPr>
                <w:rFonts w:hint="default" w:ascii="Times New Roman" w:hAnsi="Times New Roman" w:eastAsia="宋体" w:cs="Times New Roman"/>
                <w:color w:val="auto"/>
                <w:spacing w:val="-2"/>
                <w:sz w:val="21"/>
                <w:szCs w:val="21"/>
                <w:highlight w:val="none"/>
              </w:rPr>
              <w:t>/a</w:t>
            </w:r>
            <w:r>
              <w:rPr>
                <w:rFonts w:hint="default" w:ascii="Times New Roman" w:hAnsi="Times New Roman" w:eastAsia="宋体" w:cs="Times New Roman"/>
                <w:color w:val="auto"/>
                <w:sz w:val="21"/>
                <w:szCs w:val="21"/>
                <w:highlight w:val="none"/>
              </w:rPr>
              <w:t>）</w:t>
            </w:r>
          </w:p>
        </w:tc>
        <w:tc>
          <w:tcPr>
            <w:tcW w:w="1021" w:type="pct"/>
            <w:vAlign w:val="center"/>
          </w:tcPr>
          <w:p w14:paraId="78D8E6CC">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1824</w:t>
            </w:r>
          </w:p>
        </w:tc>
        <w:tc>
          <w:tcPr>
            <w:tcW w:w="939" w:type="pct"/>
            <w:vAlign w:val="center"/>
          </w:tcPr>
          <w:p w14:paraId="3224E8B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480</w:t>
            </w:r>
          </w:p>
        </w:tc>
        <w:tc>
          <w:tcPr>
            <w:tcW w:w="1511" w:type="dxa"/>
            <w:vAlign w:val="center"/>
          </w:tcPr>
          <w:p w14:paraId="09A2CB3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1824</w:t>
            </w:r>
          </w:p>
        </w:tc>
        <w:tc>
          <w:tcPr>
            <w:tcW w:w="762" w:type="pct"/>
            <w:vAlign w:val="center"/>
          </w:tcPr>
          <w:p w14:paraId="1BE4F72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480</w:t>
            </w:r>
          </w:p>
        </w:tc>
      </w:tr>
      <w:tr w14:paraId="7411D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restart"/>
            <w:vAlign w:val="center"/>
          </w:tcPr>
          <w:p w14:paraId="27BB130C">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024" w:type="pct"/>
            <w:vAlign w:val="center"/>
          </w:tcPr>
          <w:p w14:paraId="07759A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收集粉尘</w:t>
            </w:r>
          </w:p>
        </w:tc>
        <w:tc>
          <w:tcPr>
            <w:tcW w:w="1021" w:type="pct"/>
            <w:vAlign w:val="center"/>
          </w:tcPr>
          <w:p w14:paraId="44644AB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240</w:t>
            </w:r>
          </w:p>
        </w:tc>
        <w:tc>
          <w:tcPr>
            <w:tcW w:w="939" w:type="pct"/>
            <w:vAlign w:val="center"/>
          </w:tcPr>
          <w:p w14:paraId="498AD3F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68DA89D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eastAsia"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240</w:t>
            </w:r>
          </w:p>
        </w:tc>
        <w:tc>
          <w:tcPr>
            <w:tcW w:w="762" w:type="pct"/>
            <w:vAlign w:val="center"/>
          </w:tcPr>
          <w:p w14:paraId="307E4948">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1EC14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19345A1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7DEFCB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浸出矿渣</w:t>
            </w:r>
          </w:p>
        </w:tc>
        <w:tc>
          <w:tcPr>
            <w:tcW w:w="1021" w:type="pct"/>
            <w:vAlign w:val="center"/>
          </w:tcPr>
          <w:p w14:paraId="4943D2CB">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55120</w:t>
            </w:r>
          </w:p>
        </w:tc>
        <w:tc>
          <w:tcPr>
            <w:tcW w:w="939" w:type="pct"/>
            <w:vAlign w:val="center"/>
          </w:tcPr>
          <w:p w14:paraId="760BA9A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5EA016E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55120</w:t>
            </w:r>
          </w:p>
        </w:tc>
        <w:tc>
          <w:tcPr>
            <w:tcW w:w="762" w:type="pct"/>
            <w:vAlign w:val="center"/>
          </w:tcPr>
          <w:p w14:paraId="429B21A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5C286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19FFFD3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4A3DC9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021" w:type="pct"/>
            <w:vAlign w:val="center"/>
          </w:tcPr>
          <w:p w14:paraId="0A9611DE">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0</w:t>
            </w:r>
          </w:p>
        </w:tc>
        <w:tc>
          <w:tcPr>
            <w:tcW w:w="939" w:type="pct"/>
            <w:vAlign w:val="center"/>
          </w:tcPr>
          <w:p w14:paraId="5120F79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11" w:type="dxa"/>
            <w:vAlign w:val="center"/>
          </w:tcPr>
          <w:p w14:paraId="0F2A33B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0</w:t>
            </w:r>
          </w:p>
        </w:tc>
        <w:tc>
          <w:tcPr>
            <w:tcW w:w="762" w:type="pct"/>
            <w:vAlign w:val="center"/>
          </w:tcPr>
          <w:p w14:paraId="669D5F38">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0</w:t>
            </w:r>
          </w:p>
        </w:tc>
      </w:tr>
      <w:tr w14:paraId="15AE0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5F661F1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5D04CF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1021" w:type="pct"/>
            <w:vAlign w:val="center"/>
          </w:tcPr>
          <w:p w14:paraId="3E8A43E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939" w:type="pct"/>
            <w:vAlign w:val="center"/>
          </w:tcPr>
          <w:p w14:paraId="27D3B7B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1F3F6D7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762" w:type="pct"/>
            <w:vAlign w:val="center"/>
          </w:tcPr>
          <w:p w14:paraId="0B54EF6A">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5B671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027F633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148A8A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空油桶</w:t>
            </w:r>
          </w:p>
        </w:tc>
        <w:tc>
          <w:tcPr>
            <w:tcW w:w="1021" w:type="pct"/>
            <w:vAlign w:val="center"/>
          </w:tcPr>
          <w:p w14:paraId="4785DB4E">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939" w:type="pct"/>
            <w:vAlign w:val="center"/>
          </w:tcPr>
          <w:p w14:paraId="5B9CEF9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44BF46E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762" w:type="pct"/>
            <w:vAlign w:val="center"/>
          </w:tcPr>
          <w:p w14:paraId="3E36C7C1">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7E3D4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5C76F3D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2CCAFB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2"/>
                <w:sz w:val="21"/>
                <w:szCs w:val="21"/>
                <w:highlight w:val="none"/>
                <w:lang w:val="en-US" w:eastAsia="zh-CN"/>
              </w:rPr>
              <w:t>氢氧化钠包装袋</w:t>
            </w:r>
          </w:p>
        </w:tc>
        <w:tc>
          <w:tcPr>
            <w:tcW w:w="1021" w:type="pct"/>
            <w:vAlign w:val="center"/>
          </w:tcPr>
          <w:p w14:paraId="3F89C99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939" w:type="pct"/>
            <w:vAlign w:val="center"/>
          </w:tcPr>
          <w:p w14:paraId="044D3E2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65A898A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762" w:type="pct"/>
            <w:vAlign w:val="center"/>
          </w:tcPr>
          <w:p w14:paraId="6A61951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48595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2" w:type="pct"/>
            <w:vMerge w:val="continue"/>
            <w:vAlign w:val="center"/>
          </w:tcPr>
          <w:p w14:paraId="048F6F1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3ACE74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021" w:type="pct"/>
            <w:vAlign w:val="top"/>
          </w:tcPr>
          <w:p w14:paraId="79259DD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22.8</w:t>
            </w:r>
          </w:p>
        </w:tc>
        <w:tc>
          <w:tcPr>
            <w:tcW w:w="939" w:type="pct"/>
            <w:vAlign w:val="center"/>
          </w:tcPr>
          <w:p w14:paraId="374A48E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top"/>
          </w:tcPr>
          <w:p w14:paraId="2002BEB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22.8</w:t>
            </w:r>
          </w:p>
        </w:tc>
        <w:tc>
          <w:tcPr>
            <w:tcW w:w="762" w:type="pct"/>
            <w:vAlign w:val="center"/>
          </w:tcPr>
          <w:p w14:paraId="075AA79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bookmarkEnd w:id="131"/>
      <w:bookmarkEnd w:id="132"/>
    </w:tbl>
    <w:p w14:paraId="4AC9AF7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3.4.</w:t>
      </w:r>
      <w:r>
        <w:rPr>
          <w:rFonts w:hint="eastAsia" w:cs="Times New Roman"/>
          <w:color w:val="auto"/>
          <w:highlight w:val="none"/>
          <w:lang w:val="en-US" w:eastAsia="zh-CN"/>
        </w:rPr>
        <w:t>3</w:t>
      </w:r>
      <w:r>
        <w:rPr>
          <w:rFonts w:hint="default" w:ascii="Times New Roman" w:hAnsi="Times New Roman" w:cs="Times New Roman"/>
          <w:color w:val="auto"/>
          <w:highlight w:val="none"/>
        </w:rPr>
        <w:t>非正常工况污染源强分析</w:t>
      </w:r>
    </w:p>
    <w:p w14:paraId="4B78139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b w:val="0"/>
          <w:bCs w:val="0"/>
          <w:color w:val="auto"/>
          <w:highlight w:val="none"/>
        </w:rPr>
      </w:pPr>
      <w:bookmarkStart w:id="133" w:name="_Hlk149945195"/>
      <w:r>
        <w:rPr>
          <w:rFonts w:hint="default" w:ascii="Times New Roman" w:hAnsi="Times New Roman" w:cs="Times New Roman"/>
          <w:b w:val="0"/>
          <w:bCs w:val="0"/>
          <w:color w:val="auto"/>
          <w:highlight w:val="none"/>
        </w:rPr>
        <w:t>非正常排放是指生产设备在开、停状态，检修状态或者部分设备未能完全运行的状态下污染物的排放情况。</w:t>
      </w:r>
    </w:p>
    <w:p w14:paraId="35C5E51D">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非正常工况下考虑为</w:t>
      </w:r>
      <w:r>
        <w:rPr>
          <w:rFonts w:hint="default" w:ascii="Times New Roman" w:hAnsi="Times New Roman" w:cs="Times New Roman"/>
          <w:b w:val="0"/>
          <w:bCs w:val="0"/>
          <w:color w:val="auto"/>
          <w:highlight w:val="none"/>
          <w:lang w:val="en-US" w:eastAsia="zh-CN"/>
        </w:rPr>
        <w:t>破碎工序</w:t>
      </w:r>
      <w:r>
        <w:rPr>
          <w:rFonts w:hint="default" w:ascii="Times New Roman" w:hAnsi="Times New Roman" w:cs="Times New Roman"/>
          <w:b w:val="0"/>
          <w:bCs w:val="0"/>
          <w:color w:val="auto"/>
          <w:highlight w:val="none"/>
        </w:rPr>
        <w:t>设置的密闭集气罩+</w:t>
      </w:r>
      <w:r>
        <w:rPr>
          <w:rFonts w:hint="eastAsia" w:cs="Times New Roman"/>
          <w:b w:val="0"/>
          <w:bCs w:val="0"/>
          <w:color w:val="auto"/>
          <w:highlight w:val="none"/>
          <w:lang w:eastAsia="zh-CN"/>
        </w:rPr>
        <w:t>脉冲</w:t>
      </w:r>
      <w:r>
        <w:rPr>
          <w:rFonts w:hint="eastAsia" w:cs="Times New Roman"/>
          <w:b w:val="0"/>
          <w:bCs w:val="0"/>
          <w:color w:val="auto"/>
          <w:highlight w:val="none"/>
          <w:lang w:eastAsia="zh-CN"/>
        </w:rPr>
        <w:t>袋式除尘器</w:t>
      </w:r>
      <w:r>
        <w:rPr>
          <w:rFonts w:hint="default" w:ascii="Times New Roman" w:hAnsi="Times New Roman" w:cs="Times New Roman"/>
          <w:b w:val="0"/>
          <w:bCs w:val="0"/>
          <w:color w:val="auto"/>
          <w:highlight w:val="none"/>
        </w:rPr>
        <w:t>+15m高排气筒排</w:t>
      </w:r>
      <w:r>
        <w:rPr>
          <w:rFonts w:hint="eastAsia" w:cs="Times New Roman"/>
          <w:b w:val="0"/>
          <w:bCs w:val="0"/>
          <w:color w:val="auto"/>
          <w:highlight w:val="none"/>
          <w:lang w:val="en-US" w:eastAsia="zh-CN"/>
        </w:rPr>
        <w:t>布袋故障损坏</w:t>
      </w:r>
      <w:r>
        <w:rPr>
          <w:rFonts w:hint="default" w:ascii="Times New Roman" w:hAnsi="Times New Roman" w:cs="Times New Roman"/>
          <w:b w:val="0"/>
          <w:bCs w:val="0"/>
          <w:color w:val="auto"/>
          <w:highlight w:val="none"/>
        </w:rPr>
        <w:t>，</w:t>
      </w:r>
      <w:r>
        <w:rPr>
          <w:rFonts w:hint="default" w:ascii="Times New Roman" w:hAnsi="Times New Roman" w:cs="Times New Roman"/>
          <w:b w:val="0"/>
          <w:bCs w:val="0"/>
          <w:color w:val="auto"/>
          <w:highlight w:val="none"/>
          <w:lang w:val="en-US" w:eastAsia="zh-CN"/>
        </w:rPr>
        <w:t>废气</w:t>
      </w:r>
      <w:r>
        <w:rPr>
          <w:rFonts w:hint="default" w:ascii="Times New Roman" w:hAnsi="Times New Roman" w:cs="Times New Roman"/>
          <w:color w:val="auto"/>
          <w:highlight w:val="none"/>
        </w:rPr>
        <w:t>由排气筒</w:t>
      </w:r>
      <w:r>
        <w:rPr>
          <w:rFonts w:hint="default" w:ascii="Times New Roman" w:hAnsi="Times New Roman" w:cs="Times New Roman"/>
          <w:color w:val="auto"/>
          <w:highlight w:val="none"/>
          <w:lang w:val="en-US" w:eastAsia="zh-CN"/>
        </w:rPr>
        <w:t>直接</w:t>
      </w:r>
      <w:r>
        <w:rPr>
          <w:rFonts w:hint="default" w:ascii="Times New Roman" w:hAnsi="Times New Roman" w:cs="Times New Roman"/>
          <w:color w:val="auto"/>
          <w:highlight w:val="none"/>
        </w:rPr>
        <w:t>排放。则项目生产过</w:t>
      </w:r>
      <w:r>
        <w:rPr>
          <w:rFonts w:hint="eastAsia" w:cs="Times New Roman"/>
          <w:color w:val="auto"/>
          <w:highlight w:val="none"/>
          <w:lang w:eastAsia="zh-CN"/>
        </w:rPr>
        <w:t>程中</w:t>
      </w:r>
      <w:r>
        <w:rPr>
          <w:rFonts w:hint="default" w:ascii="Times New Roman" w:hAnsi="Times New Roman" w:cs="Times New Roman"/>
          <w:color w:val="auto"/>
          <w:highlight w:val="none"/>
        </w:rPr>
        <w:t>产生的大气污染物将超标排放或未经处理直接排放，给项目区环境造成不利影响。</w:t>
      </w:r>
    </w:p>
    <w:p w14:paraId="684BC826">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非正常排放参数表详见表</w:t>
      </w:r>
      <w:r>
        <w:rPr>
          <w:rFonts w:hint="default" w:ascii="Times New Roman" w:hAnsi="Times New Roman" w:cs="Times New Roman"/>
          <w:color w:val="auto"/>
          <w:highlight w:val="none"/>
          <w:lang w:val="en-US" w:eastAsia="zh-CN"/>
        </w:rPr>
        <w:t>3.4-1</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14:paraId="791B835D">
      <w:pPr>
        <w:pStyle w:val="1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p>
    <w:p w14:paraId="7C026B69">
      <w:pPr>
        <w:pStyle w:val="1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3.4-1</w:t>
      </w:r>
      <w:r>
        <w:rPr>
          <w:rFonts w:hint="eastAsia" w:asci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废气非正常排放参数表</w:t>
      </w:r>
    </w:p>
    <w:tbl>
      <w:tblPr>
        <w:tblStyle w:val="33"/>
        <w:tblW w:w="5013"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62"/>
        <w:gridCol w:w="939"/>
        <w:gridCol w:w="1073"/>
        <w:gridCol w:w="1706"/>
        <w:gridCol w:w="1706"/>
        <w:gridCol w:w="925"/>
        <w:gridCol w:w="917"/>
      </w:tblGrid>
      <w:tr w14:paraId="476597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pct"/>
            <w:tcBorders>
              <w:tl2br w:val="nil"/>
              <w:tr2bl w:val="nil"/>
            </w:tcBorders>
            <w:vAlign w:val="center"/>
          </w:tcPr>
          <w:p w14:paraId="74AF8C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非正常排放源</w:t>
            </w:r>
          </w:p>
        </w:tc>
        <w:tc>
          <w:tcPr>
            <w:tcW w:w="569" w:type="pct"/>
            <w:tcBorders>
              <w:tl2br w:val="nil"/>
              <w:tr2bl w:val="nil"/>
            </w:tcBorders>
            <w:vAlign w:val="center"/>
          </w:tcPr>
          <w:p w14:paraId="726B12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非正常排放原因</w:t>
            </w:r>
          </w:p>
        </w:tc>
        <w:tc>
          <w:tcPr>
            <w:tcW w:w="649" w:type="pct"/>
            <w:tcBorders>
              <w:tl2br w:val="nil"/>
              <w:tr2bl w:val="nil"/>
            </w:tcBorders>
            <w:vAlign w:val="center"/>
          </w:tcPr>
          <w:p w14:paraId="1DAFA1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污染物</w:t>
            </w:r>
          </w:p>
        </w:tc>
        <w:tc>
          <w:tcPr>
            <w:tcW w:w="1029" w:type="pct"/>
            <w:tcBorders>
              <w:tl2br w:val="nil"/>
              <w:tr2bl w:val="nil"/>
            </w:tcBorders>
            <w:vAlign w:val="center"/>
          </w:tcPr>
          <w:p w14:paraId="1CFE5E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非正常浓度（mg/m</w:t>
            </w:r>
            <w:r>
              <w:rPr>
                <w:rFonts w:hint="default" w:ascii="Times New Roman" w:hAnsi="Times New Roman" w:cs="Times New Roman"/>
                <w:b/>
                <w:bCs/>
                <w:color w:val="auto"/>
                <w:spacing w:val="2"/>
                <w:sz w:val="21"/>
                <w:szCs w:val="21"/>
                <w:highlight w:val="none"/>
                <w:vertAlign w:val="superscript"/>
              </w:rPr>
              <w:t>3</w:t>
            </w:r>
            <w:r>
              <w:rPr>
                <w:rFonts w:hint="default" w:ascii="Times New Roman" w:hAnsi="Times New Roman" w:cs="Times New Roman"/>
                <w:b/>
                <w:bCs/>
                <w:color w:val="auto"/>
                <w:spacing w:val="2"/>
                <w:sz w:val="21"/>
                <w:szCs w:val="21"/>
                <w:highlight w:val="none"/>
              </w:rPr>
              <w:t>）</w:t>
            </w:r>
          </w:p>
        </w:tc>
        <w:tc>
          <w:tcPr>
            <w:tcW w:w="1029" w:type="pct"/>
            <w:tcBorders>
              <w:tl2br w:val="nil"/>
              <w:tr2bl w:val="nil"/>
            </w:tcBorders>
            <w:vAlign w:val="center"/>
          </w:tcPr>
          <w:p w14:paraId="08A134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pacing w:val="2"/>
                <w:sz w:val="21"/>
                <w:szCs w:val="21"/>
                <w:highlight w:val="none"/>
                <w:lang w:val="en-US" w:eastAsia="zh-CN"/>
              </w:rPr>
            </w:pPr>
            <w:r>
              <w:rPr>
                <w:rFonts w:hint="default" w:ascii="Times New Roman" w:hAnsi="Times New Roman" w:cs="Times New Roman"/>
                <w:b/>
                <w:bCs/>
                <w:color w:val="auto"/>
                <w:spacing w:val="2"/>
                <w:sz w:val="21"/>
                <w:szCs w:val="21"/>
                <w:highlight w:val="none"/>
              </w:rPr>
              <w:t>非正常排放</w:t>
            </w:r>
            <w:r>
              <w:rPr>
                <w:rFonts w:hint="eastAsia" w:cs="Times New Roman"/>
                <w:b/>
                <w:bCs/>
                <w:color w:val="auto"/>
                <w:spacing w:val="2"/>
                <w:sz w:val="21"/>
                <w:szCs w:val="21"/>
                <w:highlight w:val="none"/>
                <w:lang w:val="en-US" w:eastAsia="zh-CN"/>
              </w:rPr>
              <w:t>量</w:t>
            </w:r>
          </w:p>
          <w:p w14:paraId="68367E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eastAsia" w:cs="Times New Roman"/>
                <w:b/>
                <w:bCs/>
                <w:color w:val="auto"/>
                <w:spacing w:val="2"/>
                <w:sz w:val="21"/>
                <w:szCs w:val="21"/>
                <w:highlight w:val="none"/>
                <w:lang w:eastAsia="zh-CN"/>
              </w:rPr>
              <w:t>(</w:t>
            </w:r>
            <w:r>
              <w:rPr>
                <w:rFonts w:hint="eastAsia" w:cs="Times New Roman"/>
                <w:b/>
                <w:bCs/>
                <w:color w:val="auto"/>
                <w:spacing w:val="2"/>
                <w:sz w:val="21"/>
                <w:szCs w:val="21"/>
                <w:highlight w:val="none"/>
                <w:lang w:val="en-US" w:eastAsia="zh-CN"/>
              </w:rPr>
              <w:t>k</w:t>
            </w:r>
            <w:r>
              <w:rPr>
                <w:rFonts w:hint="default" w:ascii="Times New Roman" w:hAnsi="Times New Roman" w:cs="Times New Roman"/>
                <w:b/>
                <w:bCs/>
                <w:color w:val="auto"/>
                <w:spacing w:val="2"/>
                <w:sz w:val="21"/>
                <w:szCs w:val="21"/>
                <w:highlight w:val="none"/>
              </w:rPr>
              <w:t>g/h</w:t>
            </w:r>
            <w:r>
              <w:rPr>
                <w:rFonts w:hint="eastAsia" w:cs="Times New Roman"/>
                <w:b/>
                <w:bCs/>
                <w:color w:val="auto"/>
                <w:spacing w:val="2"/>
                <w:sz w:val="21"/>
                <w:szCs w:val="21"/>
                <w:highlight w:val="none"/>
                <w:lang w:eastAsia="zh-CN"/>
              </w:rPr>
              <w:t>)</w:t>
            </w:r>
          </w:p>
        </w:tc>
        <w:tc>
          <w:tcPr>
            <w:tcW w:w="560" w:type="pct"/>
            <w:tcBorders>
              <w:tl2br w:val="nil"/>
              <w:tr2bl w:val="nil"/>
            </w:tcBorders>
            <w:vAlign w:val="center"/>
          </w:tcPr>
          <w:p w14:paraId="51362C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单次持续时间/h</w:t>
            </w:r>
          </w:p>
        </w:tc>
        <w:tc>
          <w:tcPr>
            <w:tcW w:w="555" w:type="pct"/>
            <w:tcBorders>
              <w:tl2br w:val="nil"/>
              <w:tr2bl w:val="nil"/>
            </w:tcBorders>
            <w:vAlign w:val="center"/>
          </w:tcPr>
          <w:p w14:paraId="615594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年发生频次/年</w:t>
            </w:r>
          </w:p>
        </w:tc>
      </w:tr>
      <w:tr w14:paraId="5251BB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6" w:type="pct"/>
            <w:tcBorders>
              <w:tl2br w:val="nil"/>
              <w:tr2bl w:val="nil"/>
            </w:tcBorders>
            <w:vAlign w:val="center"/>
          </w:tcPr>
          <w:p w14:paraId="662E57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DA001</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排气筒</w:t>
            </w:r>
          </w:p>
        </w:tc>
        <w:tc>
          <w:tcPr>
            <w:tcW w:w="569" w:type="pct"/>
            <w:vMerge w:val="restart"/>
            <w:tcBorders>
              <w:tl2br w:val="nil"/>
              <w:tr2bl w:val="nil"/>
            </w:tcBorders>
            <w:vAlign w:val="center"/>
          </w:tcPr>
          <w:p w14:paraId="53B81A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布袋故障损坏</w:t>
            </w:r>
          </w:p>
        </w:tc>
        <w:tc>
          <w:tcPr>
            <w:tcW w:w="649" w:type="pct"/>
            <w:vMerge w:val="restart"/>
            <w:tcBorders>
              <w:tl2br w:val="nil"/>
              <w:tr2bl w:val="nil"/>
            </w:tcBorders>
            <w:vAlign w:val="center"/>
          </w:tcPr>
          <w:p w14:paraId="4CBF72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803" w:type="dxa"/>
            <w:tcBorders>
              <w:tl2br w:val="nil"/>
              <w:tr2bl w:val="nil"/>
            </w:tcBorders>
            <w:vAlign w:val="center"/>
          </w:tcPr>
          <w:p w14:paraId="784391A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3077.87</w:t>
            </w:r>
          </w:p>
        </w:tc>
        <w:tc>
          <w:tcPr>
            <w:tcW w:w="1803" w:type="dxa"/>
            <w:tcBorders>
              <w:tl2br w:val="nil"/>
              <w:tr2bl w:val="nil"/>
            </w:tcBorders>
            <w:vAlign w:val="center"/>
          </w:tcPr>
          <w:p w14:paraId="4480CDF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19.79</w:t>
            </w:r>
          </w:p>
        </w:tc>
        <w:tc>
          <w:tcPr>
            <w:tcW w:w="560" w:type="pct"/>
            <w:vMerge w:val="restart"/>
            <w:tcBorders>
              <w:tl2br w:val="nil"/>
              <w:tr2bl w:val="nil"/>
            </w:tcBorders>
            <w:vAlign w:val="center"/>
          </w:tcPr>
          <w:p w14:paraId="68DCA0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1h</w:t>
            </w:r>
          </w:p>
        </w:tc>
        <w:tc>
          <w:tcPr>
            <w:tcW w:w="555" w:type="pct"/>
            <w:vMerge w:val="restart"/>
            <w:tcBorders>
              <w:tl2br w:val="nil"/>
              <w:tr2bl w:val="nil"/>
            </w:tcBorders>
            <w:vAlign w:val="center"/>
          </w:tcPr>
          <w:p w14:paraId="00FEF5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1</w:t>
            </w:r>
          </w:p>
        </w:tc>
      </w:tr>
      <w:tr w14:paraId="41ECF9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pct"/>
            <w:tcBorders>
              <w:tl2br w:val="nil"/>
              <w:tr2bl w:val="nil"/>
            </w:tcBorders>
            <w:vAlign w:val="center"/>
          </w:tcPr>
          <w:p w14:paraId="25A47F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pacing w:val="2"/>
                <w:sz w:val="21"/>
                <w:szCs w:val="21"/>
                <w:highlight w:val="none"/>
              </w:rPr>
              <w:t>排气筒</w:t>
            </w:r>
          </w:p>
        </w:tc>
        <w:tc>
          <w:tcPr>
            <w:tcW w:w="569" w:type="pct"/>
            <w:vMerge w:val="continue"/>
            <w:tcBorders>
              <w:tl2br w:val="nil"/>
              <w:tr2bl w:val="nil"/>
            </w:tcBorders>
            <w:vAlign w:val="center"/>
          </w:tcPr>
          <w:p w14:paraId="57CDF8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49" w:type="pct"/>
            <w:vMerge w:val="continue"/>
            <w:tcBorders>
              <w:tl2br w:val="nil"/>
              <w:tr2bl w:val="nil"/>
            </w:tcBorders>
            <w:vAlign w:val="center"/>
          </w:tcPr>
          <w:p w14:paraId="14C9BA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
                <w:sz w:val="21"/>
                <w:szCs w:val="21"/>
                <w:highlight w:val="none"/>
                <w:lang w:val="en-US" w:eastAsia="zh-CN"/>
              </w:rPr>
            </w:pPr>
          </w:p>
        </w:tc>
        <w:tc>
          <w:tcPr>
            <w:tcW w:w="1803" w:type="dxa"/>
            <w:tcBorders>
              <w:tl2br w:val="nil"/>
              <w:tr2bl w:val="nil"/>
            </w:tcBorders>
            <w:vAlign w:val="center"/>
          </w:tcPr>
          <w:p w14:paraId="72EE6E0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9134.62</w:t>
            </w:r>
          </w:p>
        </w:tc>
        <w:tc>
          <w:tcPr>
            <w:tcW w:w="1803" w:type="dxa"/>
            <w:tcBorders>
              <w:tl2br w:val="nil"/>
              <w:tr2bl w:val="nil"/>
            </w:tcBorders>
            <w:vAlign w:val="center"/>
          </w:tcPr>
          <w:p w14:paraId="44522D5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59.38</w:t>
            </w:r>
          </w:p>
        </w:tc>
        <w:tc>
          <w:tcPr>
            <w:tcW w:w="560" w:type="pct"/>
            <w:vMerge w:val="continue"/>
            <w:tcBorders>
              <w:tl2br w:val="nil"/>
              <w:tr2bl w:val="nil"/>
            </w:tcBorders>
            <w:vAlign w:val="center"/>
          </w:tcPr>
          <w:p w14:paraId="62218B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55" w:type="pct"/>
            <w:vMerge w:val="continue"/>
            <w:tcBorders>
              <w:tl2br w:val="nil"/>
              <w:tr2bl w:val="nil"/>
            </w:tcBorders>
            <w:vAlign w:val="center"/>
          </w:tcPr>
          <w:p w14:paraId="1A77B7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bl>
    <w:p w14:paraId="65733DA8">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lang w:val="en-US" w:eastAsia="zh-CN"/>
        </w:rPr>
      </w:pPr>
      <w:bookmarkStart w:id="134" w:name="_Toc12484"/>
      <w:bookmarkStart w:id="135" w:name="_Toc4848"/>
      <w:r>
        <w:rPr>
          <w:rFonts w:hint="default" w:ascii="Times New Roman" w:hAnsi="Times New Roman" w:eastAsia="宋体" w:cs="Times New Roman"/>
          <w:color w:val="auto"/>
          <w:highlight w:val="none"/>
          <w:lang w:val="en-US" w:eastAsia="zh-CN"/>
        </w:rPr>
        <w:t>3.5总量控制指标</w:t>
      </w:r>
      <w:bookmarkEnd w:id="134"/>
      <w:bookmarkEnd w:id="135"/>
    </w:p>
    <w:p w14:paraId="7B97F77B">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eastAsia="zh-CN"/>
        </w:rPr>
      </w:pPr>
      <w:bookmarkStart w:id="136" w:name="_Hlk150378806"/>
      <w:r>
        <w:rPr>
          <w:rFonts w:hint="default" w:ascii="Times New Roman" w:hAnsi="Times New Roman" w:cs="Times New Roman"/>
          <w:color w:val="auto"/>
          <w:highlight w:val="none"/>
        </w:rPr>
        <w:t>总量控制因子包括化学需氧量、氨氮、二氧化硫、氮氧化物等四种主要污染物，根据《新疆维吾尔自治区重金属污染防控工作方案》中规定对重金属铅、汞、镉、铬和砷五种重金属污染物</w:t>
      </w:r>
      <w:r>
        <w:rPr>
          <w:rFonts w:hint="eastAsia" w:cs="Times New Roman"/>
          <w:color w:val="auto"/>
          <w:highlight w:val="none"/>
          <w:lang w:val="en-US" w:eastAsia="zh-CN"/>
        </w:rPr>
        <w:t>排放量</w:t>
      </w:r>
      <w:r>
        <w:rPr>
          <w:rFonts w:hint="default" w:ascii="Times New Roman" w:hAnsi="Times New Roman" w:cs="Times New Roman"/>
          <w:color w:val="auto"/>
          <w:highlight w:val="none"/>
        </w:rPr>
        <w:t>实施总量控制。本项目</w:t>
      </w:r>
      <w:r>
        <w:rPr>
          <w:rFonts w:hint="default" w:ascii="Times New Roman" w:hAnsi="Times New Roman" w:cs="Times New Roman"/>
          <w:color w:val="auto"/>
          <w:highlight w:val="none"/>
          <w:lang w:val="en-US" w:eastAsia="zh-CN"/>
        </w:rPr>
        <w:t>生产水</w:t>
      </w:r>
      <w:r>
        <w:rPr>
          <w:rFonts w:hint="default" w:ascii="Times New Roman" w:hAnsi="Times New Roman" w:cs="Times New Roman"/>
          <w:color w:val="auto"/>
          <w:highlight w:val="none"/>
        </w:rPr>
        <w:t>全部</w:t>
      </w:r>
      <w:r>
        <w:rPr>
          <w:rFonts w:hint="default" w:ascii="Times New Roman" w:hAnsi="Times New Roman" w:cs="Times New Roman"/>
          <w:color w:val="auto"/>
          <w:highlight w:val="none"/>
          <w:lang w:val="en-US" w:eastAsia="zh-CN"/>
        </w:rPr>
        <w:t>循环使用</w:t>
      </w:r>
      <w:r>
        <w:rPr>
          <w:rFonts w:hint="default" w:ascii="Times New Roman" w:hAnsi="Times New Roman" w:cs="Times New Roman"/>
          <w:color w:val="auto"/>
          <w:highlight w:val="none"/>
        </w:rPr>
        <w:t>，</w:t>
      </w:r>
      <w:r>
        <w:rPr>
          <w:rFonts w:hint="eastAsia" w:cs="Times New Roman"/>
          <w:color w:val="auto"/>
          <w:highlight w:val="none"/>
          <w:lang w:val="en-US" w:eastAsia="zh-CN"/>
        </w:rPr>
        <w:t>不外排</w:t>
      </w:r>
      <w:r>
        <w:rPr>
          <w:rFonts w:hint="default" w:ascii="Times New Roman" w:hAnsi="Times New Roman" w:cs="Times New Roman"/>
          <w:color w:val="auto"/>
          <w:highlight w:val="none"/>
        </w:rPr>
        <w:t>，</w:t>
      </w:r>
      <w:r>
        <w:rPr>
          <w:rFonts w:hint="eastAsia" w:cs="Times New Roman"/>
          <w:color w:val="auto"/>
          <w:highlight w:val="none"/>
          <w:lang w:val="en-US" w:eastAsia="zh-CN"/>
        </w:rPr>
        <w:t>故</w:t>
      </w:r>
      <w:r>
        <w:rPr>
          <w:rFonts w:hint="default" w:ascii="Times New Roman" w:hAnsi="Times New Roman" w:cs="Times New Roman"/>
          <w:color w:val="auto"/>
          <w:highlight w:val="none"/>
        </w:rPr>
        <w:t>COD、氨氮零排放；项目冬季采暖采用电锅炉，生产排放的污染物主要为</w:t>
      </w:r>
      <w:r>
        <w:rPr>
          <w:rFonts w:hint="eastAsia" w:cs="Times New Roman"/>
          <w:color w:val="auto"/>
          <w:highlight w:val="none"/>
          <w:lang w:val="en-US" w:eastAsia="zh-CN"/>
        </w:rPr>
        <w:t>颗粒物、硫酸雾及少量无组织</w:t>
      </w:r>
      <w:r>
        <w:rPr>
          <w:rFonts w:hint="default" w:ascii="Times New Roman" w:hAnsi="Times New Roman" w:cs="Times New Roman"/>
          <w:color w:val="auto"/>
          <w:highlight w:val="none"/>
        </w:rPr>
        <w:t>VOCs排放。故</w:t>
      </w:r>
      <w:r>
        <w:rPr>
          <w:rFonts w:hint="default" w:ascii="Times New Roman" w:hAnsi="Times New Roman" w:cs="Times New Roman"/>
          <w:color w:val="auto"/>
          <w:highlight w:val="none"/>
          <w:lang w:eastAsia="zh-CN"/>
        </w:rPr>
        <w:t>本项目不需要申请总量控制指标。</w:t>
      </w:r>
    </w:p>
    <w:bookmarkEnd w:id="133"/>
    <w:bookmarkEnd w:id="136"/>
    <w:p w14:paraId="131865D5">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lang w:val="en-US" w:eastAsia="zh-CN"/>
        </w:rPr>
      </w:pPr>
      <w:bookmarkStart w:id="137" w:name="_Toc8768"/>
      <w:bookmarkStart w:id="138" w:name="_Toc21617"/>
      <w:bookmarkStart w:id="139" w:name="_Toc11937"/>
      <w:r>
        <w:rPr>
          <w:rFonts w:hint="default" w:ascii="Times New Roman" w:hAnsi="Times New Roman" w:eastAsia="宋体" w:cs="Times New Roman"/>
          <w:color w:val="auto"/>
          <w:highlight w:val="none"/>
          <w:lang w:val="en-US" w:eastAsia="zh-CN"/>
        </w:rPr>
        <w:t xml:space="preserve">3.6 </w:t>
      </w:r>
      <w:bookmarkStart w:id="140" w:name="_Hlk149945121"/>
      <w:r>
        <w:rPr>
          <w:rFonts w:hint="default" w:ascii="Times New Roman" w:hAnsi="Times New Roman" w:eastAsia="宋体" w:cs="Times New Roman"/>
          <w:color w:val="auto"/>
          <w:highlight w:val="none"/>
          <w:lang w:val="en-US" w:eastAsia="zh-CN"/>
        </w:rPr>
        <w:t>清洁生产</w:t>
      </w:r>
      <w:bookmarkEnd w:id="137"/>
      <w:bookmarkEnd w:id="138"/>
      <w:bookmarkEnd w:id="139"/>
    </w:p>
    <w:bookmarkEnd w:id="140"/>
    <w:p w14:paraId="53A7E835">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3.6</w:t>
      </w:r>
      <w:r>
        <w:rPr>
          <w:rFonts w:hint="default" w:ascii="Times New Roman" w:hAnsi="Times New Roman" w:eastAsia="宋体" w:cs="Times New Roman"/>
          <w:color w:val="auto"/>
          <w:highlight w:val="none"/>
          <w:lang w:val="en-US" w:eastAsia="zh-CN"/>
        </w:rPr>
        <w:t>.1清洁生产的目的</w:t>
      </w:r>
    </w:p>
    <w:p w14:paraId="40F66D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《建设项目环境保护管理条例》规定：</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工业建设项目应当采用能耗物耗小、污染物产生量少的清洁生产工艺，合理利用自然资源，防止环境污染和生态破坏</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w:t>
      </w:r>
    </w:p>
    <w:p w14:paraId="4EB94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清洁生产的目的就是通过采用先进的生产技术、工艺设备以及清洁原料，在运行过程中实现节省能源，降低原材料消耗，从源头控制污染物产生量并降低末端污染控制投资和运行费用，实现污染物排放的全过程控制，有效地减少污染物排放量。采用清洁生产可最大限度地利用资源、能源，使原材料最大限度地转化为产品，把污染消除在运行过程中，以达到保护自然资源和环境的目的。</w:t>
      </w:r>
    </w:p>
    <w:p w14:paraId="3480F4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采用清洁生产工艺，可减轻建设项目的末端处理负担、提高建设项目的环境可靠性、提高建设项目的市场竞争力并降低建设项目的环境责任风险。</w:t>
      </w:r>
    </w:p>
    <w:p w14:paraId="7495C7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本环评根据上述清洁生产的基本原则，从原辅材料的清洁性、生产工艺和设备的先进性、节能减排措施、清洁生产指标评价等方面对项目清洁生产进行综合分析。</w:t>
      </w:r>
    </w:p>
    <w:p w14:paraId="08542F34">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3.6</w:t>
      </w:r>
      <w:r>
        <w:rPr>
          <w:rFonts w:hint="default" w:ascii="Times New Roman" w:hAnsi="Times New Roman" w:eastAsia="宋体" w:cs="Times New Roman"/>
          <w:color w:val="auto"/>
          <w:highlight w:val="none"/>
          <w:lang w:val="en-US" w:eastAsia="zh-CN"/>
        </w:rPr>
        <w:t>.2本项目清洁生产分析</w:t>
      </w:r>
    </w:p>
    <w:p w14:paraId="0A5946C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.2.1原辅材料的清洁性</w:t>
      </w:r>
    </w:p>
    <w:p w14:paraId="4E5656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项目主要原辅料包括阳极铜、硫酸、盐酸、骨胶、硫酸脲、干酪素，所涉及危险化学品为硫酸、盐酸，均为常规无机酸原料，为腐蚀性生产原料，不涉及毒性、难降解危险化学品。原料的毒副作用较小，原料均较为清洁。</w:t>
      </w:r>
    </w:p>
    <w:p w14:paraId="4BCFBC9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.2.2生产工艺和设备的先进性</w:t>
      </w:r>
    </w:p>
    <w:p w14:paraId="297CDC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目前国内外铜电解精炼主要有始极片电解和永久阴极电解两种工艺。</w:t>
      </w:r>
    </w:p>
    <w:p w14:paraId="25D745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始极片法电解已有多年生产历史，工艺成熟可靠，特别是近些年采用了机械化、自动化水平高的阴、阳极加工机组后，提高了阴、阳极板的垂直度，可稳定产出合格的阴极铜产品。始极片法的缺点在于制作始极片的工艺相对较为复杂，需要独立的始极片生产系统，且始极片需要人工剥片，劳动强度大，所需劳动定员多。虽然现在普遍采用了极板加工机组，但由于始极片质软其平直度较难保证，尤其在大极板电解的生产过程中易出现短路，容易影响阴极铜的质量。</w:t>
      </w:r>
    </w:p>
    <w:p w14:paraId="3E59F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本项目采用永久阴极电解工艺。平行流电解属于永久阴极电解工艺的一种最新技术，属引进奥地利技术。它是通过在</w:t>
      </w:r>
      <w:r>
        <w:rPr>
          <w:rFonts w:hint="eastAsia" w:cs="Times New Roman"/>
          <w:snapToGrid w:val="0"/>
          <w:color w:val="auto"/>
          <w:kern w:val="0"/>
          <w:sz w:val="24"/>
          <w:szCs w:val="28"/>
          <w:highlight w:val="none"/>
          <w:lang w:eastAsia="zh-CN"/>
        </w:rPr>
        <w:t>电积槽</w:t>
      </w:r>
      <w:r>
        <w:rPr>
          <w:rFonts w:hint="default" w:ascii="Times New Roman" w:hAnsi="Times New Roman" w:eastAsia="宋体" w:cs="Times New Roman"/>
          <w:snapToGrid w:val="0"/>
          <w:color w:val="auto"/>
          <w:kern w:val="0"/>
          <w:sz w:val="24"/>
          <w:szCs w:val="28"/>
          <w:highlight w:val="none"/>
          <w:lang w:eastAsia="zh-CN"/>
        </w:rPr>
        <w:t>侧壁安装进液装置，使</w:t>
      </w:r>
      <w:r>
        <w:rPr>
          <w:rFonts w:hint="eastAsia" w:cs="Times New Roman"/>
          <w:snapToGrid w:val="0"/>
          <w:color w:val="auto"/>
          <w:kern w:val="0"/>
          <w:sz w:val="24"/>
          <w:szCs w:val="28"/>
          <w:highlight w:val="none"/>
          <w:lang w:eastAsia="zh-CN"/>
        </w:rPr>
        <w:t>电积液</w:t>
      </w:r>
      <w:r>
        <w:rPr>
          <w:rFonts w:hint="default" w:ascii="Times New Roman" w:hAnsi="Times New Roman" w:eastAsia="宋体" w:cs="Times New Roman"/>
          <w:snapToGrid w:val="0"/>
          <w:color w:val="auto"/>
          <w:kern w:val="0"/>
          <w:sz w:val="24"/>
          <w:szCs w:val="28"/>
          <w:highlight w:val="none"/>
          <w:lang w:eastAsia="zh-CN"/>
        </w:rPr>
        <w:t>的流动方向与阴极板板面平行并且向上流动，这种进液方式有效</w:t>
      </w:r>
      <w:r>
        <w:rPr>
          <w:rFonts w:hint="eastAsia" w:cs="Times New Roman"/>
          <w:snapToGrid w:val="0"/>
          <w:color w:val="auto"/>
          <w:kern w:val="0"/>
          <w:sz w:val="24"/>
          <w:szCs w:val="28"/>
          <w:highlight w:val="none"/>
          <w:lang w:eastAsia="zh-CN"/>
        </w:rPr>
        <w:t>地</w:t>
      </w:r>
      <w:r>
        <w:rPr>
          <w:rFonts w:hint="default" w:ascii="Times New Roman" w:hAnsi="Times New Roman" w:eastAsia="宋体" w:cs="Times New Roman"/>
          <w:snapToGrid w:val="0"/>
          <w:color w:val="auto"/>
          <w:kern w:val="0"/>
          <w:sz w:val="24"/>
          <w:szCs w:val="28"/>
          <w:highlight w:val="none"/>
          <w:lang w:eastAsia="zh-CN"/>
        </w:rPr>
        <w:t>降低了阴极附近的浓差极化现象，因而能够在较高的电流密度下进行。</w:t>
      </w:r>
    </w:p>
    <w:p w14:paraId="747593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永久阴极电解具有以下特点：</w:t>
      </w:r>
    </w:p>
    <w:p w14:paraId="298CE7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（1）电流密度高，极距小。由于不锈钢阴极表面光洁、平直、悬垂度好，不容易造成短路，故可采用较小极间距和较高的电流密度。国内工厂的电流密度一般在280～320A/m</w:t>
      </w:r>
      <w:r>
        <w:rPr>
          <w:rFonts w:hint="default" w:ascii="Times New Roman" w:hAnsi="Times New Roman" w:eastAsia="宋体" w:cs="Times New Roman"/>
          <w:snapToGrid w:val="0"/>
          <w:color w:val="auto"/>
          <w:kern w:val="0"/>
          <w:sz w:val="24"/>
          <w:szCs w:val="28"/>
          <w:highlight w:val="none"/>
          <w:vertAlign w:val="superscript"/>
          <w:lang w:eastAsia="zh-CN"/>
        </w:rPr>
        <w:t>2</w:t>
      </w:r>
      <w:r>
        <w:rPr>
          <w:rFonts w:hint="default" w:ascii="Times New Roman" w:hAnsi="Times New Roman" w:eastAsia="宋体" w:cs="Times New Roman"/>
          <w:snapToGrid w:val="0"/>
          <w:color w:val="auto"/>
          <w:kern w:val="0"/>
          <w:sz w:val="24"/>
          <w:szCs w:val="28"/>
          <w:highlight w:val="none"/>
          <w:lang w:eastAsia="zh-CN"/>
        </w:rPr>
        <w:t>左右。</w:t>
      </w:r>
    </w:p>
    <w:p w14:paraId="5ED8DF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2）阴极周期短。永久阴极法一般采用较短的阴极周期，通常为6～8d，一般是阳极周期的1/2～1/3。阴极周期短，金属积压量少，流动资金少。而且周期短使电解过程中电极短路和表面长粒子的情况大为改善，有利于阴极铜质量的保证。</w:t>
      </w:r>
    </w:p>
    <w:p w14:paraId="6EDF36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（3）蒸汽耗量低。传统电解法的平均蒸汽消耗量为0.6～1.0t/tCu，永久阴极法平均蒸汽消耗量在0.2～0.4t/tCu左右，这主要是：1）电流密度高、电流通过</w:t>
      </w:r>
      <w:r>
        <w:rPr>
          <w:rFonts w:hint="eastAsia" w:cs="Times New Roman"/>
          <w:snapToGrid w:val="0"/>
          <w:color w:val="auto"/>
          <w:kern w:val="0"/>
          <w:sz w:val="24"/>
          <w:szCs w:val="28"/>
          <w:highlight w:val="none"/>
          <w:lang w:eastAsia="zh-CN"/>
        </w:rPr>
        <w:t>电积液</w:t>
      </w:r>
      <w:r>
        <w:rPr>
          <w:rFonts w:hint="default" w:ascii="Times New Roman" w:hAnsi="Times New Roman" w:eastAsia="宋体" w:cs="Times New Roman"/>
          <w:snapToGrid w:val="0"/>
          <w:color w:val="auto"/>
          <w:kern w:val="0"/>
          <w:sz w:val="24"/>
          <w:szCs w:val="28"/>
          <w:highlight w:val="none"/>
          <w:lang w:eastAsia="zh-CN"/>
        </w:rPr>
        <w:t>时产生的热量大；2）短路少，不用经常掀起槽面覆盖物检查短路，槽面覆盖好，散热少；3）</w:t>
      </w:r>
      <w:r>
        <w:rPr>
          <w:rFonts w:hint="eastAsia" w:cs="Times New Roman"/>
          <w:snapToGrid w:val="0"/>
          <w:color w:val="auto"/>
          <w:kern w:val="0"/>
          <w:sz w:val="24"/>
          <w:szCs w:val="28"/>
          <w:highlight w:val="none"/>
          <w:lang w:eastAsia="zh-CN"/>
        </w:rPr>
        <w:t>电积槽</w:t>
      </w:r>
      <w:r>
        <w:rPr>
          <w:rFonts w:hint="default" w:ascii="Times New Roman" w:hAnsi="Times New Roman" w:eastAsia="宋体" w:cs="Times New Roman"/>
          <w:snapToGrid w:val="0"/>
          <w:color w:val="auto"/>
          <w:kern w:val="0"/>
          <w:sz w:val="24"/>
          <w:szCs w:val="28"/>
          <w:highlight w:val="none"/>
          <w:lang w:eastAsia="zh-CN"/>
        </w:rPr>
        <w:t>数量少，槽面辐射热及蒸发损失少。</w:t>
      </w:r>
    </w:p>
    <w:p w14:paraId="3DEE10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（4）残极率低。由于不锈钢阴极平直度好，电力线分布均匀，不容易短路，</w:t>
      </w:r>
    </w:p>
    <w:p w14:paraId="36BC62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所以阳极板的溶解更均匀，不会在电解后期形成大洞或断裂掉入槽内，残极率可降低至14%～16%。</w:t>
      </w:r>
    </w:p>
    <w:p w14:paraId="6A839F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5）流程简单、自动化程度高，相对于传统的始极片法操作人员配置较少。由于永久阴极电解工艺具有残极率低、蒸汽单耗少、无始极片生产制作工序、劳动定员少、生产成本比传统始极片法低等优势，因此永久阴极电解工艺处于国内外行业先进水平，属于阴极铜电解精炼主流生产工艺。</w:t>
      </w:r>
    </w:p>
    <w:p w14:paraId="5B46C10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.2.3资源、能源的回收及利用</w:t>
      </w:r>
    </w:p>
    <w:p w14:paraId="086EFA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本项目主要能源结构为电能，无明显二次污染。根据生产用水对水质的要求不同，项目实施生产</w:t>
      </w:r>
      <w:r>
        <w:rPr>
          <w:rFonts w:hint="default" w:ascii="Times New Roman" w:hAnsi="Times New Roman" w:eastAsia="宋体" w:cs="Times New Roman"/>
          <w:snapToGrid w:val="0"/>
          <w:color w:val="auto"/>
          <w:kern w:val="0"/>
          <w:sz w:val="24"/>
          <w:szCs w:val="28"/>
          <w:highlight w:val="none"/>
          <w:lang w:val="en-US" w:eastAsia="zh-CN"/>
        </w:rPr>
        <w:t>用水循环利用</w:t>
      </w:r>
      <w:r>
        <w:rPr>
          <w:rFonts w:hint="default" w:ascii="Times New Roman" w:hAnsi="Times New Roman" w:eastAsia="宋体" w:cs="Times New Roman"/>
          <w:snapToGrid w:val="0"/>
          <w:color w:val="auto"/>
          <w:kern w:val="0"/>
          <w:sz w:val="24"/>
          <w:szCs w:val="28"/>
          <w:highlight w:val="none"/>
          <w:lang w:eastAsia="zh-CN"/>
        </w:rPr>
        <w:t>。本项目工业复用水率高达</w:t>
      </w:r>
      <w:r>
        <w:rPr>
          <w:rFonts w:hint="default" w:ascii="Times New Roman" w:hAnsi="Times New Roman" w:eastAsia="Segoe UI" w:cs="Times New Roman"/>
          <w:i w:val="0"/>
          <w:iCs w:val="0"/>
          <w:caps w:val="0"/>
          <w:color w:val="auto"/>
          <w:spacing w:val="0"/>
          <w:sz w:val="24"/>
          <w:szCs w:val="24"/>
          <w:shd w:val="clear" w:fill="FFFFFF"/>
        </w:rPr>
        <w:t>99.93%</w:t>
      </w:r>
      <w:r>
        <w:rPr>
          <w:rFonts w:hint="default" w:ascii="Times New Roman" w:hAnsi="Times New Roman" w:eastAsia="宋体" w:cs="Times New Roman"/>
          <w:snapToGrid w:val="0"/>
          <w:color w:val="auto"/>
          <w:kern w:val="0"/>
          <w:sz w:val="24"/>
          <w:szCs w:val="28"/>
          <w:highlight w:val="none"/>
          <w:lang w:eastAsia="zh-CN"/>
        </w:rPr>
        <w:t>。</w:t>
      </w:r>
    </w:p>
    <w:p w14:paraId="4077920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.2.4产品清洁性</w:t>
      </w:r>
    </w:p>
    <w:p w14:paraId="62E621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项目产品为高纯阴极铜，电解铜是与人类关系非常密切的有色金属，被广泛地应用于电气、轻工、机械制造、建筑工业、国防工业等领域。铜在电气、电子工业中应用最广、用量最大，占总消费量一半以上。用于各种电缆和导线，电机和变压器的绕阻，开关以及印刷线路板等。本项目产品无毒无害，符合清洁生产的要求。</w:t>
      </w:r>
    </w:p>
    <w:p w14:paraId="288A89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.2.5污染物控制措施</w:t>
      </w:r>
    </w:p>
    <w:p w14:paraId="74A490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项目末端设施处理产生污染物均能达标排放，生产用水循环使用不产生废水</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对环境影响较小。</w:t>
      </w:r>
    </w:p>
    <w:p w14:paraId="4B666B3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.2.6清洁生产水平分析</w:t>
      </w:r>
    </w:p>
    <w:p w14:paraId="243825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napToGrid w:val="0"/>
          <w:color w:val="auto"/>
          <w:kern w:val="0"/>
          <w:sz w:val="24"/>
          <w:szCs w:val="28"/>
          <w:highlight w:val="none"/>
          <w:lang w:eastAsia="zh-CN"/>
        </w:rPr>
        <w:t>2024年1月国家发展改革委、生态环境部、工业和信息化部联合发布了《铜冶炼行业清洁生产评价指标体系》。本项目为阴极铜精炼项目，项目清洁生产水平对照指标体系中</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表</w:t>
      </w:r>
      <w:r>
        <w:rPr>
          <w:rFonts w:hint="eastAsia" w:ascii="Times New Roman" w:hAnsi="Times New Roman" w:eastAsia="宋体" w:cs="Times New Roman"/>
          <w:snapToGrid w:val="0"/>
          <w:color w:val="auto"/>
          <w:kern w:val="0"/>
          <w:sz w:val="24"/>
          <w:szCs w:val="28"/>
          <w:highlight w:val="none"/>
          <w:lang w:val="en-US" w:eastAsia="zh-CN"/>
        </w:rPr>
        <w:t>3</w:t>
      </w:r>
      <w:r>
        <w:rPr>
          <w:rFonts w:hint="default" w:ascii="Times New Roman" w:hAnsi="Times New Roman" w:eastAsia="宋体" w:cs="Times New Roman"/>
          <w:snapToGrid w:val="0"/>
          <w:color w:val="auto"/>
          <w:kern w:val="0"/>
          <w:sz w:val="24"/>
          <w:szCs w:val="28"/>
          <w:highlight w:val="none"/>
          <w:lang w:eastAsia="zh-CN"/>
        </w:rPr>
        <w:t>铜湿法冶炼企业清洁生产评价指标、评价基准值及权重值表</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分析计算。根据表</w:t>
      </w:r>
      <w:r>
        <w:rPr>
          <w:rFonts w:hint="eastAsia" w:ascii="Times New Roman" w:hAnsi="Times New Roman" w:eastAsia="宋体" w:cs="Times New Roman"/>
          <w:snapToGrid w:val="0"/>
          <w:color w:val="auto"/>
          <w:kern w:val="0"/>
          <w:sz w:val="24"/>
          <w:szCs w:val="28"/>
          <w:highlight w:val="none"/>
          <w:lang w:eastAsia="zh-CN"/>
        </w:rPr>
        <w:t>3.6</w:t>
      </w:r>
      <w:r>
        <w:rPr>
          <w:rFonts w:hint="default" w:ascii="Times New Roman" w:hAnsi="Times New Roman" w:eastAsia="宋体" w:cs="Times New Roman"/>
          <w:snapToGrid w:val="0"/>
          <w:color w:val="auto"/>
          <w:kern w:val="0"/>
          <w:sz w:val="24"/>
          <w:szCs w:val="28"/>
          <w:highlight w:val="none"/>
          <w:lang w:eastAsia="zh-CN"/>
        </w:rPr>
        <w:t>-1清洁生产评价指标体系以分析计算：</w:t>
      </w:r>
    </w:p>
    <w:p w14:paraId="232F28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表</w:t>
      </w:r>
      <w:r>
        <w:rPr>
          <w:rFonts w:hint="eastAsia" w:ascii="Times New Roman" w:hAnsi="Times New Roman" w:eastAsia="宋体" w:cs="Times New Roman"/>
          <w:b/>
          <w:bCs/>
          <w:color w:val="auto"/>
          <w:spacing w:val="0"/>
          <w:w w:val="100"/>
          <w:position w:val="0"/>
          <w:sz w:val="21"/>
          <w:szCs w:val="21"/>
          <w:lang w:val="en-US" w:eastAsia="zh-CN"/>
        </w:rPr>
        <w:t xml:space="preserve">3.6-1   </w:t>
      </w:r>
      <w:r>
        <w:rPr>
          <w:rFonts w:hint="default" w:ascii="Times New Roman" w:hAnsi="Times New Roman" w:eastAsia="宋体" w:cs="Times New Roman"/>
          <w:b/>
          <w:bCs/>
          <w:color w:val="auto"/>
          <w:spacing w:val="0"/>
          <w:w w:val="100"/>
          <w:position w:val="0"/>
          <w:sz w:val="21"/>
          <w:szCs w:val="21"/>
        </w:rPr>
        <w:t>本项目清洁生产评价指标体系分析一览表</w:t>
      </w:r>
    </w:p>
    <w:tbl>
      <w:tblPr>
        <w:tblStyle w:val="121"/>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01"/>
        <w:gridCol w:w="755"/>
        <w:gridCol w:w="736"/>
        <w:gridCol w:w="1630"/>
        <w:gridCol w:w="740"/>
        <w:gridCol w:w="751"/>
        <w:gridCol w:w="1725"/>
        <w:gridCol w:w="1739"/>
        <w:gridCol w:w="1764"/>
        <w:gridCol w:w="2685"/>
        <w:gridCol w:w="885"/>
        <w:gridCol w:w="39"/>
      </w:tblGrid>
      <w:tr w14:paraId="279438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5" w:hRule="atLeast"/>
          <w:jc w:val="center"/>
        </w:trPr>
        <w:tc>
          <w:tcPr>
            <w:tcW w:w="180" w:type="pct"/>
            <w:tcBorders>
              <w:tl2br w:val="nil"/>
              <w:tr2bl w:val="nil"/>
            </w:tcBorders>
            <w:vAlign w:val="top"/>
          </w:tcPr>
          <w:p w14:paraId="1CCB3E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序号</w:t>
            </w:r>
          </w:p>
        </w:tc>
        <w:tc>
          <w:tcPr>
            <w:tcW w:w="271" w:type="pct"/>
            <w:tcBorders>
              <w:tl2br w:val="nil"/>
              <w:tr2bl w:val="nil"/>
            </w:tcBorders>
            <w:vAlign w:val="top"/>
          </w:tcPr>
          <w:p w14:paraId="6741B5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一级指标</w:t>
            </w:r>
          </w:p>
        </w:tc>
        <w:tc>
          <w:tcPr>
            <w:tcW w:w="264" w:type="pct"/>
            <w:tcBorders>
              <w:tl2br w:val="nil"/>
              <w:tr2bl w:val="nil"/>
            </w:tcBorders>
            <w:vAlign w:val="top"/>
          </w:tcPr>
          <w:p w14:paraId="1ACAF4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一级指标权重</w:t>
            </w:r>
          </w:p>
        </w:tc>
        <w:tc>
          <w:tcPr>
            <w:tcW w:w="584" w:type="pct"/>
            <w:tcBorders>
              <w:tl2br w:val="nil"/>
              <w:tr2bl w:val="nil"/>
            </w:tcBorders>
            <w:vAlign w:val="top"/>
          </w:tcPr>
          <w:p w14:paraId="125926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二级指标</w:t>
            </w:r>
          </w:p>
        </w:tc>
        <w:tc>
          <w:tcPr>
            <w:tcW w:w="265" w:type="pct"/>
            <w:tcBorders>
              <w:tl2br w:val="nil"/>
              <w:tr2bl w:val="nil"/>
            </w:tcBorders>
            <w:vAlign w:val="top"/>
          </w:tcPr>
          <w:p w14:paraId="5E3D58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单位</w:t>
            </w:r>
          </w:p>
        </w:tc>
        <w:tc>
          <w:tcPr>
            <w:tcW w:w="269" w:type="pct"/>
            <w:tcBorders>
              <w:tl2br w:val="nil"/>
              <w:tr2bl w:val="nil"/>
            </w:tcBorders>
            <w:vAlign w:val="top"/>
          </w:tcPr>
          <w:p w14:paraId="212354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二级指标权重</w:t>
            </w:r>
          </w:p>
        </w:tc>
        <w:tc>
          <w:tcPr>
            <w:tcW w:w="618" w:type="pct"/>
            <w:tcBorders>
              <w:tl2br w:val="nil"/>
              <w:tr2bl w:val="nil"/>
            </w:tcBorders>
            <w:vAlign w:val="top"/>
          </w:tcPr>
          <w:p w14:paraId="6B400B8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I级清洁生产水平基准值</w:t>
            </w:r>
          </w:p>
        </w:tc>
        <w:tc>
          <w:tcPr>
            <w:tcW w:w="623" w:type="pct"/>
            <w:tcBorders>
              <w:tl2br w:val="nil"/>
              <w:tr2bl w:val="nil"/>
            </w:tcBorders>
            <w:vAlign w:val="top"/>
          </w:tcPr>
          <w:p w14:paraId="2D5F5C8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eastAsia" w:ascii="Times New Roman" w:hAnsi="Times New Roman" w:cs="Times New Roman"/>
                <w:b/>
                <w:bCs/>
                <w:color w:val="auto"/>
                <w:spacing w:val="0"/>
                <w:w w:val="100"/>
                <w:position w:val="0"/>
                <w:sz w:val="21"/>
                <w:szCs w:val="21"/>
                <w:lang w:eastAsia="zh-CN"/>
              </w:rPr>
              <w:t>Ⅱ级</w:t>
            </w:r>
            <w:r>
              <w:rPr>
                <w:rFonts w:hint="default" w:ascii="Times New Roman" w:hAnsi="Times New Roman" w:eastAsia="宋体" w:cs="Times New Roman"/>
                <w:b/>
                <w:bCs/>
                <w:color w:val="auto"/>
                <w:spacing w:val="0"/>
                <w:w w:val="100"/>
                <w:position w:val="0"/>
                <w:sz w:val="21"/>
                <w:szCs w:val="21"/>
              </w:rPr>
              <w:t>清洁生产水平基准值</w:t>
            </w:r>
          </w:p>
        </w:tc>
        <w:tc>
          <w:tcPr>
            <w:tcW w:w="629" w:type="pct"/>
            <w:tcBorders>
              <w:tl2br w:val="nil"/>
              <w:tr2bl w:val="nil"/>
            </w:tcBorders>
            <w:vAlign w:val="top"/>
          </w:tcPr>
          <w:p w14:paraId="3BAF019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eastAsia" w:ascii="Times New Roman" w:hAnsi="Times New Roman" w:cs="Times New Roman"/>
                <w:b/>
                <w:bCs/>
                <w:color w:val="auto"/>
                <w:spacing w:val="0"/>
                <w:w w:val="100"/>
                <w:position w:val="0"/>
                <w:sz w:val="21"/>
                <w:szCs w:val="21"/>
                <w:lang w:eastAsia="zh-CN"/>
              </w:rPr>
              <w:t>Ⅲ级</w:t>
            </w:r>
            <w:r>
              <w:rPr>
                <w:rFonts w:hint="default" w:ascii="Times New Roman" w:hAnsi="Times New Roman" w:eastAsia="宋体" w:cs="Times New Roman"/>
                <w:b/>
                <w:bCs/>
                <w:color w:val="auto"/>
                <w:spacing w:val="0"/>
                <w:w w:val="100"/>
                <w:position w:val="0"/>
                <w:sz w:val="21"/>
                <w:szCs w:val="21"/>
              </w:rPr>
              <w:t>清洁生产水平基准值</w:t>
            </w:r>
          </w:p>
        </w:tc>
        <w:tc>
          <w:tcPr>
            <w:tcW w:w="962" w:type="pct"/>
            <w:tcBorders>
              <w:tl2br w:val="nil"/>
              <w:tr2bl w:val="nil"/>
            </w:tcBorders>
            <w:vAlign w:val="center"/>
          </w:tcPr>
          <w:p w14:paraId="7F74BE9A">
            <w:pPr>
              <w:pStyle w:val="207"/>
              <w:keepNext w:val="0"/>
              <w:keepLines w:val="0"/>
              <w:pageBreakBefore w:val="0"/>
              <w:widowControl/>
              <w:kinsoku w:val="0"/>
              <w:wordWrap/>
              <w:overflowPunct/>
              <w:topLinePunct w:val="0"/>
              <w:autoSpaceDE w:val="0"/>
              <w:autoSpaceDN w:val="0"/>
              <w:bidi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aps w:val="0"/>
                <w:smallCaps w:val="0"/>
                <w:color w:val="auto"/>
                <w:kern w:val="0"/>
                <w:sz w:val="21"/>
                <w:szCs w:val="21"/>
              </w:rPr>
              <w:t>本项目情况</w:t>
            </w:r>
          </w:p>
        </w:tc>
        <w:tc>
          <w:tcPr>
            <w:tcW w:w="317" w:type="pct"/>
            <w:tcBorders>
              <w:tl2br w:val="nil"/>
              <w:tr2bl w:val="nil"/>
            </w:tcBorders>
            <w:vAlign w:val="center"/>
          </w:tcPr>
          <w:p w14:paraId="04FBF7F0">
            <w:pPr>
              <w:pStyle w:val="207"/>
              <w:keepNext w:val="0"/>
              <w:keepLines w:val="0"/>
              <w:pageBreakBefore w:val="0"/>
              <w:widowControl/>
              <w:kinsoku w:val="0"/>
              <w:wordWrap/>
              <w:overflowPunct/>
              <w:topLinePunct w:val="0"/>
              <w:autoSpaceDE w:val="0"/>
              <w:autoSpaceDN w:val="0"/>
              <w:bidi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aps w:val="0"/>
                <w:smallCaps w:val="0"/>
                <w:color w:val="auto"/>
                <w:kern w:val="0"/>
                <w:sz w:val="21"/>
                <w:szCs w:val="21"/>
              </w:rPr>
              <w:t>达到等级</w:t>
            </w:r>
          </w:p>
        </w:tc>
      </w:tr>
      <w:tr w14:paraId="79CEEA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4600BF4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w:t>
            </w:r>
          </w:p>
        </w:tc>
        <w:tc>
          <w:tcPr>
            <w:tcW w:w="271" w:type="pct"/>
            <w:vMerge w:val="restart"/>
            <w:tcBorders>
              <w:tl2br w:val="nil"/>
              <w:tr2bl w:val="nil"/>
            </w:tcBorders>
            <w:vAlign w:val="top"/>
          </w:tcPr>
          <w:p w14:paraId="77042A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2BB01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E4F81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6AE74C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生产工艺及装备</w:t>
            </w:r>
          </w:p>
        </w:tc>
        <w:tc>
          <w:tcPr>
            <w:tcW w:w="264" w:type="pct"/>
            <w:vMerge w:val="restart"/>
            <w:tcBorders>
              <w:tl2br w:val="nil"/>
              <w:tr2bl w:val="nil"/>
            </w:tcBorders>
            <w:vAlign w:val="top"/>
          </w:tcPr>
          <w:p w14:paraId="2327D4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6834C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9EA86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1DC3E7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0.15</w:t>
            </w:r>
          </w:p>
        </w:tc>
        <w:tc>
          <w:tcPr>
            <w:tcW w:w="584" w:type="pct"/>
            <w:tcBorders>
              <w:tl2br w:val="nil"/>
              <w:tr2bl w:val="nil"/>
            </w:tcBorders>
            <w:vAlign w:val="top"/>
          </w:tcPr>
          <w:p w14:paraId="263896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湿法炼铜工艺</w:t>
            </w:r>
          </w:p>
        </w:tc>
        <w:tc>
          <w:tcPr>
            <w:tcW w:w="265" w:type="pct"/>
            <w:tcBorders>
              <w:tl2br w:val="nil"/>
              <w:tr2bl w:val="nil"/>
            </w:tcBorders>
            <w:vAlign w:val="top"/>
          </w:tcPr>
          <w:p w14:paraId="5F4B1FD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52C68F0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1241" w:type="pct"/>
            <w:gridSpan w:val="2"/>
            <w:tcBorders>
              <w:tl2br w:val="nil"/>
              <w:tr2bl w:val="nil"/>
            </w:tcBorders>
            <w:vAlign w:val="top"/>
          </w:tcPr>
          <w:p w14:paraId="73EC482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直接浸出-萃取-电积</w:t>
            </w:r>
          </w:p>
        </w:tc>
        <w:tc>
          <w:tcPr>
            <w:tcW w:w="629" w:type="pct"/>
            <w:tcBorders>
              <w:tl2br w:val="nil"/>
              <w:tr2bl w:val="nil"/>
            </w:tcBorders>
            <w:vAlign w:val="top"/>
          </w:tcPr>
          <w:p w14:paraId="08A56E6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焙烧-浸出-萃取-电积</w:t>
            </w:r>
          </w:p>
        </w:tc>
        <w:tc>
          <w:tcPr>
            <w:tcW w:w="962" w:type="pct"/>
            <w:tcBorders>
              <w:tl2br w:val="nil"/>
              <w:tr2bl w:val="nil"/>
            </w:tcBorders>
            <w:vAlign w:val="top"/>
          </w:tcPr>
          <w:p w14:paraId="17F31EF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本项目为</w:t>
            </w:r>
            <w:r>
              <w:rPr>
                <w:rFonts w:hint="default" w:ascii="Times New Roman" w:hAnsi="Times New Roman" w:eastAsia="宋体" w:cs="Times New Roman"/>
                <w:color w:val="auto"/>
                <w:spacing w:val="0"/>
                <w:w w:val="100"/>
                <w:position w:val="0"/>
                <w:sz w:val="21"/>
                <w:szCs w:val="21"/>
              </w:rPr>
              <w:t>直接浸出-萃取-电积</w:t>
            </w:r>
          </w:p>
        </w:tc>
        <w:tc>
          <w:tcPr>
            <w:tcW w:w="317" w:type="pct"/>
            <w:tcBorders>
              <w:tl2br w:val="nil"/>
              <w:tr2bl w:val="nil"/>
            </w:tcBorders>
            <w:vAlign w:val="top"/>
          </w:tcPr>
          <w:p w14:paraId="46AE12D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46CC7E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0" w:hRule="atLeast"/>
          <w:jc w:val="center"/>
        </w:trPr>
        <w:tc>
          <w:tcPr>
            <w:tcW w:w="180" w:type="pct"/>
            <w:tcBorders>
              <w:tl2br w:val="nil"/>
              <w:tr2bl w:val="nil"/>
            </w:tcBorders>
            <w:vAlign w:val="top"/>
          </w:tcPr>
          <w:p w14:paraId="067A662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w:t>
            </w:r>
          </w:p>
        </w:tc>
        <w:tc>
          <w:tcPr>
            <w:tcW w:w="271" w:type="pct"/>
            <w:vMerge w:val="continue"/>
            <w:tcBorders>
              <w:tl2br w:val="nil"/>
              <w:tr2bl w:val="nil"/>
            </w:tcBorders>
            <w:vAlign w:val="top"/>
          </w:tcPr>
          <w:p w14:paraId="3FF018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481087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A7F16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浸出工艺</w:t>
            </w:r>
          </w:p>
        </w:tc>
        <w:tc>
          <w:tcPr>
            <w:tcW w:w="265" w:type="pct"/>
            <w:tcBorders>
              <w:tl2br w:val="nil"/>
              <w:tr2bl w:val="nil"/>
            </w:tcBorders>
            <w:vAlign w:val="top"/>
          </w:tcPr>
          <w:p w14:paraId="26FD0D3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1434D2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1870" w:type="pct"/>
            <w:gridSpan w:val="3"/>
            <w:tcBorders>
              <w:tl2br w:val="nil"/>
              <w:tr2bl w:val="nil"/>
            </w:tcBorders>
            <w:vAlign w:val="top"/>
          </w:tcPr>
          <w:p w14:paraId="65355A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搅拌浸出或原地堆浸</w:t>
            </w:r>
          </w:p>
        </w:tc>
        <w:tc>
          <w:tcPr>
            <w:tcW w:w="962" w:type="pct"/>
            <w:tcBorders>
              <w:tl2br w:val="nil"/>
              <w:tr2bl w:val="nil"/>
            </w:tcBorders>
            <w:vAlign w:val="top"/>
          </w:tcPr>
          <w:p w14:paraId="50525C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本项目为搅拌浸出</w:t>
            </w:r>
          </w:p>
        </w:tc>
        <w:tc>
          <w:tcPr>
            <w:tcW w:w="317" w:type="pct"/>
            <w:tcBorders>
              <w:tl2br w:val="nil"/>
              <w:tr2bl w:val="nil"/>
            </w:tcBorders>
            <w:vAlign w:val="top"/>
          </w:tcPr>
          <w:p w14:paraId="7912AC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40AFF1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30F36CF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w:t>
            </w:r>
          </w:p>
        </w:tc>
        <w:tc>
          <w:tcPr>
            <w:tcW w:w="271" w:type="pct"/>
            <w:vMerge w:val="continue"/>
            <w:tcBorders>
              <w:tl2br w:val="nil"/>
              <w:tr2bl w:val="nil"/>
            </w:tcBorders>
            <w:vAlign w:val="top"/>
          </w:tcPr>
          <w:p w14:paraId="55F94A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CA7BA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7A2B41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萃取工艺</w:t>
            </w:r>
          </w:p>
        </w:tc>
        <w:tc>
          <w:tcPr>
            <w:tcW w:w="265" w:type="pct"/>
            <w:tcBorders>
              <w:tl2br w:val="nil"/>
              <w:tr2bl w:val="nil"/>
            </w:tcBorders>
            <w:vAlign w:val="top"/>
          </w:tcPr>
          <w:p w14:paraId="68ECE02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371E3C5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342ED6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混合澄清萃取箱</w:t>
            </w:r>
          </w:p>
        </w:tc>
        <w:tc>
          <w:tcPr>
            <w:tcW w:w="623" w:type="pct"/>
            <w:tcBorders>
              <w:tl2br w:val="nil"/>
              <w:tr2bl w:val="nil"/>
            </w:tcBorders>
            <w:vAlign w:val="top"/>
          </w:tcPr>
          <w:p w14:paraId="09153B2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离心萃取器</w:t>
            </w:r>
          </w:p>
        </w:tc>
        <w:tc>
          <w:tcPr>
            <w:tcW w:w="629" w:type="pct"/>
            <w:tcBorders>
              <w:tl2br w:val="nil"/>
              <w:tr2bl w:val="nil"/>
            </w:tcBorders>
            <w:vAlign w:val="top"/>
          </w:tcPr>
          <w:p w14:paraId="6E38A6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萃取塔</w:t>
            </w:r>
          </w:p>
        </w:tc>
        <w:tc>
          <w:tcPr>
            <w:tcW w:w="962" w:type="pct"/>
            <w:tcBorders>
              <w:tl2br w:val="nil"/>
              <w:tr2bl w:val="nil"/>
            </w:tcBorders>
            <w:vAlign w:val="top"/>
          </w:tcPr>
          <w:p w14:paraId="30063F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本项目为</w:t>
            </w:r>
            <w:r>
              <w:rPr>
                <w:rFonts w:hint="default" w:ascii="Times New Roman" w:hAnsi="Times New Roman" w:eastAsia="宋体" w:cs="Times New Roman"/>
                <w:color w:val="auto"/>
                <w:spacing w:val="0"/>
                <w:w w:val="100"/>
                <w:position w:val="0"/>
                <w:sz w:val="21"/>
                <w:szCs w:val="21"/>
              </w:rPr>
              <w:t>混合澄清萃取箱</w:t>
            </w:r>
          </w:p>
        </w:tc>
        <w:tc>
          <w:tcPr>
            <w:tcW w:w="317" w:type="pct"/>
            <w:tcBorders>
              <w:tl2br w:val="nil"/>
              <w:tr2bl w:val="nil"/>
            </w:tcBorders>
            <w:vAlign w:val="top"/>
          </w:tcPr>
          <w:p w14:paraId="6A5093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44D278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097AFAF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4</w:t>
            </w:r>
          </w:p>
        </w:tc>
        <w:tc>
          <w:tcPr>
            <w:tcW w:w="271" w:type="pct"/>
            <w:vMerge w:val="continue"/>
            <w:tcBorders>
              <w:tl2br w:val="nil"/>
              <w:tr2bl w:val="nil"/>
            </w:tcBorders>
            <w:vAlign w:val="top"/>
          </w:tcPr>
          <w:p w14:paraId="4EAAD8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64E62C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43900F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硫酸雾的收集与处理</w:t>
            </w:r>
          </w:p>
        </w:tc>
        <w:tc>
          <w:tcPr>
            <w:tcW w:w="265" w:type="pct"/>
            <w:tcBorders>
              <w:tl2br w:val="nil"/>
              <w:tr2bl w:val="nil"/>
            </w:tcBorders>
            <w:vAlign w:val="top"/>
          </w:tcPr>
          <w:p w14:paraId="42B1FED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21BE25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1870" w:type="pct"/>
            <w:gridSpan w:val="3"/>
            <w:tcBorders>
              <w:tl2br w:val="nil"/>
              <w:tr2bl w:val="nil"/>
            </w:tcBorders>
            <w:vAlign w:val="top"/>
          </w:tcPr>
          <w:p w14:paraId="25B330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设有硫酸雾收集、处理装置</w:t>
            </w:r>
          </w:p>
        </w:tc>
        <w:tc>
          <w:tcPr>
            <w:tcW w:w="962" w:type="pct"/>
            <w:tcBorders>
              <w:tl2br w:val="nil"/>
              <w:tr2bl w:val="nil"/>
            </w:tcBorders>
            <w:vAlign w:val="top"/>
          </w:tcPr>
          <w:p w14:paraId="3161B1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w:t>
            </w:r>
          </w:p>
        </w:tc>
        <w:tc>
          <w:tcPr>
            <w:tcW w:w="317" w:type="pct"/>
            <w:tcBorders>
              <w:tl2br w:val="nil"/>
              <w:tr2bl w:val="nil"/>
            </w:tcBorders>
            <w:vAlign w:val="top"/>
          </w:tcPr>
          <w:p w14:paraId="0DE040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b w:val="0"/>
                <w:bCs w:val="0"/>
                <w:color w:val="auto"/>
                <w:spacing w:val="0"/>
                <w:w w:val="100"/>
                <w:position w:val="0"/>
                <w:sz w:val="21"/>
                <w:szCs w:val="21"/>
                <w:lang w:val="en-US" w:eastAsia="zh-CN"/>
              </w:rPr>
              <w:t>/</w:t>
            </w:r>
          </w:p>
        </w:tc>
      </w:tr>
      <w:tr w14:paraId="50396F4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0" w:hRule="atLeast"/>
          <w:jc w:val="center"/>
        </w:trPr>
        <w:tc>
          <w:tcPr>
            <w:tcW w:w="180" w:type="pct"/>
            <w:tcBorders>
              <w:tl2br w:val="nil"/>
              <w:tr2bl w:val="nil"/>
            </w:tcBorders>
            <w:vAlign w:val="top"/>
          </w:tcPr>
          <w:p w14:paraId="29BB501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w:t>
            </w:r>
          </w:p>
        </w:tc>
        <w:tc>
          <w:tcPr>
            <w:tcW w:w="271" w:type="pct"/>
            <w:vMerge w:val="continue"/>
            <w:tcBorders>
              <w:tl2br w:val="nil"/>
              <w:tr2bl w:val="nil"/>
            </w:tcBorders>
            <w:vAlign w:val="top"/>
          </w:tcPr>
          <w:p w14:paraId="63F5EF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7DB53C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08B3A4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防腐防渗措施</w:t>
            </w:r>
          </w:p>
        </w:tc>
        <w:tc>
          <w:tcPr>
            <w:tcW w:w="265" w:type="pct"/>
            <w:tcBorders>
              <w:tl2br w:val="nil"/>
              <w:tr2bl w:val="nil"/>
            </w:tcBorders>
            <w:vAlign w:val="top"/>
          </w:tcPr>
          <w:p w14:paraId="0372B1C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1EB681F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1870" w:type="pct"/>
            <w:gridSpan w:val="3"/>
            <w:tcBorders>
              <w:tl2br w:val="nil"/>
              <w:tr2bl w:val="nil"/>
            </w:tcBorders>
            <w:vAlign w:val="top"/>
          </w:tcPr>
          <w:p w14:paraId="5F4355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生产车间地面采取防渗、防漏</w:t>
            </w: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防腐措施；污水系统具备防腐防渗措施</w:t>
            </w:r>
          </w:p>
        </w:tc>
        <w:tc>
          <w:tcPr>
            <w:tcW w:w="962" w:type="pct"/>
            <w:tcBorders>
              <w:tl2br w:val="nil"/>
              <w:tr2bl w:val="nil"/>
            </w:tcBorders>
            <w:vAlign w:val="top"/>
          </w:tcPr>
          <w:p w14:paraId="16FD53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本项目车间采取防渗防漏措施</w:t>
            </w:r>
          </w:p>
        </w:tc>
        <w:tc>
          <w:tcPr>
            <w:tcW w:w="317" w:type="pct"/>
            <w:tcBorders>
              <w:tl2br w:val="nil"/>
              <w:tr2bl w:val="nil"/>
            </w:tcBorders>
            <w:vAlign w:val="top"/>
          </w:tcPr>
          <w:p w14:paraId="240C75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F7141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677" w:hRule="atLeast"/>
          <w:jc w:val="center"/>
        </w:trPr>
        <w:tc>
          <w:tcPr>
            <w:tcW w:w="180" w:type="pct"/>
            <w:tcBorders>
              <w:tl2br w:val="nil"/>
              <w:tr2bl w:val="nil"/>
            </w:tcBorders>
            <w:vAlign w:val="top"/>
          </w:tcPr>
          <w:p w14:paraId="1AF1B70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6</w:t>
            </w:r>
          </w:p>
        </w:tc>
        <w:tc>
          <w:tcPr>
            <w:tcW w:w="271" w:type="pct"/>
            <w:tcBorders>
              <w:tl2br w:val="nil"/>
              <w:tr2bl w:val="nil"/>
            </w:tcBorders>
            <w:vAlign w:val="top"/>
          </w:tcPr>
          <w:p w14:paraId="301F72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能源消耗</w:t>
            </w:r>
          </w:p>
        </w:tc>
        <w:tc>
          <w:tcPr>
            <w:tcW w:w="264" w:type="pct"/>
            <w:tcBorders>
              <w:tl2br w:val="nil"/>
              <w:tr2bl w:val="nil"/>
            </w:tcBorders>
            <w:vAlign w:val="top"/>
          </w:tcPr>
          <w:p w14:paraId="57FB144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584" w:type="pct"/>
            <w:tcBorders>
              <w:tl2br w:val="nil"/>
              <w:tr2bl w:val="nil"/>
            </w:tcBorders>
            <w:vAlign w:val="top"/>
          </w:tcPr>
          <w:p w14:paraId="3EF9D6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单位产品电耗</w:t>
            </w:r>
          </w:p>
        </w:tc>
        <w:tc>
          <w:tcPr>
            <w:tcW w:w="265" w:type="pct"/>
            <w:tcBorders>
              <w:tl2br w:val="nil"/>
              <w:tr2bl w:val="nil"/>
            </w:tcBorders>
            <w:vAlign w:val="top"/>
          </w:tcPr>
          <w:p w14:paraId="6B639A9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kW•h/t（阴极铜）</w:t>
            </w:r>
          </w:p>
        </w:tc>
        <w:tc>
          <w:tcPr>
            <w:tcW w:w="269" w:type="pct"/>
            <w:tcBorders>
              <w:tl2br w:val="nil"/>
              <w:tr2bl w:val="nil"/>
            </w:tcBorders>
            <w:vAlign w:val="top"/>
          </w:tcPr>
          <w:p w14:paraId="6214A6B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w:t>
            </w:r>
          </w:p>
        </w:tc>
        <w:tc>
          <w:tcPr>
            <w:tcW w:w="618" w:type="pct"/>
            <w:tcBorders>
              <w:tl2br w:val="nil"/>
              <w:tr2bl w:val="nil"/>
            </w:tcBorders>
            <w:vAlign w:val="top"/>
          </w:tcPr>
          <w:p w14:paraId="0C26D2A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≤1800</w:t>
            </w:r>
          </w:p>
        </w:tc>
        <w:tc>
          <w:tcPr>
            <w:tcW w:w="623" w:type="pct"/>
            <w:tcBorders>
              <w:tl2br w:val="nil"/>
              <w:tr2bl w:val="nil"/>
            </w:tcBorders>
            <w:vAlign w:val="top"/>
          </w:tcPr>
          <w:p w14:paraId="745C1E8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≤2500</w:t>
            </w:r>
          </w:p>
        </w:tc>
        <w:tc>
          <w:tcPr>
            <w:tcW w:w="629" w:type="pct"/>
            <w:tcBorders>
              <w:tl2br w:val="nil"/>
              <w:tr2bl w:val="nil"/>
            </w:tcBorders>
            <w:vAlign w:val="top"/>
          </w:tcPr>
          <w:p w14:paraId="086194D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≤3000</w:t>
            </w:r>
          </w:p>
        </w:tc>
        <w:tc>
          <w:tcPr>
            <w:tcW w:w="962" w:type="pct"/>
            <w:tcBorders>
              <w:tl2br w:val="nil"/>
              <w:tr2bl w:val="nil"/>
            </w:tcBorders>
            <w:vAlign w:val="top"/>
          </w:tcPr>
          <w:p w14:paraId="7603568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本项目年耗电量10.5万</w:t>
            </w:r>
            <w:r>
              <w:rPr>
                <w:rFonts w:hint="eastAsia" w:ascii="Times New Roman" w:hAnsi="Times New Roman" w:cs="Times New Roman"/>
                <w:b w:val="0"/>
                <w:bCs w:val="0"/>
                <w:snapToGrid/>
                <w:color w:val="auto"/>
                <w:kern w:val="2"/>
                <w:sz w:val="21"/>
                <w:szCs w:val="21"/>
                <w:highlight w:val="none"/>
                <w:lang w:eastAsia="zh-CN"/>
              </w:rPr>
              <w:t>kW</w:t>
            </w:r>
            <w:r>
              <w:rPr>
                <w:rFonts w:hint="default" w:ascii="Times New Roman" w:hAnsi="Times New Roman" w:eastAsia="宋体" w:cs="Times New Roman"/>
                <w:b w:val="0"/>
                <w:bCs w:val="0"/>
                <w:snapToGrid/>
                <w:color w:val="auto"/>
                <w:kern w:val="2"/>
                <w:sz w:val="21"/>
                <w:szCs w:val="21"/>
                <w:highlight w:val="none"/>
                <w:lang w:eastAsia="zh-CN"/>
              </w:rPr>
              <w:t>·h</w:t>
            </w:r>
            <w:r>
              <w:rPr>
                <w:rFonts w:hint="eastAsia" w:ascii="Times New Roman" w:hAnsi="Times New Roman" w:eastAsia="宋体" w:cs="Times New Roman"/>
                <w:b w:val="0"/>
                <w:bCs w:val="0"/>
                <w:snapToGrid/>
                <w:color w:val="auto"/>
                <w:kern w:val="2"/>
                <w:sz w:val="21"/>
                <w:szCs w:val="21"/>
                <w:highlight w:val="none"/>
                <w:lang w:eastAsia="zh-CN"/>
              </w:rPr>
              <w:t>，</w:t>
            </w:r>
            <w:r>
              <w:rPr>
                <w:rFonts w:hint="eastAsia" w:ascii="Times New Roman" w:hAnsi="Times New Roman" w:eastAsia="宋体" w:cs="Times New Roman"/>
                <w:b w:val="0"/>
                <w:bCs w:val="0"/>
                <w:snapToGrid/>
                <w:color w:val="auto"/>
                <w:kern w:val="2"/>
                <w:sz w:val="21"/>
                <w:szCs w:val="21"/>
                <w:highlight w:val="none"/>
                <w:lang w:val="en-US" w:eastAsia="zh-CN"/>
              </w:rPr>
              <w:t>年产3000吨阴极铜，则单位产品电耗为35</w:t>
            </w:r>
            <w:r>
              <w:rPr>
                <w:rFonts w:hint="default" w:ascii="Times New Roman" w:hAnsi="Times New Roman" w:eastAsia="宋体" w:cs="Times New Roman"/>
                <w:color w:val="auto"/>
                <w:spacing w:val="0"/>
                <w:w w:val="100"/>
                <w:position w:val="0"/>
                <w:sz w:val="21"/>
                <w:szCs w:val="21"/>
              </w:rPr>
              <w:t>kW•h/t</w:t>
            </w:r>
          </w:p>
        </w:tc>
        <w:tc>
          <w:tcPr>
            <w:tcW w:w="317" w:type="pct"/>
            <w:tcBorders>
              <w:tl2br w:val="nil"/>
              <w:tr2bl w:val="nil"/>
            </w:tcBorders>
            <w:vAlign w:val="top"/>
          </w:tcPr>
          <w:p w14:paraId="6C37E69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47A698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0" w:hRule="atLeast"/>
          <w:jc w:val="center"/>
        </w:trPr>
        <w:tc>
          <w:tcPr>
            <w:tcW w:w="180" w:type="pct"/>
            <w:tcBorders>
              <w:tl2br w:val="nil"/>
              <w:tr2bl w:val="nil"/>
            </w:tcBorders>
            <w:vAlign w:val="top"/>
          </w:tcPr>
          <w:p w14:paraId="2EAF6E8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7</w:t>
            </w:r>
          </w:p>
        </w:tc>
        <w:tc>
          <w:tcPr>
            <w:tcW w:w="271" w:type="pct"/>
            <w:vMerge w:val="restart"/>
            <w:tcBorders>
              <w:tl2br w:val="nil"/>
              <w:tr2bl w:val="nil"/>
            </w:tcBorders>
            <w:vAlign w:val="top"/>
          </w:tcPr>
          <w:p w14:paraId="08FEFA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水资源消耗</w:t>
            </w:r>
          </w:p>
        </w:tc>
        <w:tc>
          <w:tcPr>
            <w:tcW w:w="264" w:type="pct"/>
            <w:vMerge w:val="restart"/>
            <w:tcBorders>
              <w:tl2br w:val="nil"/>
              <w:tr2bl w:val="nil"/>
            </w:tcBorders>
            <w:vAlign w:val="top"/>
          </w:tcPr>
          <w:p w14:paraId="2DB576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B0B74A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584" w:type="pct"/>
            <w:tcBorders>
              <w:tl2br w:val="nil"/>
              <w:tr2bl w:val="nil"/>
            </w:tcBorders>
            <w:vAlign w:val="top"/>
          </w:tcPr>
          <w:p w14:paraId="686D4CE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*单位产品新鲜水耗</w:t>
            </w:r>
          </w:p>
        </w:tc>
        <w:tc>
          <w:tcPr>
            <w:tcW w:w="265" w:type="pct"/>
            <w:tcBorders>
              <w:tl2br w:val="nil"/>
              <w:tr2bl w:val="nil"/>
            </w:tcBorders>
            <w:vAlign w:val="top"/>
          </w:tcPr>
          <w:p w14:paraId="51ECA20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m3/t（阴极铜）</w:t>
            </w:r>
          </w:p>
        </w:tc>
        <w:tc>
          <w:tcPr>
            <w:tcW w:w="269" w:type="pct"/>
            <w:tcBorders>
              <w:tl2br w:val="nil"/>
              <w:tr2bl w:val="nil"/>
            </w:tcBorders>
            <w:vAlign w:val="top"/>
          </w:tcPr>
          <w:p w14:paraId="40E434E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0.5</w:t>
            </w:r>
          </w:p>
        </w:tc>
        <w:tc>
          <w:tcPr>
            <w:tcW w:w="618" w:type="pct"/>
            <w:tcBorders>
              <w:tl2br w:val="nil"/>
              <w:tr2bl w:val="nil"/>
            </w:tcBorders>
            <w:vAlign w:val="top"/>
          </w:tcPr>
          <w:p w14:paraId="6A2D5E1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w:t>
            </w:r>
          </w:p>
        </w:tc>
        <w:tc>
          <w:tcPr>
            <w:tcW w:w="623" w:type="pct"/>
            <w:tcBorders>
              <w:tl2br w:val="nil"/>
              <w:tr2bl w:val="nil"/>
            </w:tcBorders>
            <w:vAlign w:val="top"/>
          </w:tcPr>
          <w:p w14:paraId="3C75DD6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w:t>
            </w:r>
          </w:p>
        </w:tc>
        <w:tc>
          <w:tcPr>
            <w:tcW w:w="629" w:type="pct"/>
            <w:tcBorders>
              <w:tl2br w:val="nil"/>
              <w:tr2bl w:val="nil"/>
            </w:tcBorders>
            <w:vAlign w:val="top"/>
          </w:tcPr>
          <w:p w14:paraId="22AA03E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≤16</w:t>
            </w:r>
          </w:p>
        </w:tc>
        <w:tc>
          <w:tcPr>
            <w:tcW w:w="962" w:type="pct"/>
            <w:tcBorders>
              <w:tl2br w:val="nil"/>
              <w:tr2bl w:val="nil"/>
            </w:tcBorders>
            <w:vAlign w:val="top"/>
          </w:tcPr>
          <w:p w14:paraId="44CE6F2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本项目生产用水循环使用，年补水量为625m</w:t>
            </w:r>
            <w:r>
              <w:rPr>
                <w:rFonts w:hint="eastAsia" w:eastAsia="宋体" w:cs="Times New Roman"/>
                <w:color w:val="auto"/>
                <w:spacing w:val="0"/>
                <w:w w:val="100"/>
                <w:position w:val="0"/>
                <w:sz w:val="21"/>
                <w:szCs w:val="21"/>
                <w:vertAlign w:val="superscript"/>
                <w:lang w:val="en-US" w:eastAsia="zh-CN"/>
              </w:rPr>
              <w:t>3</w:t>
            </w:r>
            <w:r>
              <w:rPr>
                <w:rFonts w:hint="eastAsia" w:eastAsia="宋体" w:cs="Times New Roman"/>
                <w:color w:val="auto"/>
                <w:spacing w:val="0"/>
                <w:w w:val="100"/>
                <w:position w:val="0"/>
                <w:sz w:val="21"/>
                <w:szCs w:val="21"/>
                <w:lang w:val="en-US" w:eastAsia="zh-CN"/>
              </w:rPr>
              <w:t>/a，则</w:t>
            </w:r>
            <w:r>
              <w:rPr>
                <w:rFonts w:hint="default" w:ascii="Times New Roman" w:hAnsi="Times New Roman" w:eastAsia="宋体" w:cs="Times New Roman"/>
                <w:color w:val="auto"/>
                <w:spacing w:val="0"/>
                <w:w w:val="100"/>
                <w:position w:val="0"/>
                <w:sz w:val="21"/>
                <w:szCs w:val="21"/>
              </w:rPr>
              <w:t>单位产品新鲜水耗</w:t>
            </w:r>
            <w:r>
              <w:rPr>
                <w:rFonts w:hint="eastAsia" w:eastAsia="宋体" w:cs="Times New Roman"/>
                <w:color w:val="auto"/>
                <w:spacing w:val="0"/>
                <w:w w:val="100"/>
                <w:position w:val="0"/>
                <w:sz w:val="21"/>
                <w:szCs w:val="21"/>
                <w:lang w:val="en-US" w:eastAsia="zh-CN"/>
              </w:rPr>
              <w:t>0.21m</w:t>
            </w:r>
            <w:r>
              <w:rPr>
                <w:rFonts w:hint="eastAsia" w:eastAsia="宋体" w:cs="Times New Roman"/>
                <w:color w:val="auto"/>
                <w:spacing w:val="0"/>
                <w:w w:val="100"/>
                <w:position w:val="0"/>
                <w:sz w:val="21"/>
                <w:szCs w:val="21"/>
                <w:vertAlign w:val="superscript"/>
                <w:lang w:val="en-US" w:eastAsia="zh-CN"/>
              </w:rPr>
              <w:t>3</w:t>
            </w:r>
          </w:p>
        </w:tc>
        <w:tc>
          <w:tcPr>
            <w:tcW w:w="317" w:type="pct"/>
            <w:tcBorders>
              <w:tl2br w:val="nil"/>
              <w:tr2bl w:val="nil"/>
            </w:tcBorders>
            <w:vAlign w:val="top"/>
          </w:tcPr>
          <w:p w14:paraId="7724E64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98551D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03D3A08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w:t>
            </w:r>
          </w:p>
        </w:tc>
        <w:tc>
          <w:tcPr>
            <w:tcW w:w="271" w:type="pct"/>
            <w:vMerge w:val="continue"/>
            <w:tcBorders>
              <w:tl2br w:val="nil"/>
              <w:tr2bl w:val="nil"/>
            </w:tcBorders>
            <w:vAlign w:val="top"/>
          </w:tcPr>
          <w:p w14:paraId="6FD04D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9EFEC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20D313B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*工业用水循环利用率</w:t>
            </w:r>
          </w:p>
        </w:tc>
        <w:tc>
          <w:tcPr>
            <w:tcW w:w="265" w:type="pct"/>
            <w:tcBorders>
              <w:tl2br w:val="nil"/>
              <w:tr2bl w:val="nil"/>
            </w:tcBorders>
            <w:vAlign w:val="top"/>
          </w:tcPr>
          <w:p w14:paraId="1424210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1F30A0D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0.5</w:t>
            </w:r>
          </w:p>
        </w:tc>
        <w:tc>
          <w:tcPr>
            <w:tcW w:w="618" w:type="pct"/>
            <w:tcBorders>
              <w:tl2br w:val="nil"/>
              <w:tr2bl w:val="nil"/>
            </w:tcBorders>
            <w:vAlign w:val="top"/>
          </w:tcPr>
          <w:p w14:paraId="6FDA744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≥99</w:t>
            </w:r>
          </w:p>
        </w:tc>
        <w:tc>
          <w:tcPr>
            <w:tcW w:w="623" w:type="pct"/>
            <w:tcBorders>
              <w:tl2br w:val="nil"/>
              <w:tr2bl w:val="nil"/>
            </w:tcBorders>
            <w:vAlign w:val="top"/>
          </w:tcPr>
          <w:p w14:paraId="150474C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≥98.5</w:t>
            </w:r>
          </w:p>
        </w:tc>
        <w:tc>
          <w:tcPr>
            <w:tcW w:w="629" w:type="pct"/>
            <w:tcBorders>
              <w:tl2br w:val="nil"/>
              <w:tr2bl w:val="nil"/>
            </w:tcBorders>
            <w:vAlign w:val="top"/>
          </w:tcPr>
          <w:p w14:paraId="06397C5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962" w:type="pct"/>
            <w:tcBorders>
              <w:tl2br w:val="nil"/>
              <w:tr2bl w:val="nil"/>
            </w:tcBorders>
            <w:vAlign w:val="top"/>
          </w:tcPr>
          <w:p w14:paraId="6E783EC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本项目工业复用水率高达99.93%</w:t>
            </w:r>
          </w:p>
        </w:tc>
        <w:tc>
          <w:tcPr>
            <w:tcW w:w="317" w:type="pct"/>
            <w:tcBorders>
              <w:tl2br w:val="nil"/>
              <w:tr2bl w:val="nil"/>
            </w:tcBorders>
            <w:vAlign w:val="top"/>
          </w:tcPr>
          <w:p w14:paraId="23DA934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646930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0" w:hRule="atLeast"/>
          <w:jc w:val="center"/>
        </w:trPr>
        <w:tc>
          <w:tcPr>
            <w:tcW w:w="180" w:type="pct"/>
            <w:tcBorders>
              <w:tl2br w:val="nil"/>
              <w:tr2bl w:val="nil"/>
            </w:tcBorders>
            <w:vAlign w:val="top"/>
          </w:tcPr>
          <w:p w14:paraId="6E19C92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w:t>
            </w:r>
          </w:p>
        </w:tc>
        <w:tc>
          <w:tcPr>
            <w:tcW w:w="271" w:type="pct"/>
            <w:vMerge w:val="restart"/>
            <w:tcBorders>
              <w:tl2br w:val="nil"/>
              <w:tr2bl w:val="nil"/>
            </w:tcBorders>
            <w:vAlign w:val="top"/>
          </w:tcPr>
          <w:p w14:paraId="51540A8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原/辅料消耗</w:t>
            </w:r>
          </w:p>
        </w:tc>
        <w:tc>
          <w:tcPr>
            <w:tcW w:w="264" w:type="pct"/>
            <w:vMerge w:val="restart"/>
            <w:tcBorders>
              <w:tl2br w:val="nil"/>
              <w:tr2bl w:val="nil"/>
            </w:tcBorders>
            <w:vAlign w:val="top"/>
          </w:tcPr>
          <w:p w14:paraId="5F591C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03A8B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3AB4B6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584" w:type="pct"/>
            <w:tcBorders>
              <w:tl2br w:val="nil"/>
              <w:tr2bl w:val="nil"/>
            </w:tcBorders>
            <w:vAlign w:val="top"/>
          </w:tcPr>
          <w:p w14:paraId="2A6B4B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单位产品酸耗</w:t>
            </w:r>
          </w:p>
        </w:tc>
        <w:tc>
          <w:tcPr>
            <w:tcW w:w="265" w:type="pct"/>
            <w:tcBorders>
              <w:tl2br w:val="nil"/>
              <w:tr2bl w:val="nil"/>
            </w:tcBorders>
            <w:vAlign w:val="top"/>
          </w:tcPr>
          <w:p w14:paraId="46A27EA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t/t（阴极铜）</w:t>
            </w:r>
          </w:p>
        </w:tc>
        <w:tc>
          <w:tcPr>
            <w:tcW w:w="269" w:type="pct"/>
            <w:tcBorders>
              <w:tl2br w:val="nil"/>
              <w:tr2bl w:val="nil"/>
            </w:tcBorders>
            <w:vAlign w:val="top"/>
          </w:tcPr>
          <w:p w14:paraId="2197E0E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0.3</w:t>
            </w:r>
          </w:p>
        </w:tc>
        <w:tc>
          <w:tcPr>
            <w:tcW w:w="618" w:type="pct"/>
            <w:tcBorders>
              <w:tl2br w:val="nil"/>
              <w:tr2bl w:val="nil"/>
            </w:tcBorders>
            <w:vAlign w:val="top"/>
          </w:tcPr>
          <w:p w14:paraId="0E7A748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w:t>
            </w:r>
          </w:p>
        </w:tc>
        <w:tc>
          <w:tcPr>
            <w:tcW w:w="623" w:type="pct"/>
            <w:tcBorders>
              <w:tl2br w:val="nil"/>
              <w:tr2bl w:val="nil"/>
            </w:tcBorders>
            <w:vAlign w:val="top"/>
          </w:tcPr>
          <w:p w14:paraId="237C19D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w:t>
            </w:r>
          </w:p>
        </w:tc>
        <w:tc>
          <w:tcPr>
            <w:tcW w:w="629" w:type="pct"/>
            <w:tcBorders>
              <w:tl2br w:val="nil"/>
              <w:tr2bl w:val="nil"/>
            </w:tcBorders>
            <w:vAlign w:val="top"/>
          </w:tcPr>
          <w:p w14:paraId="252B916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≤1.6</w:t>
            </w:r>
          </w:p>
        </w:tc>
        <w:tc>
          <w:tcPr>
            <w:tcW w:w="962" w:type="pct"/>
            <w:tcBorders>
              <w:tl2br w:val="nil"/>
              <w:tr2bl w:val="nil"/>
            </w:tcBorders>
            <w:vAlign w:val="top"/>
          </w:tcPr>
          <w:p w14:paraId="1A27A39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本项目硫酸年消耗量为450t，则</w:t>
            </w:r>
            <w:r>
              <w:rPr>
                <w:rFonts w:hint="default" w:ascii="Times New Roman" w:hAnsi="Times New Roman" w:eastAsia="宋体" w:cs="Times New Roman"/>
                <w:color w:val="auto"/>
                <w:spacing w:val="0"/>
                <w:w w:val="100"/>
                <w:position w:val="0"/>
                <w:sz w:val="21"/>
                <w:szCs w:val="21"/>
              </w:rPr>
              <w:t>单位产品酸耗</w:t>
            </w:r>
            <w:r>
              <w:rPr>
                <w:rFonts w:hint="eastAsia" w:eastAsia="宋体" w:cs="Times New Roman"/>
                <w:color w:val="auto"/>
                <w:spacing w:val="0"/>
                <w:w w:val="100"/>
                <w:position w:val="0"/>
                <w:sz w:val="21"/>
                <w:szCs w:val="21"/>
                <w:lang w:val="en-US" w:eastAsia="zh-CN"/>
              </w:rPr>
              <w:t>0.15t</w:t>
            </w:r>
          </w:p>
        </w:tc>
        <w:tc>
          <w:tcPr>
            <w:tcW w:w="317" w:type="pct"/>
            <w:tcBorders>
              <w:tl2br w:val="nil"/>
              <w:tr2bl w:val="nil"/>
            </w:tcBorders>
            <w:vAlign w:val="top"/>
          </w:tcPr>
          <w:p w14:paraId="65BA37D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201008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0" w:hRule="atLeast"/>
          <w:jc w:val="center"/>
        </w:trPr>
        <w:tc>
          <w:tcPr>
            <w:tcW w:w="180" w:type="pct"/>
            <w:tcBorders>
              <w:tl2br w:val="nil"/>
              <w:tr2bl w:val="nil"/>
            </w:tcBorders>
            <w:vAlign w:val="top"/>
          </w:tcPr>
          <w:p w14:paraId="57CA81D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w:t>
            </w:r>
          </w:p>
        </w:tc>
        <w:tc>
          <w:tcPr>
            <w:tcW w:w="271" w:type="pct"/>
            <w:vMerge w:val="continue"/>
            <w:tcBorders>
              <w:tl2br w:val="nil"/>
              <w:tr2bl w:val="nil"/>
            </w:tcBorders>
            <w:vAlign w:val="top"/>
          </w:tcPr>
          <w:p w14:paraId="12AFF8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4D92ED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5010FC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单位产品萃取剂耗</w:t>
            </w:r>
          </w:p>
        </w:tc>
        <w:tc>
          <w:tcPr>
            <w:tcW w:w="265" w:type="pct"/>
            <w:tcBorders>
              <w:tl2br w:val="nil"/>
              <w:tr2bl w:val="nil"/>
            </w:tcBorders>
            <w:vAlign w:val="top"/>
          </w:tcPr>
          <w:p w14:paraId="7680E3B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kg/t（阴极铜）</w:t>
            </w:r>
          </w:p>
        </w:tc>
        <w:tc>
          <w:tcPr>
            <w:tcW w:w="269" w:type="pct"/>
            <w:tcBorders>
              <w:tl2br w:val="nil"/>
              <w:tr2bl w:val="nil"/>
            </w:tcBorders>
            <w:vAlign w:val="top"/>
          </w:tcPr>
          <w:p w14:paraId="48987CC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0.3</w:t>
            </w:r>
          </w:p>
        </w:tc>
        <w:tc>
          <w:tcPr>
            <w:tcW w:w="618" w:type="pct"/>
            <w:tcBorders>
              <w:tl2br w:val="nil"/>
              <w:tr2bl w:val="nil"/>
            </w:tcBorders>
            <w:vAlign w:val="top"/>
          </w:tcPr>
          <w:p w14:paraId="59715DB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w:t>
            </w:r>
          </w:p>
        </w:tc>
        <w:tc>
          <w:tcPr>
            <w:tcW w:w="623" w:type="pct"/>
            <w:tcBorders>
              <w:tl2br w:val="nil"/>
              <w:tr2bl w:val="nil"/>
            </w:tcBorders>
            <w:vAlign w:val="top"/>
          </w:tcPr>
          <w:p w14:paraId="5CBB4BD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w:t>
            </w:r>
          </w:p>
        </w:tc>
        <w:tc>
          <w:tcPr>
            <w:tcW w:w="629" w:type="pct"/>
            <w:tcBorders>
              <w:tl2br w:val="nil"/>
              <w:tr2bl w:val="nil"/>
            </w:tcBorders>
            <w:vAlign w:val="top"/>
          </w:tcPr>
          <w:p w14:paraId="65511CE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w:t>
            </w:r>
          </w:p>
        </w:tc>
        <w:tc>
          <w:tcPr>
            <w:tcW w:w="962" w:type="pct"/>
            <w:tcBorders>
              <w:tl2br w:val="nil"/>
              <w:tr2bl w:val="nil"/>
            </w:tcBorders>
            <w:vAlign w:val="top"/>
          </w:tcPr>
          <w:p w14:paraId="26EEF5A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本项目萃取剂年消耗量为20t，则</w:t>
            </w:r>
            <w:r>
              <w:rPr>
                <w:rFonts w:hint="default" w:ascii="Times New Roman" w:hAnsi="Times New Roman" w:eastAsia="宋体" w:cs="Times New Roman"/>
                <w:color w:val="auto"/>
                <w:spacing w:val="0"/>
                <w:w w:val="100"/>
                <w:position w:val="0"/>
                <w:sz w:val="21"/>
                <w:szCs w:val="21"/>
              </w:rPr>
              <w:t>单位产品萃取剂耗</w:t>
            </w:r>
            <w:r>
              <w:rPr>
                <w:rFonts w:hint="eastAsia" w:eastAsia="宋体" w:cs="Times New Roman"/>
                <w:color w:val="auto"/>
                <w:spacing w:val="0"/>
                <w:w w:val="100"/>
                <w:position w:val="0"/>
                <w:sz w:val="21"/>
                <w:szCs w:val="21"/>
                <w:lang w:val="en-US" w:eastAsia="zh-CN"/>
              </w:rPr>
              <w:t>5</w:t>
            </w:r>
            <w:r>
              <w:rPr>
                <w:rFonts w:hint="default" w:ascii="Times New Roman" w:hAnsi="Times New Roman" w:eastAsia="宋体" w:cs="Times New Roman"/>
                <w:color w:val="auto"/>
                <w:spacing w:val="0"/>
                <w:w w:val="100"/>
                <w:position w:val="0"/>
                <w:sz w:val="21"/>
                <w:szCs w:val="21"/>
              </w:rPr>
              <w:t>kg/t</w:t>
            </w:r>
          </w:p>
        </w:tc>
        <w:tc>
          <w:tcPr>
            <w:tcW w:w="317" w:type="pct"/>
            <w:tcBorders>
              <w:tl2br w:val="nil"/>
              <w:tr2bl w:val="nil"/>
            </w:tcBorders>
            <w:vAlign w:val="top"/>
          </w:tcPr>
          <w:p w14:paraId="1D9016A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II</w:t>
            </w:r>
          </w:p>
        </w:tc>
      </w:tr>
      <w:tr w14:paraId="1D45DF7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30BC5AA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11</w:t>
            </w:r>
          </w:p>
        </w:tc>
        <w:tc>
          <w:tcPr>
            <w:tcW w:w="271" w:type="pct"/>
            <w:vMerge w:val="continue"/>
            <w:tcBorders>
              <w:tl2br w:val="nil"/>
              <w:tr2bl w:val="nil"/>
            </w:tcBorders>
            <w:vAlign w:val="top"/>
          </w:tcPr>
          <w:p w14:paraId="68F8F3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5B41E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51A844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铜浸出率</w:t>
            </w:r>
          </w:p>
        </w:tc>
        <w:tc>
          <w:tcPr>
            <w:tcW w:w="265" w:type="pct"/>
            <w:tcBorders>
              <w:tl2br w:val="nil"/>
              <w:tr2bl w:val="nil"/>
            </w:tcBorders>
            <w:vAlign w:val="top"/>
          </w:tcPr>
          <w:p w14:paraId="08E5616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AC9160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0.4</w:t>
            </w:r>
          </w:p>
        </w:tc>
        <w:tc>
          <w:tcPr>
            <w:tcW w:w="618" w:type="pct"/>
            <w:tcBorders>
              <w:tl2br w:val="nil"/>
              <w:tr2bl w:val="nil"/>
            </w:tcBorders>
            <w:vAlign w:val="top"/>
          </w:tcPr>
          <w:p w14:paraId="2046FEB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623" w:type="pct"/>
            <w:tcBorders>
              <w:tl2br w:val="nil"/>
              <w:tr2bl w:val="nil"/>
            </w:tcBorders>
            <w:vAlign w:val="top"/>
          </w:tcPr>
          <w:p w14:paraId="4E45DB0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≥92</w:t>
            </w:r>
          </w:p>
        </w:tc>
        <w:tc>
          <w:tcPr>
            <w:tcW w:w="629" w:type="pct"/>
            <w:tcBorders>
              <w:tl2br w:val="nil"/>
              <w:tr2bl w:val="nil"/>
            </w:tcBorders>
            <w:vAlign w:val="top"/>
          </w:tcPr>
          <w:p w14:paraId="49E7C33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≥85</w:t>
            </w:r>
          </w:p>
        </w:tc>
        <w:tc>
          <w:tcPr>
            <w:tcW w:w="962" w:type="pct"/>
            <w:tcBorders>
              <w:tl2br w:val="nil"/>
              <w:tr2bl w:val="nil"/>
            </w:tcBorders>
            <w:vAlign w:val="top"/>
          </w:tcPr>
          <w:p w14:paraId="4B8F333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本项目年消耗</w:t>
            </w:r>
            <w:r>
              <w:rPr>
                <w:rFonts w:hint="default" w:ascii="Times New Roman" w:hAnsi="Times New Roman" w:eastAsia="宋体" w:cs="Times New Roman"/>
                <w:color w:val="auto"/>
                <w:spacing w:val="0"/>
                <w:w w:val="100"/>
                <w:position w:val="0"/>
                <w:sz w:val="21"/>
                <w:szCs w:val="21"/>
              </w:rPr>
              <w:t>氧化铜矿石（含铜＞0.8%）</w:t>
            </w:r>
            <w:r>
              <w:rPr>
                <w:rFonts w:hint="eastAsia" w:eastAsia="宋体" w:cs="Times New Roman"/>
                <w:color w:val="auto"/>
                <w:spacing w:val="0"/>
                <w:w w:val="100"/>
                <w:position w:val="0"/>
                <w:sz w:val="21"/>
                <w:szCs w:val="21"/>
                <w:lang w:val="en-US" w:eastAsia="zh-CN"/>
              </w:rPr>
              <w:t>50万t，生产阴极铜3000t，铜浸出率≤75%</w:t>
            </w:r>
          </w:p>
        </w:tc>
        <w:tc>
          <w:tcPr>
            <w:tcW w:w="317" w:type="pct"/>
            <w:tcBorders>
              <w:tl2br w:val="nil"/>
              <w:tr2bl w:val="nil"/>
            </w:tcBorders>
            <w:vAlign w:val="top"/>
          </w:tcPr>
          <w:p w14:paraId="3D4D05F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w:t>
            </w:r>
          </w:p>
        </w:tc>
      </w:tr>
      <w:tr w14:paraId="59C71A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7247F62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w:t>
            </w:r>
          </w:p>
        </w:tc>
        <w:tc>
          <w:tcPr>
            <w:tcW w:w="271" w:type="pct"/>
            <w:vMerge w:val="restart"/>
            <w:tcBorders>
              <w:tl2br w:val="nil"/>
              <w:tr2bl w:val="nil"/>
            </w:tcBorders>
            <w:vAlign w:val="top"/>
          </w:tcPr>
          <w:p w14:paraId="2B5813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828D7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EAA29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EEBEB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资源综合利用</w:t>
            </w:r>
          </w:p>
        </w:tc>
        <w:tc>
          <w:tcPr>
            <w:tcW w:w="264" w:type="pct"/>
            <w:vMerge w:val="restart"/>
            <w:tcBorders>
              <w:tl2br w:val="nil"/>
              <w:tr2bl w:val="nil"/>
            </w:tcBorders>
            <w:vAlign w:val="top"/>
          </w:tcPr>
          <w:p w14:paraId="1114F3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EBD71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DCA64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52A7B5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0.15</w:t>
            </w:r>
          </w:p>
        </w:tc>
        <w:tc>
          <w:tcPr>
            <w:tcW w:w="584" w:type="pct"/>
            <w:tcBorders>
              <w:tl2br w:val="nil"/>
              <w:tr2bl w:val="nil"/>
            </w:tcBorders>
            <w:vAlign w:val="top"/>
          </w:tcPr>
          <w:p w14:paraId="3E7C29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铜冶炼综合回收率</w:t>
            </w:r>
          </w:p>
        </w:tc>
        <w:tc>
          <w:tcPr>
            <w:tcW w:w="265" w:type="pct"/>
            <w:tcBorders>
              <w:tl2br w:val="nil"/>
              <w:tr2bl w:val="nil"/>
            </w:tcBorders>
            <w:vAlign w:val="top"/>
          </w:tcPr>
          <w:p w14:paraId="6631F07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7159C8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29F6F5D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≥95</w:t>
            </w:r>
          </w:p>
        </w:tc>
        <w:tc>
          <w:tcPr>
            <w:tcW w:w="623" w:type="pct"/>
            <w:tcBorders>
              <w:tl2br w:val="nil"/>
              <w:tr2bl w:val="nil"/>
            </w:tcBorders>
            <w:vAlign w:val="top"/>
          </w:tcPr>
          <w:p w14:paraId="1388CB3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≥90</w:t>
            </w:r>
          </w:p>
        </w:tc>
        <w:tc>
          <w:tcPr>
            <w:tcW w:w="629" w:type="pct"/>
            <w:tcBorders>
              <w:tl2br w:val="nil"/>
              <w:tr2bl w:val="nil"/>
            </w:tcBorders>
            <w:vAlign w:val="top"/>
          </w:tcPr>
          <w:p w14:paraId="37BBB10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≥84</w:t>
            </w:r>
          </w:p>
        </w:tc>
        <w:tc>
          <w:tcPr>
            <w:tcW w:w="962" w:type="pct"/>
            <w:tcBorders>
              <w:tl2br w:val="nil"/>
              <w:tr2bl w:val="nil"/>
            </w:tcBorders>
            <w:vAlign w:val="top"/>
          </w:tcPr>
          <w:p w14:paraId="3EAC840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w:t>
            </w:r>
          </w:p>
        </w:tc>
        <w:tc>
          <w:tcPr>
            <w:tcW w:w="317" w:type="pct"/>
            <w:tcBorders>
              <w:tl2br w:val="nil"/>
              <w:tr2bl w:val="nil"/>
            </w:tcBorders>
            <w:vAlign w:val="top"/>
          </w:tcPr>
          <w:p w14:paraId="22366B9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w:t>
            </w:r>
          </w:p>
        </w:tc>
      </w:tr>
      <w:tr w14:paraId="010D5C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0" w:hRule="atLeast"/>
          <w:jc w:val="center"/>
        </w:trPr>
        <w:tc>
          <w:tcPr>
            <w:tcW w:w="180" w:type="pct"/>
            <w:tcBorders>
              <w:tl2br w:val="nil"/>
              <w:tr2bl w:val="nil"/>
            </w:tcBorders>
            <w:vAlign w:val="top"/>
          </w:tcPr>
          <w:p w14:paraId="10616F2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13</w:t>
            </w:r>
          </w:p>
        </w:tc>
        <w:tc>
          <w:tcPr>
            <w:tcW w:w="271" w:type="pct"/>
            <w:vMerge w:val="continue"/>
            <w:tcBorders>
              <w:tl2br w:val="nil"/>
              <w:tr2bl w:val="nil"/>
            </w:tcBorders>
            <w:vAlign w:val="top"/>
          </w:tcPr>
          <w:p w14:paraId="01F16C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D1F0A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58A3C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一般工业固体废物综合利用率</w:t>
            </w:r>
          </w:p>
        </w:tc>
        <w:tc>
          <w:tcPr>
            <w:tcW w:w="265" w:type="pct"/>
            <w:tcBorders>
              <w:tl2br w:val="nil"/>
              <w:tr2bl w:val="nil"/>
            </w:tcBorders>
            <w:vAlign w:val="top"/>
          </w:tcPr>
          <w:p w14:paraId="412AD94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2014BDA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321E4A0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≥90</w:t>
            </w:r>
          </w:p>
        </w:tc>
        <w:tc>
          <w:tcPr>
            <w:tcW w:w="623" w:type="pct"/>
            <w:tcBorders>
              <w:tl2br w:val="nil"/>
              <w:tr2bl w:val="nil"/>
            </w:tcBorders>
            <w:vAlign w:val="top"/>
          </w:tcPr>
          <w:p w14:paraId="19C5FDD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≥85</w:t>
            </w:r>
          </w:p>
        </w:tc>
        <w:tc>
          <w:tcPr>
            <w:tcW w:w="629" w:type="pct"/>
            <w:tcBorders>
              <w:tl2br w:val="nil"/>
              <w:tr2bl w:val="nil"/>
            </w:tcBorders>
            <w:vAlign w:val="top"/>
          </w:tcPr>
          <w:p w14:paraId="6618648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≥75</w:t>
            </w:r>
          </w:p>
        </w:tc>
        <w:tc>
          <w:tcPr>
            <w:tcW w:w="962" w:type="pct"/>
            <w:tcBorders>
              <w:tl2br w:val="nil"/>
              <w:tr2bl w:val="nil"/>
            </w:tcBorders>
            <w:vAlign w:val="top"/>
          </w:tcPr>
          <w:p w14:paraId="6E99354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317" w:type="pct"/>
            <w:tcBorders>
              <w:tl2br w:val="nil"/>
              <w:tr2bl w:val="nil"/>
            </w:tcBorders>
            <w:vAlign w:val="top"/>
          </w:tcPr>
          <w:p w14:paraId="5A32AC1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r>
      <w:tr w14:paraId="060DC61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2896CE5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14</w:t>
            </w:r>
          </w:p>
        </w:tc>
        <w:tc>
          <w:tcPr>
            <w:tcW w:w="271" w:type="pct"/>
            <w:vMerge w:val="continue"/>
            <w:tcBorders>
              <w:tl2br w:val="nil"/>
              <w:tr2bl w:val="nil"/>
            </w:tcBorders>
            <w:vAlign w:val="top"/>
          </w:tcPr>
          <w:p w14:paraId="258F25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3EC26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A6554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浸出液循环利用率</w:t>
            </w:r>
          </w:p>
        </w:tc>
        <w:tc>
          <w:tcPr>
            <w:tcW w:w="265" w:type="pct"/>
            <w:tcBorders>
              <w:tl2br w:val="nil"/>
              <w:tr2bl w:val="nil"/>
            </w:tcBorders>
            <w:vAlign w:val="top"/>
          </w:tcPr>
          <w:p w14:paraId="7258B04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C61ED7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4A45B4D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1252" w:type="pct"/>
            <w:gridSpan w:val="2"/>
            <w:tcBorders>
              <w:tl2br w:val="nil"/>
              <w:tr2bl w:val="nil"/>
            </w:tcBorders>
            <w:vAlign w:val="top"/>
          </w:tcPr>
          <w:p w14:paraId="03682D8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≥95</w:t>
            </w:r>
          </w:p>
        </w:tc>
        <w:tc>
          <w:tcPr>
            <w:tcW w:w="962" w:type="pct"/>
            <w:tcBorders>
              <w:tl2br w:val="nil"/>
              <w:tr2bl w:val="nil"/>
            </w:tcBorders>
            <w:vAlign w:val="top"/>
          </w:tcPr>
          <w:p w14:paraId="15669FE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本项目工业复用水率高达99.93%</w:t>
            </w:r>
          </w:p>
        </w:tc>
        <w:tc>
          <w:tcPr>
            <w:tcW w:w="317" w:type="pct"/>
            <w:tcBorders>
              <w:tl2br w:val="nil"/>
              <w:tr2bl w:val="nil"/>
            </w:tcBorders>
            <w:vAlign w:val="top"/>
          </w:tcPr>
          <w:p w14:paraId="3778A4E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290CA79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2BB79E7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15</w:t>
            </w:r>
          </w:p>
        </w:tc>
        <w:tc>
          <w:tcPr>
            <w:tcW w:w="271" w:type="pct"/>
            <w:vMerge w:val="continue"/>
            <w:tcBorders>
              <w:tl2br w:val="nil"/>
              <w:tr2bl w:val="nil"/>
            </w:tcBorders>
            <w:vAlign w:val="top"/>
          </w:tcPr>
          <w:p w14:paraId="209AC4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74E22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4F575C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萃取液循环利用率</w:t>
            </w:r>
          </w:p>
        </w:tc>
        <w:tc>
          <w:tcPr>
            <w:tcW w:w="265" w:type="pct"/>
            <w:tcBorders>
              <w:tl2br w:val="nil"/>
              <w:tr2bl w:val="nil"/>
            </w:tcBorders>
            <w:vAlign w:val="top"/>
          </w:tcPr>
          <w:p w14:paraId="566346D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D9FB6E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5D92B57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1252" w:type="pct"/>
            <w:gridSpan w:val="2"/>
            <w:tcBorders>
              <w:tl2br w:val="nil"/>
              <w:tr2bl w:val="nil"/>
            </w:tcBorders>
            <w:vAlign w:val="top"/>
          </w:tcPr>
          <w:p w14:paraId="63C4F9F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≥95</w:t>
            </w:r>
          </w:p>
        </w:tc>
        <w:tc>
          <w:tcPr>
            <w:tcW w:w="962" w:type="pct"/>
            <w:tcBorders>
              <w:tl2br w:val="nil"/>
              <w:tr2bl w:val="nil"/>
            </w:tcBorders>
            <w:vAlign w:val="top"/>
          </w:tcPr>
          <w:p w14:paraId="47DDFD5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本项目工业复用水率高达99.93%</w:t>
            </w:r>
          </w:p>
        </w:tc>
        <w:tc>
          <w:tcPr>
            <w:tcW w:w="317" w:type="pct"/>
            <w:tcBorders>
              <w:tl2br w:val="nil"/>
              <w:tr2bl w:val="nil"/>
            </w:tcBorders>
            <w:vAlign w:val="top"/>
          </w:tcPr>
          <w:p w14:paraId="41F8EF9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68F34C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22" w:hRule="atLeast"/>
          <w:jc w:val="center"/>
        </w:trPr>
        <w:tc>
          <w:tcPr>
            <w:tcW w:w="180" w:type="pct"/>
            <w:tcBorders>
              <w:tl2br w:val="nil"/>
              <w:tr2bl w:val="nil"/>
            </w:tcBorders>
            <w:vAlign w:val="top"/>
          </w:tcPr>
          <w:p w14:paraId="12C77D4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16</w:t>
            </w:r>
          </w:p>
        </w:tc>
        <w:tc>
          <w:tcPr>
            <w:tcW w:w="271" w:type="pct"/>
            <w:vMerge w:val="continue"/>
            <w:tcBorders>
              <w:tl2br w:val="nil"/>
              <w:tr2bl w:val="nil"/>
            </w:tcBorders>
            <w:vAlign w:val="top"/>
          </w:tcPr>
          <w:p w14:paraId="33CB3C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65804D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1C8999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电积母液循环利用率</w:t>
            </w:r>
          </w:p>
        </w:tc>
        <w:tc>
          <w:tcPr>
            <w:tcW w:w="265" w:type="pct"/>
            <w:tcBorders>
              <w:tl2br w:val="nil"/>
              <w:tr2bl w:val="nil"/>
            </w:tcBorders>
            <w:vAlign w:val="top"/>
          </w:tcPr>
          <w:p w14:paraId="0CD34C6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590C6A3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4B6B0A7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623" w:type="pct"/>
            <w:tcBorders>
              <w:tl2br w:val="nil"/>
              <w:tr2bl w:val="nil"/>
            </w:tcBorders>
            <w:vAlign w:val="top"/>
          </w:tcPr>
          <w:p w14:paraId="249FB35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≥96</w:t>
            </w:r>
          </w:p>
        </w:tc>
        <w:tc>
          <w:tcPr>
            <w:tcW w:w="629" w:type="pct"/>
            <w:tcBorders>
              <w:tl2br w:val="nil"/>
              <w:tr2bl w:val="nil"/>
            </w:tcBorders>
            <w:vAlign w:val="top"/>
          </w:tcPr>
          <w:p w14:paraId="6B2D05E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≥94</w:t>
            </w:r>
          </w:p>
        </w:tc>
        <w:tc>
          <w:tcPr>
            <w:tcW w:w="962" w:type="pct"/>
            <w:tcBorders>
              <w:tl2br w:val="nil"/>
              <w:tr2bl w:val="nil"/>
            </w:tcBorders>
            <w:vAlign w:val="top"/>
          </w:tcPr>
          <w:p w14:paraId="3E54CB6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本项目工业复用水率高达99.93%</w:t>
            </w:r>
          </w:p>
        </w:tc>
        <w:tc>
          <w:tcPr>
            <w:tcW w:w="317" w:type="pct"/>
            <w:tcBorders>
              <w:tl2br w:val="nil"/>
              <w:tr2bl w:val="nil"/>
            </w:tcBorders>
            <w:vAlign w:val="top"/>
          </w:tcPr>
          <w:p w14:paraId="76E0A89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E9E5D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1" w:hRule="atLeast"/>
          <w:jc w:val="center"/>
        </w:trPr>
        <w:tc>
          <w:tcPr>
            <w:tcW w:w="180" w:type="pct"/>
            <w:tcBorders>
              <w:tl2br w:val="nil"/>
              <w:tr2bl w:val="nil"/>
            </w:tcBorders>
            <w:vAlign w:val="top"/>
          </w:tcPr>
          <w:p w14:paraId="12D6CE1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17</w:t>
            </w:r>
          </w:p>
        </w:tc>
        <w:tc>
          <w:tcPr>
            <w:tcW w:w="271" w:type="pct"/>
            <w:tcBorders>
              <w:tl2br w:val="nil"/>
              <w:tr2bl w:val="nil"/>
            </w:tcBorders>
            <w:vAlign w:val="top"/>
          </w:tcPr>
          <w:p w14:paraId="063FF8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温室气体排放</w:t>
            </w:r>
          </w:p>
        </w:tc>
        <w:tc>
          <w:tcPr>
            <w:tcW w:w="264" w:type="pct"/>
            <w:tcBorders>
              <w:tl2br w:val="nil"/>
              <w:tr2bl w:val="nil"/>
            </w:tcBorders>
            <w:vAlign w:val="top"/>
          </w:tcPr>
          <w:p w14:paraId="0140B12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0.05</w:t>
            </w:r>
          </w:p>
        </w:tc>
        <w:tc>
          <w:tcPr>
            <w:tcW w:w="584" w:type="pct"/>
            <w:tcBorders>
              <w:tl2br w:val="nil"/>
              <w:tr2bl w:val="nil"/>
            </w:tcBorders>
            <w:vAlign w:val="top"/>
          </w:tcPr>
          <w:p w14:paraId="08E4A1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碳减排管理</w:t>
            </w:r>
          </w:p>
        </w:tc>
        <w:tc>
          <w:tcPr>
            <w:tcW w:w="265" w:type="pct"/>
            <w:tcBorders>
              <w:tl2br w:val="nil"/>
              <w:tr2bl w:val="nil"/>
            </w:tcBorders>
            <w:vAlign w:val="top"/>
          </w:tcPr>
          <w:p w14:paraId="752C0AA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5B66C7F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w:t>
            </w:r>
          </w:p>
        </w:tc>
        <w:tc>
          <w:tcPr>
            <w:tcW w:w="1241" w:type="pct"/>
            <w:gridSpan w:val="2"/>
            <w:tcBorders>
              <w:tl2br w:val="nil"/>
              <w:tr2bl w:val="nil"/>
            </w:tcBorders>
            <w:vAlign w:val="top"/>
          </w:tcPr>
          <w:p w14:paraId="38F663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定期开展主要产品碳足迹评价和碳盘查</w:t>
            </w:r>
          </w:p>
        </w:tc>
        <w:tc>
          <w:tcPr>
            <w:tcW w:w="629" w:type="pct"/>
            <w:tcBorders>
              <w:tl2br w:val="nil"/>
              <w:tr2bl w:val="nil"/>
            </w:tcBorders>
            <w:vAlign w:val="top"/>
          </w:tcPr>
          <w:p w14:paraId="09064A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定期开展碳盘查</w:t>
            </w:r>
          </w:p>
        </w:tc>
        <w:tc>
          <w:tcPr>
            <w:tcW w:w="962" w:type="pct"/>
            <w:tcBorders>
              <w:tl2br w:val="nil"/>
              <w:tr2bl w:val="nil"/>
            </w:tcBorders>
            <w:vAlign w:val="top"/>
          </w:tcPr>
          <w:p w14:paraId="2612C9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eastAsia" w:ascii="Times New Roman" w:hAnsi="Times New Roman"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定期开展主要产品碳足迹评价和碳盘查</w:t>
            </w:r>
          </w:p>
        </w:tc>
        <w:tc>
          <w:tcPr>
            <w:tcW w:w="317" w:type="pct"/>
            <w:tcBorders>
              <w:tl2br w:val="nil"/>
              <w:tr2bl w:val="nil"/>
            </w:tcBorders>
            <w:vAlign w:val="top"/>
          </w:tcPr>
          <w:p w14:paraId="21DD66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481668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513" w:hRule="atLeast"/>
          <w:jc w:val="center"/>
        </w:trPr>
        <w:tc>
          <w:tcPr>
            <w:tcW w:w="180" w:type="pct"/>
            <w:tcBorders>
              <w:tl2br w:val="nil"/>
              <w:tr2bl w:val="nil"/>
            </w:tcBorders>
            <w:vAlign w:val="top"/>
          </w:tcPr>
          <w:p w14:paraId="726C29A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18</w:t>
            </w:r>
          </w:p>
        </w:tc>
        <w:tc>
          <w:tcPr>
            <w:tcW w:w="271" w:type="pct"/>
            <w:tcBorders>
              <w:tl2br w:val="nil"/>
              <w:tr2bl w:val="nil"/>
            </w:tcBorders>
            <w:vAlign w:val="top"/>
          </w:tcPr>
          <w:p w14:paraId="57D33D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产品特征</w:t>
            </w:r>
          </w:p>
        </w:tc>
        <w:tc>
          <w:tcPr>
            <w:tcW w:w="264" w:type="pct"/>
            <w:tcBorders>
              <w:tl2br w:val="nil"/>
              <w:tr2bl w:val="nil"/>
            </w:tcBorders>
            <w:vAlign w:val="top"/>
          </w:tcPr>
          <w:p w14:paraId="151F872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0.05</w:t>
            </w:r>
          </w:p>
        </w:tc>
        <w:tc>
          <w:tcPr>
            <w:tcW w:w="584" w:type="pct"/>
            <w:tcBorders>
              <w:tl2br w:val="nil"/>
              <w:tr2bl w:val="nil"/>
            </w:tcBorders>
            <w:vAlign w:val="top"/>
          </w:tcPr>
          <w:p w14:paraId="571E28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阴极铜</w:t>
            </w:r>
          </w:p>
        </w:tc>
        <w:tc>
          <w:tcPr>
            <w:tcW w:w="265" w:type="pct"/>
            <w:tcBorders>
              <w:tl2br w:val="nil"/>
              <w:tr2bl w:val="nil"/>
            </w:tcBorders>
            <w:vAlign w:val="top"/>
          </w:tcPr>
          <w:p w14:paraId="0215254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44E88A3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w:t>
            </w:r>
          </w:p>
        </w:tc>
        <w:tc>
          <w:tcPr>
            <w:tcW w:w="618" w:type="pct"/>
            <w:tcBorders>
              <w:tl2br w:val="nil"/>
              <w:tr2bl w:val="nil"/>
            </w:tcBorders>
            <w:vAlign w:val="top"/>
          </w:tcPr>
          <w:p w14:paraId="6ABD391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按照GB/T467的要求，产品合格率≥95%</w:t>
            </w:r>
          </w:p>
        </w:tc>
        <w:tc>
          <w:tcPr>
            <w:tcW w:w="623" w:type="pct"/>
            <w:tcBorders>
              <w:tl2br w:val="nil"/>
              <w:tr2bl w:val="nil"/>
            </w:tcBorders>
            <w:vAlign w:val="top"/>
          </w:tcPr>
          <w:p w14:paraId="72BC5A2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按照GB/T467的要求，产品合格率≥90%</w:t>
            </w:r>
          </w:p>
        </w:tc>
        <w:tc>
          <w:tcPr>
            <w:tcW w:w="629" w:type="pct"/>
            <w:tcBorders>
              <w:tl2br w:val="nil"/>
              <w:tr2bl w:val="nil"/>
            </w:tcBorders>
            <w:vAlign w:val="top"/>
          </w:tcPr>
          <w:p w14:paraId="70EF9B9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按照GB/T467的要求，产品合格率≥85%</w:t>
            </w:r>
          </w:p>
        </w:tc>
        <w:tc>
          <w:tcPr>
            <w:tcW w:w="962" w:type="pct"/>
            <w:tcBorders>
              <w:tl2br w:val="nil"/>
              <w:tr2bl w:val="nil"/>
            </w:tcBorders>
            <w:vAlign w:val="top"/>
          </w:tcPr>
          <w:p w14:paraId="38AEB12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eastAsia"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按照GB/T467的要求，产品合格率≥95%</w:t>
            </w:r>
          </w:p>
        </w:tc>
        <w:tc>
          <w:tcPr>
            <w:tcW w:w="317" w:type="pct"/>
            <w:tcBorders>
              <w:tl2br w:val="nil"/>
              <w:tr2bl w:val="nil"/>
            </w:tcBorders>
            <w:vAlign w:val="top"/>
          </w:tcPr>
          <w:p w14:paraId="7E82823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60A46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703" w:hRule="atLeast"/>
          <w:jc w:val="center"/>
        </w:trPr>
        <w:tc>
          <w:tcPr>
            <w:tcW w:w="180" w:type="pct"/>
            <w:tcBorders>
              <w:tl2br w:val="nil"/>
              <w:tr2bl w:val="nil"/>
            </w:tcBorders>
            <w:vAlign w:val="top"/>
          </w:tcPr>
          <w:p w14:paraId="34DA041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19</w:t>
            </w:r>
          </w:p>
        </w:tc>
        <w:tc>
          <w:tcPr>
            <w:tcW w:w="271" w:type="pct"/>
            <w:vMerge w:val="restart"/>
            <w:tcBorders>
              <w:tl2br w:val="nil"/>
              <w:tr2bl w:val="nil"/>
            </w:tcBorders>
            <w:vAlign w:val="top"/>
          </w:tcPr>
          <w:p w14:paraId="097173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C2AF6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F91EC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03AEE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4CEF8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34694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ECC83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296E3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09A59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86535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90B81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D75EF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清洁生产管理</w:t>
            </w:r>
          </w:p>
        </w:tc>
        <w:tc>
          <w:tcPr>
            <w:tcW w:w="264" w:type="pct"/>
            <w:vMerge w:val="restart"/>
            <w:tcBorders>
              <w:tl2br w:val="nil"/>
              <w:tr2bl w:val="nil"/>
            </w:tcBorders>
            <w:vAlign w:val="top"/>
          </w:tcPr>
          <w:p w14:paraId="09E237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764FC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B03B1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21560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B1C7B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2146A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6496D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E509E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983A3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6D3A41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0A8E8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6DC23C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0.15</w:t>
            </w:r>
          </w:p>
        </w:tc>
        <w:tc>
          <w:tcPr>
            <w:tcW w:w="584" w:type="pct"/>
            <w:tcBorders>
              <w:tl2br w:val="nil"/>
              <w:tr2bl w:val="nil"/>
            </w:tcBorders>
            <w:vAlign w:val="top"/>
          </w:tcPr>
          <w:p w14:paraId="4127BFD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*环保法律法规执行情况</w:t>
            </w:r>
          </w:p>
        </w:tc>
        <w:tc>
          <w:tcPr>
            <w:tcW w:w="265" w:type="pct"/>
            <w:tcBorders>
              <w:tl2br w:val="nil"/>
              <w:tr2bl w:val="nil"/>
            </w:tcBorders>
            <w:vAlign w:val="top"/>
          </w:tcPr>
          <w:p w14:paraId="3C9494B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68F1FF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19A4BC8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符合国家和地方有关环境法律、法规，企业污染物排放总量及能源消耗总量满足国家及地方政府相关标准，满足环评批复、环保“三同时”制度、总量控制和排污许可证管理要求。</w:t>
            </w:r>
          </w:p>
        </w:tc>
        <w:tc>
          <w:tcPr>
            <w:tcW w:w="962" w:type="pct"/>
            <w:tcBorders>
              <w:tl2br w:val="nil"/>
              <w:tr2bl w:val="nil"/>
            </w:tcBorders>
            <w:vAlign w:val="top"/>
          </w:tcPr>
          <w:p w14:paraId="5ADA744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eastAsia"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符合国家和地方有关环境法律、法规，企业污染物排放总量及能源消耗总量满足国家及地方政府相关标准，满足环评批复、环保“三同时”制度、总量控制和排污许可证管理要求</w:t>
            </w:r>
          </w:p>
        </w:tc>
        <w:tc>
          <w:tcPr>
            <w:tcW w:w="317" w:type="pct"/>
            <w:tcBorders>
              <w:tl2br w:val="nil"/>
              <w:tr2bl w:val="nil"/>
            </w:tcBorders>
            <w:vAlign w:val="top"/>
          </w:tcPr>
          <w:p w14:paraId="7F08FA6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000E19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1168" w:hRule="atLeast"/>
          <w:jc w:val="center"/>
        </w:trPr>
        <w:tc>
          <w:tcPr>
            <w:tcW w:w="180" w:type="pct"/>
            <w:tcBorders>
              <w:tl2br w:val="nil"/>
              <w:tr2bl w:val="nil"/>
            </w:tcBorders>
            <w:vAlign w:val="top"/>
          </w:tcPr>
          <w:p w14:paraId="378620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33E85B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20</w:t>
            </w:r>
          </w:p>
        </w:tc>
        <w:tc>
          <w:tcPr>
            <w:tcW w:w="271" w:type="pct"/>
            <w:vMerge w:val="continue"/>
            <w:tcBorders>
              <w:tl2br w:val="nil"/>
              <w:tr2bl w:val="nil"/>
            </w:tcBorders>
            <w:vAlign w:val="top"/>
          </w:tcPr>
          <w:p w14:paraId="1AC4DF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C99FB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0E4C92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88869F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*产业政策符合性</w:t>
            </w:r>
          </w:p>
        </w:tc>
        <w:tc>
          <w:tcPr>
            <w:tcW w:w="265" w:type="pct"/>
            <w:tcBorders>
              <w:tl2br w:val="nil"/>
              <w:tr2bl w:val="nil"/>
            </w:tcBorders>
            <w:vAlign w:val="top"/>
          </w:tcPr>
          <w:p w14:paraId="6D8EE9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DB6EF0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2AC8F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8FF908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241" w:type="pct"/>
            <w:gridSpan w:val="2"/>
            <w:tcBorders>
              <w:tl2br w:val="nil"/>
              <w:tr2bl w:val="nil"/>
            </w:tcBorders>
            <w:vAlign w:val="top"/>
          </w:tcPr>
          <w:p w14:paraId="3250A9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生产规模符合国家和地方相关产业政策，不采用国家限制、淘汰类的生产工艺、装备，不生产国家限制、淘汰类的产品。</w:t>
            </w:r>
          </w:p>
        </w:tc>
        <w:tc>
          <w:tcPr>
            <w:tcW w:w="629" w:type="pct"/>
            <w:tcBorders>
              <w:tl2br w:val="nil"/>
              <w:tr2bl w:val="nil"/>
            </w:tcBorders>
            <w:vAlign w:val="top"/>
          </w:tcPr>
          <w:p w14:paraId="70C917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生产规模符合国家和地方相关产业政策，不采用国家明令淘汰类的生产工艺、装备，不生产国家禁止类产品。</w:t>
            </w:r>
          </w:p>
        </w:tc>
        <w:tc>
          <w:tcPr>
            <w:tcW w:w="962" w:type="pct"/>
            <w:tcBorders>
              <w:tl2br w:val="nil"/>
              <w:tr2bl w:val="nil"/>
            </w:tcBorders>
            <w:vAlign w:val="top"/>
          </w:tcPr>
          <w:p w14:paraId="117F19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生产规模符合国家和地方相关产业政策，不采用国家限制、淘汰类的生产工艺、装备，不生产国家限制、淘汰类的产品。</w:t>
            </w:r>
          </w:p>
        </w:tc>
        <w:tc>
          <w:tcPr>
            <w:tcW w:w="317" w:type="pct"/>
            <w:tcBorders>
              <w:tl2br w:val="nil"/>
              <w:tr2bl w:val="nil"/>
            </w:tcBorders>
            <w:vAlign w:val="top"/>
          </w:tcPr>
          <w:p w14:paraId="0B22AB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41C8512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1756" w:hRule="atLeast"/>
          <w:jc w:val="center"/>
        </w:trPr>
        <w:tc>
          <w:tcPr>
            <w:tcW w:w="180" w:type="pct"/>
            <w:tcBorders>
              <w:tl2br w:val="nil"/>
              <w:tr2bl w:val="nil"/>
            </w:tcBorders>
            <w:vAlign w:val="top"/>
          </w:tcPr>
          <w:p w14:paraId="4E5FDC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7212F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9B5FA9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21</w:t>
            </w:r>
          </w:p>
        </w:tc>
        <w:tc>
          <w:tcPr>
            <w:tcW w:w="271" w:type="pct"/>
            <w:vMerge w:val="continue"/>
            <w:tcBorders>
              <w:tl2br w:val="nil"/>
              <w:tr2bl w:val="nil"/>
            </w:tcBorders>
            <w:vAlign w:val="top"/>
          </w:tcPr>
          <w:p w14:paraId="1944CE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59687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603FCD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184B3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8C909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清洁生产管理</w:t>
            </w:r>
          </w:p>
        </w:tc>
        <w:tc>
          <w:tcPr>
            <w:tcW w:w="265" w:type="pct"/>
            <w:tcBorders>
              <w:tl2br w:val="nil"/>
              <w:tr2bl w:val="nil"/>
            </w:tcBorders>
            <w:vAlign w:val="top"/>
          </w:tcPr>
          <w:p w14:paraId="0D3A88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F97BC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DC71F2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76C021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4A813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F2AD62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1FB8BE3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照GB/T24001建立并运行环境管理体系，建有专门负责清洁生产的领导机构，各成员单位及主管人员职责分工明确；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门备案）并定期演练。按行业无组织排放监管的相关政策要求，加强对无组织排放的防控措施，减少生产过程无组织排放。</w:t>
            </w:r>
          </w:p>
        </w:tc>
        <w:tc>
          <w:tcPr>
            <w:tcW w:w="962" w:type="pct"/>
            <w:tcBorders>
              <w:tl2br w:val="nil"/>
              <w:tr2bl w:val="nil"/>
            </w:tcBorders>
            <w:vAlign w:val="top"/>
          </w:tcPr>
          <w:p w14:paraId="07CEAD0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按照GB/T24001建立并运行环境管理体系，建有专门负责清洁生产的领导机构，各成员单位及主管人员职责分工明确；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门备案）并定期演练。按行业无组织排放监管的相关政策要求，加强对无组织排放的防控措施，减少生产过程无组织排放。</w:t>
            </w:r>
          </w:p>
        </w:tc>
        <w:tc>
          <w:tcPr>
            <w:tcW w:w="317" w:type="pct"/>
            <w:tcBorders>
              <w:tl2br w:val="nil"/>
              <w:tr2bl w:val="nil"/>
            </w:tcBorders>
            <w:vAlign w:val="top"/>
          </w:tcPr>
          <w:p w14:paraId="0D75188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893EAA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1418" w:hRule="atLeast"/>
          <w:jc w:val="center"/>
        </w:trPr>
        <w:tc>
          <w:tcPr>
            <w:tcW w:w="180" w:type="pct"/>
            <w:tcBorders>
              <w:tl2br w:val="nil"/>
              <w:tr2bl w:val="nil"/>
            </w:tcBorders>
            <w:vAlign w:val="top"/>
          </w:tcPr>
          <w:p w14:paraId="044153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734AF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C88C13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22</w:t>
            </w:r>
          </w:p>
        </w:tc>
        <w:tc>
          <w:tcPr>
            <w:tcW w:w="271" w:type="pct"/>
            <w:vMerge w:val="continue"/>
            <w:tcBorders>
              <w:tl2br w:val="nil"/>
              <w:tr2bl w:val="nil"/>
            </w:tcBorders>
            <w:vAlign w:val="top"/>
          </w:tcPr>
          <w:p w14:paraId="2607B2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7A34BB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5C5FAF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22CB2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B6886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清洁生产审核</w:t>
            </w:r>
          </w:p>
        </w:tc>
        <w:tc>
          <w:tcPr>
            <w:tcW w:w="265" w:type="pct"/>
            <w:tcBorders>
              <w:tl2br w:val="nil"/>
              <w:tr2bl w:val="nil"/>
            </w:tcBorders>
            <w:vAlign w:val="top"/>
          </w:tcPr>
          <w:p w14:paraId="035314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9EC29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D3BB20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9850E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C61BC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C6BEBC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618" w:type="pct"/>
            <w:tcBorders>
              <w:tl2br w:val="nil"/>
              <w:tr2bl w:val="nil"/>
            </w:tcBorders>
            <w:vAlign w:val="top"/>
          </w:tcPr>
          <w:p w14:paraId="6C94C05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按政府规定要求，制订有清洁生产审核工作计划，对原料及生产全流程定期开展清洁生产审核活动，中、高费方案实施率≥80%。</w:t>
            </w:r>
          </w:p>
        </w:tc>
        <w:tc>
          <w:tcPr>
            <w:tcW w:w="623" w:type="pct"/>
            <w:tcBorders>
              <w:tl2br w:val="nil"/>
              <w:tr2bl w:val="nil"/>
            </w:tcBorders>
            <w:vAlign w:val="top"/>
          </w:tcPr>
          <w:p w14:paraId="350D94F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按政府规定要求，制订有清洁生产审核工作计划，对原料及生产全流程定期开展清洁生产审核活动，中、高费方案实施率≥60%。</w:t>
            </w:r>
          </w:p>
        </w:tc>
        <w:tc>
          <w:tcPr>
            <w:tcW w:w="629" w:type="pct"/>
            <w:tcBorders>
              <w:tl2br w:val="nil"/>
              <w:tr2bl w:val="nil"/>
            </w:tcBorders>
            <w:vAlign w:val="top"/>
          </w:tcPr>
          <w:p w14:paraId="0B594D2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按政府规定要求，制订有清洁生产审核工作计划，原料及生产全流程中部分生产工序定期开展清洁生产审核活动，中、高费方案实施率≥50%。</w:t>
            </w:r>
          </w:p>
        </w:tc>
        <w:tc>
          <w:tcPr>
            <w:tcW w:w="962" w:type="pct"/>
            <w:tcBorders>
              <w:tl2br w:val="nil"/>
              <w:tr2bl w:val="nil"/>
            </w:tcBorders>
            <w:vAlign w:val="top"/>
          </w:tcPr>
          <w:p w14:paraId="6633B20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按政府规定要求，制订有清洁生产审核工作计划，对原料及生产全流程定期开展清洁生产审核活动，中、高费方案实施率≥80%。</w:t>
            </w:r>
          </w:p>
        </w:tc>
        <w:tc>
          <w:tcPr>
            <w:tcW w:w="317" w:type="pct"/>
            <w:tcBorders>
              <w:tl2br w:val="nil"/>
              <w:tr2bl w:val="nil"/>
            </w:tcBorders>
            <w:vAlign w:val="top"/>
          </w:tcPr>
          <w:p w14:paraId="127EC3B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925E7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988" w:hRule="atLeast"/>
          <w:jc w:val="center"/>
        </w:trPr>
        <w:tc>
          <w:tcPr>
            <w:tcW w:w="180" w:type="pct"/>
            <w:tcBorders>
              <w:tl2br w:val="nil"/>
              <w:tr2bl w:val="nil"/>
            </w:tcBorders>
            <w:vAlign w:val="top"/>
          </w:tcPr>
          <w:p w14:paraId="2BE967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8B3C45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23</w:t>
            </w:r>
          </w:p>
        </w:tc>
        <w:tc>
          <w:tcPr>
            <w:tcW w:w="271" w:type="pct"/>
            <w:vMerge w:val="continue"/>
            <w:tcBorders>
              <w:tl2br w:val="nil"/>
              <w:tr2bl w:val="nil"/>
            </w:tcBorders>
            <w:vAlign w:val="top"/>
          </w:tcPr>
          <w:p w14:paraId="4C9C60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51FEB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19B129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B922E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节能管理</w:t>
            </w:r>
          </w:p>
        </w:tc>
        <w:tc>
          <w:tcPr>
            <w:tcW w:w="265" w:type="pct"/>
            <w:tcBorders>
              <w:tl2br w:val="nil"/>
              <w:tr2bl w:val="nil"/>
            </w:tcBorders>
            <w:vAlign w:val="top"/>
          </w:tcPr>
          <w:p w14:paraId="0C55B8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B4CF6B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286B76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AF0EEB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618" w:type="pct"/>
            <w:tcBorders>
              <w:tl2br w:val="nil"/>
              <w:tr2bl w:val="nil"/>
            </w:tcBorders>
            <w:vAlign w:val="top"/>
          </w:tcPr>
          <w:p w14:paraId="209DE46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按国家规定要求，组织开展节能评估与能源审计工作，实施节能改造项目完成率为90%。</w:t>
            </w:r>
          </w:p>
        </w:tc>
        <w:tc>
          <w:tcPr>
            <w:tcW w:w="623" w:type="pct"/>
            <w:tcBorders>
              <w:tl2br w:val="nil"/>
              <w:tr2bl w:val="nil"/>
            </w:tcBorders>
            <w:vAlign w:val="top"/>
          </w:tcPr>
          <w:p w14:paraId="6F394AB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按国家规定要求，组织开展节能评估与能源审计工作，实施节能改造项目完成率≥70%。</w:t>
            </w:r>
          </w:p>
        </w:tc>
        <w:tc>
          <w:tcPr>
            <w:tcW w:w="629" w:type="pct"/>
            <w:tcBorders>
              <w:tl2br w:val="nil"/>
              <w:tr2bl w:val="nil"/>
            </w:tcBorders>
            <w:vAlign w:val="top"/>
          </w:tcPr>
          <w:p w14:paraId="0EDDBD7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按国家规定要求，组织开展节能评估与能源审计工作，实施节能改造项目完成率≥50%。</w:t>
            </w:r>
          </w:p>
        </w:tc>
        <w:tc>
          <w:tcPr>
            <w:tcW w:w="962" w:type="pct"/>
            <w:tcBorders>
              <w:tl2br w:val="nil"/>
              <w:tr2bl w:val="nil"/>
            </w:tcBorders>
            <w:vAlign w:val="top"/>
          </w:tcPr>
          <w:p w14:paraId="36F1441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按国家规定要求，组织开展节能评估与能源审计工作，实施节能改造项目完成率为90%。</w:t>
            </w:r>
          </w:p>
        </w:tc>
        <w:tc>
          <w:tcPr>
            <w:tcW w:w="317" w:type="pct"/>
            <w:tcBorders>
              <w:tl2br w:val="nil"/>
              <w:tr2bl w:val="nil"/>
            </w:tcBorders>
            <w:vAlign w:val="top"/>
          </w:tcPr>
          <w:p w14:paraId="4A09F25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77C5C78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180" w:type="pct"/>
            <w:tcBorders>
              <w:tl2br w:val="nil"/>
              <w:tr2bl w:val="nil"/>
            </w:tcBorders>
            <w:vAlign w:val="top"/>
          </w:tcPr>
          <w:p w14:paraId="4013AFD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24</w:t>
            </w:r>
          </w:p>
        </w:tc>
        <w:tc>
          <w:tcPr>
            <w:tcW w:w="271" w:type="pct"/>
            <w:vMerge w:val="continue"/>
            <w:tcBorders>
              <w:tl2br w:val="nil"/>
              <w:tr2bl w:val="nil"/>
            </w:tcBorders>
            <w:vAlign w:val="top"/>
          </w:tcPr>
          <w:p w14:paraId="761277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70895D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E7BA9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污染物排放监测</w:t>
            </w:r>
          </w:p>
        </w:tc>
        <w:tc>
          <w:tcPr>
            <w:tcW w:w="265" w:type="pct"/>
            <w:tcBorders>
              <w:tl2br w:val="nil"/>
              <w:tr2bl w:val="nil"/>
            </w:tcBorders>
            <w:vAlign w:val="top"/>
          </w:tcPr>
          <w:p w14:paraId="5D24E88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30C807A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4087E6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满足国家相关监测技术规范要求；按照排污许可证规定的自行监测方案自行或委托第三方监测机构开展监测工作，安排专人专职对监测数据进行记录、整理、统计和分析，公开自行监测信息。</w:t>
            </w:r>
          </w:p>
        </w:tc>
        <w:tc>
          <w:tcPr>
            <w:tcW w:w="962" w:type="pct"/>
            <w:tcBorders>
              <w:tl2br w:val="nil"/>
              <w:tr2bl w:val="nil"/>
            </w:tcBorders>
            <w:vAlign w:val="top"/>
          </w:tcPr>
          <w:p w14:paraId="68C46B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满足国家相关监测技术规范要求；按照排污许可证规定的自行监测方案自行或委托第三方监测机构开展监测工作，安排专人专职对监测数据进行记录、整理、统计和分析，公开自行监测信息。</w:t>
            </w:r>
          </w:p>
        </w:tc>
        <w:tc>
          <w:tcPr>
            <w:tcW w:w="331" w:type="pct"/>
            <w:gridSpan w:val="2"/>
            <w:tcBorders>
              <w:tl2br w:val="nil"/>
              <w:tr2bl w:val="nil"/>
            </w:tcBorders>
            <w:vAlign w:val="top"/>
          </w:tcPr>
          <w:p w14:paraId="2D4027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122A8F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80" w:type="pct"/>
            <w:tcBorders>
              <w:tl2br w:val="nil"/>
              <w:tr2bl w:val="nil"/>
            </w:tcBorders>
            <w:vAlign w:val="top"/>
          </w:tcPr>
          <w:p w14:paraId="2393B64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25</w:t>
            </w:r>
          </w:p>
        </w:tc>
        <w:tc>
          <w:tcPr>
            <w:tcW w:w="271" w:type="pct"/>
            <w:vMerge w:val="continue"/>
            <w:tcBorders>
              <w:tl2br w:val="nil"/>
              <w:tr2bl w:val="nil"/>
            </w:tcBorders>
            <w:vAlign w:val="top"/>
          </w:tcPr>
          <w:p w14:paraId="57CF9B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4C6110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7E3F52B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*危险化学品管理</w:t>
            </w:r>
          </w:p>
        </w:tc>
        <w:tc>
          <w:tcPr>
            <w:tcW w:w="265" w:type="pct"/>
            <w:tcBorders>
              <w:tl2br w:val="nil"/>
              <w:tr2bl w:val="nil"/>
            </w:tcBorders>
            <w:vAlign w:val="top"/>
          </w:tcPr>
          <w:p w14:paraId="369CB60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60F68F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412F57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符合《危险化学品安全管理条例》相关要求。</w:t>
            </w:r>
          </w:p>
        </w:tc>
        <w:tc>
          <w:tcPr>
            <w:tcW w:w="962" w:type="pct"/>
            <w:tcBorders>
              <w:tl2br w:val="nil"/>
              <w:tr2bl w:val="nil"/>
            </w:tcBorders>
            <w:vAlign w:val="top"/>
          </w:tcPr>
          <w:p w14:paraId="2DA342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符合《危险化学品安全管理条例》相关要求。</w:t>
            </w:r>
          </w:p>
        </w:tc>
        <w:tc>
          <w:tcPr>
            <w:tcW w:w="331" w:type="pct"/>
            <w:gridSpan w:val="2"/>
            <w:tcBorders>
              <w:tl2br w:val="nil"/>
              <w:tr2bl w:val="nil"/>
            </w:tcBorders>
            <w:vAlign w:val="top"/>
          </w:tcPr>
          <w:p w14:paraId="22809E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181B33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80" w:type="pct"/>
            <w:tcBorders>
              <w:tl2br w:val="nil"/>
              <w:tr2bl w:val="nil"/>
            </w:tcBorders>
            <w:vAlign w:val="top"/>
          </w:tcPr>
          <w:p w14:paraId="62352C1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26</w:t>
            </w:r>
          </w:p>
        </w:tc>
        <w:tc>
          <w:tcPr>
            <w:tcW w:w="271" w:type="pct"/>
            <w:vMerge w:val="continue"/>
            <w:tcBorders>
              <w:tl2br w:val="nil"/>
              <w:tr2bl w:val="nil"/>
            </w:tcBorders>
            <w:vAlign w:val="top"/>
          </w:tcPr>
          <w:p w14:paraId="72F9BD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1885F0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D1059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计量器具配备情况</w:t>
            </w:r>
          </w:p>
        </w:tc>
        <w:tc>
          <w:tcPr>
            <w:tcW w:w="265" w:type="pct"/>
            <w:tcBorders>
              <w:tl2br w:val="nil"/>
              <w:tr2bl w:val="nil"/>
            </w:tcBorders>
            <w:vAlign w:val="top"/>
          </w:tcPr>
          <w:p w14:paraId="6BC6085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411DC63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0.05</w:t>
            </w:r>
          </w:p>
        </w:tc>
        <w:tc>
          <w:tcPr>
            <w:tcW w:w="1870" w:type="pct"/>
            <w:gridSpan w:val="3"/>
            <w:tcBorders>
              <w:tl2br w:val="nil"/>
              <w:tr2bl w:val="nil"/>
            </w:tcBorders>
            <w:vAlign w:val="top"/>
          </w:tcPr>
          <w:p w14:paraId="641FE87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计量器具配备满足符合国家标准GB17167、GB24789三级计量配备要求。</w:t>
            </w:r>
          </w:p>
        </w:tc>
        <w:tc>
          <w:tcPr>
            <w:tcW w:w="962" w:type="pct"/>
            <w:tcBorders>
              <w:tl2br w:val="nil"/>
              <w:tr2bl w:val="nil"/>
            </w:tcBorders>
            <w:vAlign w:val="top"/>
          </w:tcPr>
          <w:p w14:paraId="38E2EFE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按GB17167、GB24789三级计量配备要求建设、运行。</w:t>
            </w:r>
          </w:p>
        </w:tc>
        <w:tc>
          <w:tcPr>
            <w:tcW w:w="331" w:type="pct"/>
            <w:gridSpan w:val="2"/>
            <w:tcBorders>
              <w:tl2br w:val="nil"/>
              <w:tr2bl w:val="nil"/>
            </w:tcBorders>
            <w:vAlign w:val="top"/>
          </w:tcPr>
          <w:p w14:paraId="3BF87E2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3ACA20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180" w:type="pct"/>
            <w:tcBorders>
              <w:tl2br w:val="nil"/>
              <w:tr2bl w:val="nil"/>
            </w:tcBorders>
            <w:vAlign w:val="top"/>
          </w:tcPr>
          <w:p w14:paraId="2A91C9D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27</w:t>
            </w:r>
          </w:p>
        </w:tc>
        <w:tc>
          <w:tcPr>
            <w:tcW w:w="271" w:type="pct"/>
            <w:vMerge w:val="continue"/>
            <w:tcBorders>
              <w:tl2br w:val="nil"/>
              <w:tr2bl w:val="nil"/>
            </w:tcBorders>
            <w:vAlign w:val="top"/>
          </w:tcPr>
          <w:p w14:paraId="2782E0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8074B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1280A5D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*固体废物处理处置</w:t>
            </w:r>
          </w:p>
        </w:tc>
        <w:tc>
          <w:tcPr>
            <w:tcW w:w="265" w:type="pct"/>
            <w:tcBorders>
              <w:tl2br w:val="nil"/>
              <w:tr2bl w:val="nil"/>
            </w:tcBorders>
            <w:vAlign w:val="top"/>
          </w:tcPr>
          <w:p w14:paraId="5D12BA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8CB4AC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728114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1CB590E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通过当地环保主管部门组织的危险废物规范化管理考核，综合评估结果为“达标”。按照GB18599相关规定对暂时不利用或者不能利用的一般工业固体废物进行贮存或处置。</w:t>
            </w:r>
          </w:p>
        </w:tc>
        <w:tc>
          <w:tcPr>
            <w:tcW w:w="962" w:type="pct"/>
            <w:tcBorders>
              <w:tl2br w:val="nil"/>
              <w:tr2bl w:val="nil"/>
            </w:tcBorders>
            <w:vAlign w:val="top"/>
          </w:tcPr>
          <w:p w14:paraId="3922F12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项目投产后对危废进行规范化管理，并经环保主管部门考核达标。对暂时不利用或者不能利用的一般工业固体废物进行贮存或处置</w:t>
            </w:r>
          </w:p>
        </w:tc>
        <w:tc>
          <w:tcPr>
            <w:tcW w:w="331" w:type="pct"/>
            <w:gridSpan w:val="2"/>
            <w:tcBorders>
              <w:tl2br w:val="nil"/>
              <w:tr2bl w:val="nil"/>
            </w:tcBorders>
            <w:vAlign w:val="top"/>
          </w:tcPr>
          <w:p w14:paraId="4293441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404F4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80" w:type="pct"/>
            <w:tcBorders>
              <w:tl2br w:val="nil"/>
              <w:tr2bl w:val="nil"/>
            </w:tcBorders>
            <w:vAlign w:val="top"/>
          </w:tcPr>
          <w:p w14:paraId="3F55A0E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28</w:t>
            </w:r>
          </w:p>
        </w:tc>
        <w:tc>
          <w:tcPr>
            <w:tcW w:w="271" w:type="pct"/>
            <w:vMerge w:val="continue"/>
            <w:tcBorders>
              <w:tl2br w:val="nil"/>
              <w:tr2bl w:val="nil"/>
            </w:tcBorders>
            <w:vAlign w:val="top"/>
          </w:tcPr>
          <w:p w14:paraId="381F4D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618E4F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7B5FE5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土壤污染隐患排查</w:t>
            </w:r>
          </w:p>
        </w:tc>
        <w:tc>
          <w:tcPr>
            <w:tcW w:w="265" w:type="pct"/>
            <w:tcBorders>
              <w:tl2br w:val="nil"/>
              <w:tr2bl w:val="nil"/>
            </w:tcBorders>
            <w:vAlign w:val="top"/>
          </w:tcPr>
          <w:p w14:paraId="7ADB617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8FBD8E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751AE0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属于土壤污染重点监管单位的企业应参照国家有关技术规范，建立土壤污染隐患排查制度，保证持续有效防止有毒有害物质渗漏、流失、扬散。</w:t>
            </w:r>
          </w:p>
        </w:tc>
        <w:tc>
          <w:tcPr>
            <w:tcW w:w="962" w:type="pct"/>
            <w:tcBorders>
              <w:tl2br w:val="nil"/>
              <w:tr2bl w:val="nil"/>
            </w:tcBorders>
            <w:vAlign w:val="top"/>
          </w:tcPr>
          <w:p w14:paraId="72FDD7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建立土壤污染隐患排查制度，保证持续有效防止有毒有害物质渗漏、流失、扬散</w:t>
            </w:r>
          </w:p>
        </w:tc>
        <w:tc>
          <w:tcPr>
            <w:tcW w:w="331" w:type="pct"/>
            <w:gridSpan w:val="2"/>
            <w:tcBorders>
              <w:tl2br w:val="nil"/>
              <w:tr2bl w:val="nil"/>
            </w:tcBorders>
            <w:vAlign w:val="top"/>
          </w:tcPr>
          <w:p w14:paraId="1AF89A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FAA93D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60" w:hRule="atLeast"/>
          <w:jc w:val="center"/>
        </w:trPr>
        <w:tc>
          <w:tcPr>
            <w:tcW w:w="180" w:type="pct"/>
            <w:tcBorders>
              <w:tl2br w:val="nil"/>
              <w:tr2bl w:val="nil"/>
            </w:tcBorders>
            <w:vAlign w:val="top"/>
          </w:tcPr>
          <w:p w14:paraId="1A2B6B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59EE1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F9147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0C21D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8C0930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46</w:t>
            </w:r>
          </w:p>
        </w:tc>
        <w:tc>
          <w:tcPr>
            <w:tcW w:w="271" w:type="pct"/>
            <w:vMerge w:val="continue"/>
            <w:tcBorders>
              <w:tl2br w:val="nil"/>
              <w:tr2bl w:val="nil"/>
            </w:tcBorders>
            <w:vAlign w:val="top"/>
          </w:tcPr>
          <w:p w14:paraId="09C248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E3EF9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59B973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C037B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B03CB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790F4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60C019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运输方式</w:t>
            </w:r>
          </w:p>
        </w:tc>
        <w:tc>
          <w:tcPr>
            <w:tcW w:w="265" w:type="pct"/>
            <w:tcBorders>
              <w:tl2br w:val="nil"/>
              <w:tr2bl w:val="nil"/>
            </w:tcBorders>
            <w:vAlign w:val="top"/>
          </w:tcPr>
          <w:p w14:paraId="7CB290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8D489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E7E0C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96A08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D4D838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51D3E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1A83F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8D823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02955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F5C334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0.05</w:t>
            </w:r>
          </w:p>
        </w:tc>
        <w:tc>
          <w:tcPr>
            <w:tcW w:w="618" w:type="pct"/>
            <w:tcBorders>
              <w:tl2br w:val="nil"/>
              <w:tr2bl w:val="nil"/>
            </w:tcBorders>
            <w:vAlign w:val="top"/>
          </w:tcPr>
          <w:p w14:paraId="1FE861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861A4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物料公路运输和厂内运输车辆全部使用达到国五及以上排放标准的重型载货车辆（含燃气）或新能源汽车；</w:t>
            </w:r>
          </w:p>
          <w:p w14:paraId="5181BC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厂内非道路移动机械全部达到国三及以上排放标准或使用新能源机械。</w:t>
            </w:r>
          </w:p>
        </w:tc>
        <w:tc>
          <w:tcPr>
            <w:tcW w:w="623" w:type="pct"/>
            <w:tcBorders>
              <w:tl2br w:val="nil"/>
              <w:tr2bl w:val="nil"/>
            </w:tcBorders>
            <w:vAlign w:val="top"/>
          </w:tcPr>
          <w:p w14:paraId="1CDFC29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物料公路运输和厂内运输车辆全部使用达到国五及以上排放标准的重型载货车辆（含燃气），或新能源汽车比例不低于70%，其他车辆达到国四排放标准；</w:t>
            </w:r>
          </w:p>
          <w:p w14:paraId="1F28249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厂内非道路移动机械全部达到国三及以上排放标准或使用新能源机械比例不低于70%。</w:t>
            </w:r>
          </w:p>
        </w:tc>
        <w:tc>
          <w:tcPr>
            <w:tcW w:w="629" w:type="pct"/>
            <w:tcBorders>
              <w:tl2br w:val="nil"/>
              <w:tr2bl w:val="nil"/>
            </w:tcBorders>
            <w:vAlign w:val="top"/>
          </w:tcPr>
          <w:p w14:paraId="66C1CB3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物料公路运输和厂内运输车辆全部使用达到国五及以上排放标准的重型载货车辆（含燃气），或新能源汽车比例不低于50%，其他车辆达到国四排放标准；</w:t>
            </w:r>
          </w:p>
          <w:p w14:paraId="0BD0640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厂内非道路移动机械全部达到国三及以上排放标准或使用新能源机械比例不低于50%。</w:t>
            </w:r>
          </w:p>
        </w:tc>
        <w:tc>
          <w:tcPr>
            <w:tcW w:w="962" w:type="pct"/>
            <w:tcBorders>
              <w:tl2br w:val="nil"/>
              <w:tr2bl w:val="nil"/>
            </w:tcBorders>
            <w:vAlign w:val="top"/>
          </w:tcPr>
          <w:p w14:paraId="0F68021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物料公路运输和厂内运输车辆全部使用达到国五及以上排放标准的重型载货车辆（ 含燃气）或新能源汽车；厂内 非道路移动机械全部达到国三及以上排放标准或使用新能源机械。</w:t>
            </w:r>
          </w:p>
        </w:tc>
        <w:tc>
          <w:tcPr>
            <w:tcW w:w="331" w:type="pct"/>
            <w:gridSpan w:val="2"/>
            <w:tcBorders>
              <w:tl2br w:val="nil"/>
              <w:tr2bl w:val="nil"/>
            </w:tcBorders>
            <w:vAlign w:val="top"/>
          </w:tcPr>
          <w:p w14:paraId="5E853A1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r>
      <w:tr w14:paraId="4BA2C6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706" w:type="pct"/>
            <w:gridSpan w:val="9"/>
            <w:tcBorders>
              <w:tl2br w:val="nil"/>
              <w:tr2bl w:val="nil"/>
            </w:tcBorders>
            <w:vAlign w:val="top"/>
          </w:tcPr>
          <w:p w14:paraId="4687A38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注：带*的指标为限定性指标。</w:t>
            </w:r>
          </w:p>
        </w:tc>
        <w:tc>
          <w:tcPr>
            <w:tcW w:w="962" w:type="pct"/>
            <w:tcBorders>
              <w:tl2br w:val="nil"/>
              <w:tr2bl w:val="nil"/>
            </w:tcBorders>
            <w:vAlign w:val="top"/>
          </w:tcPr>
          <w:p w14:paraId="5763287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331" w:type="pct"/>
            <w:gridSpan w:val="2"/>
            <w:tcBorders>
              <w:tl2br w:val="nil"/>
              <w:tr2bl w:val="nil"/>
            </w:tcBorders>
            <w:vAlign w:val="top"/>
          </w:tcPr>
          <w:p w14:paraId="3D37170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r>
    </w:tbl>
    <w:p w14:paraId="55093A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napToGrid w:val="0"/>
          <w:color w:val="auto"/>
          <w:kern w:val="0"/>
          <w:sz w:val="24"/>
          <w:szCs w:val="28"/>
          <w:highlight w:val="none"/>
          <w:lang w:eastAsia="zh-CN"/>
        </w:rPr>
        <w:t>本项目相关指标与Ⅰ级限定性指标进行对比，计算综合评价指数得分YI为100＞85分，限定性指标和非限定性指标全部满足Ⅰ级基准值要求，因此本项目清洁生产综合评价指数能够达到Ⅰ级清洁生产水平。</w:t>
      </w:r>
    </w:p>
    <w:p w14:paraId="4685FDC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.2.7清洁生产结论及建议</w:t>
      </w:r>
    </w:p>
    <w:p w14:paraId="633DC8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综上所述，本项目从原料、工艺技术、资源及能源综合利用和污染治理上都体现了清洁生产的原则，与《铜冶炼行业清洁生产评价指标体系》对比分析，本项目清洁生产水平为Ⅰ级。</w:t>
      </w:r>
    </w:p>
    <w:p w14:paraId="0ABD0B93">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rPr>
        <w:sectPr>
          <w:footerReference r:id="rId18" w:type="first"/>
          <w:footerReference r:id="rId17"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2B1C0D36">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41" w:name="_Toc15810"/>
      <w:bookmarkStart w:id="142" w:name="_Toc26019"/>
      <w:r>
        <w:rPr>
          <w:rFonts w:hint="default" w:ascii="Times New Roman" w:hAnsi="Times New Roman" w:eastAsia="宋体" w:cs="Times New Roman"/>
          <w:color w:val="auto"/>
          <w:highlight w:val="none"/>
        </w:rPr>
        <w:t>4 环境质量现状调查与评价</w:t>
      </w:r>
      <w:bookmarkEnd w:id="141"/>
      <w:bookmarkEnd w:id="142"/>
    </w:p>
    <w:p w14:paraId="631DFC83">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43" w:name="_Toc527982448"/>
      <w:bookmarkStart w:id="144" w:name="_Toc11766"/>
      <w:bookmarkStart w:id="145" w:name="_Toc10575"/>
      <w:r>
        <w:rPr>
          <w:rFonts w:hint="default" w:ascii="Times New Roman" w:hAnsi="Times New Roman" w:eastAsia="宋体" w:cs="Times New Roman"/>
          <w:color w:val="auto"/>
          <w:highlight w:val="none"/>
        </w:rPr>
        <w:t>4.1 自然环境概况</w:t>
      </w:r>
      <w:bookmarkEnd w:id="143"/>
      <w:bookmarkEnd w:id="144"/>
      <w:bookmarkEnd w:id="145"/>
    </w:p>
    <w:p w14:paraId="3619003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4.1.1地理位置</w:t>
      </w:r>
    </w:p>
    <w:p w14:paraId="2A1F335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吐鲁番市位于新疆维吾尔自治区中部，在北纬41°12′～43°40′，东经87°16′～91°55′之间，东邻哈密，西、南与巴音郭楞蒙古自治州的和静、和硕、尉犁、若羌县毗连，北隔天山与乌鲁木齐市及昌吉回族自治州的奇台、吉木萨尔、</w:t>
      </w:r>
      <w:r>
        <w:rPr>
          <w:rFonts w:hint="eastAsia" w:cs="Times New Roman"/>
          <w:color w:val="auto"/>
          <w:highlight w:val="none"/>
          <w:lang w:eastAsia="zh-CN"/>
        </w:rPr>
        <w:t>木垒哈萨克自治县</w:t>
      </w:r>
      <w:r>
        <w:rPr>
          <w:rFonts w:hint="default" w:ascii="Times New Roman" w:hAnsi="Times New Roman" w:cs="Times New Roman"/>
          <w:color w:val="auto"/>
          <w:highlight w:val="none"/>
        </w:rPr>
        <w:t>相接。土地总面积69713k㎡（低于海平面的面积为2085k㎡），占新疆土地总面积的4.2%。</w:t>
      </w:r>
    </w:p>
    <w:p w14:paraId="776630D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鄯善县位于新疆维吾尔自治区天山东段博格达山南麓的吐鲁番盆地东部，北与</w:t>
      </w:r>
      <w:r>
        <w:rPr>
          <w:rFonts w:hint="eastAsia" w:cs="Times New Roman"/>
          <w:color w:val="auto"/>
          <w:highlight w:val="none"/>
          <w:lang w:eastAsia="zh-CN"/>
        </w:rPr>
        <w:t>木垒哈萨克自治县</w:t>
      </w:r>
      <w:r>
        <w:rPr>
          <w:rFonts w:hint="default" w:ascii="Times New Roman" w:hAnsi="Times New Roman" w:cs="Times New Roman"/>
          <w:color w:val="auto"/>
          <w:highlight w:val="none"/>
        </w:rPr>
        <w:t>、奇台县为邻，东经七克台镇连接哈密市七角井乡，西部吐峪沟苏贝希村与吐鲁番市胜金乡接壤，南部经南湖戈壁至觉罗塔格与若羌县、尉犁县为界，地理坐标为北纬40°12′~43°33′，东经89°30′~91°54′，全县东西宽190km，南北长250km，总面积3.98万k㎡，约占新疆总面积的2.5%。县城距离乌鲁木齐约281km，兰新铁路、312国道、亚欧光缆贯穿全境，交通十分便利。</w:t>
      </w:r>
    </w:p>
    <w:p w14:paraId="28ACEC4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szCs w:val="21"/>
          <w:highlight w:val="none"/>
          <w:lang w:eastAsia="zh-CN"/>
        </w:rPr>
        <w:t>鄯善县迪坎矿产加工区</w:t>
      </w:r>
      <w:r>
        <w:rPr>
          <w:rFonts w:hint="default" w:ascii="Times New Roman" w:hAnsi="Times New Roman" w:cs="Times New Roman"/>
          <w:color w:val="auto"/>
          <w:szCs w:val="21"/>
          <w:highlight w:val="none"/>
        </w:rPr>
        <w:t>内</w:t>
      </w:r>
      <w:r>
        <w:rPr>
          <w:rFonts w:hint="default" w:ascii="Times New Roman" w:hAnsi="Times New Roman" w:cs="Times New Roman"/>
          <w:color w:val="auto"/>
          <w:highlight w:val="none"/>
        </w:rPr>
        <w:t>，中心坐标：</w:t>
      </w:r>
      <w:r>
        <w:rPr>
          <w:rFonts w:hint="default" w:ascii="Times New Roman" w:hAnsi="Times New Roman" w:cs="Times New Roman"/>
          <w:color w:val="auto"/>
          <w:highlight w:val="none"/>
          <w:lang w:val="zh-CN"/>
        </w:rPr>
        <w:t>东经89°49′37.859″，北纬42°37′11.690″。</w:t>
      </w:r>
    </w:p>
    <w:p w14:paraId="464D12D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4.1.2地形、地貌</w:t>
      </w:r>
    </w:p>
    <w:p w14:paraId="6367E99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鄯善县地处库木塔格山（沙山）北麓，西接火焰山东端。三面环山，地势东北高、西南低。北部为博格达山，中部为吐鲁番盆地和哈密盆地，南部为戈壁和沙漠。行政区域面积39548km</w:t>
      </w:r>
      <w:r>
        <w:rPr>
          <w:rFonts w:hint="default" w:ascii="Times New Roman" w:hAnsi="Times New Roman" w:cs="Times New Roman"/>
          <w:bCs/>
          <w:color w:val="auto"/>
          <w:szCs w:val="28"/>
          <w:highlight w:val="none"/>
          <w:vertAlign w:val="superscript"/>
        </w:rPr>
        <w:t>2</w:t>
      </w:r>
      <w:r>
        <w:rPr>
          <w:rFonts w:hint="default" w:ascii="Times New Roman" w:hAnsi="Times New Roman" w:cs="Times New Roman"/>
          <w:bCs/>
          <w:color w:val="auto"/>
          <w:szCs w:val="28"/>
          <w:highlight w:val="none"/>
        </w:rPr>
        <w:t>。</w:t>
      </w:r>
    </w:p>
    <w:p w14:paraId="64AFC58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鄯善县地形地貌特点鲜明，三面环山，一面临近世界海平面最低点的艾丁湖，全境地势东北高，西南低，形成坡度缓平的倾斜面。北部因为搭界于天山，山高坡陡，南部为大漠戈壁和丘陵带，相对平缓。全境地势高山区最高峰为4110.7m，最低处在吐鲁番市艾丁湖东部，低于海平面153m。地势地形构造为：火焰山占总面积的7.30%，南戈壁和觉罗塔格山占总面积的64.4%，沙山沙漠占10.7%，火焰山以北至天山的戈壁带总面积的9.4%，平原绿洲只占2.3%，另有5.7%是盐碱地。</w:t>
      </w:r>
    </w:p>
    <w:p w14:paraId="3C419365">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w:t>
      </w:r>
      <w:r>
        <w:rPr>
          <w:rFonts w:hint="default" w:ascii="Times New Roman" w:hAnsi="Times New Roman" w:cs="Times New Roman"/>
          <w:color w:val="auto"/>
          <w:highlight w:val="none"/>
          <w:lang w:eastAsia="zh-CN"/>
        </w:rPr>
        <w:t>鄯善县迪坎矿产加工区鄯善县厚旺铜矿有限责任公司</w:t>
      </w:r>
      <w:r>
        <w:rPr>
          <w:rFonts w:hint="default" w:ascii="Times New Roman" w:hAnsi="Times New Roman" w:cs="Times New Roman"/>
          <w:color w:val="auto"/>
          <w:highlight w:val="none"/>
        </w:rPr>
        <w:t>厂区内，场地已进行了平整，地势平坦，海拔低于海平面</w:t>
      </w:r>
      <w:r>
        <w:rPr>
          <w:rFonts w:hint="default" w:ascii="Times New Roman" w:hAnsi="Times New Roman" w:cs="Times New Roman"/>
          <w:color w:val="auto"/>
          <w:highlight w:val="none"/>
          <w:lang w:val="en-US" w:eastAsia="zh-CN"/>
        </w:rPr>
        <w:t>38</w:t>
      </w:r>
      <w:r>
        <w:rPr>
          <w:rFonts w:hint="default" w:ascii="Times New Roman" w:hAnsi="Times New Roman" w:cs="Times New Roman"/>
          <w:color w:val="auto"/>
          <w:highlight w:val="none"/>
        </w:rPr>
        <w:t>m。</w:t>
      </w:r>
    </w:p>
    <w:p w14:paraId="77C98E1A">
      <w:pPr>
        <w:pageBreakBefore w:val="0"/>
        <w:wordWrap/>
        <w:topLinePunct w:val="0"/>
        <w:bidi w:val="0"/>
        <w:adjustRightInd w:val="0"/>
        <w:snapToGrid w:val="0"/>
        <w:spacing w:line="440" w:lineRule="exact"/>
        <w:ind w:left="0" w:leftChars="0" w:right="0" w:firstLine="482"/>
        <w:outlineLvl w:val="2"/>
        <w:rPr>
          <w:rFonts w:hint="default" w:ascii="Times New Roman" w:hAnsi="Times New Roman" w:cs="Times New Roman"/>
          <w:b/>
          <w:color w:val="auto"/>
          <w:szCs w:val="28"/>
          <w:highlight w:val="none"/>
        </w:rPr>
      </w:pPr>
      <w:r>
        <w:rPr>
          <w:rFonts w:hint="default" w:ascii="Times New Roman" w:hAnsi="Times New Roman" w:cs="Times New Roman"/>
          <w:b/>
          <w:color w:val="auto"/>
          <w:szCs w:val="28"/>
          <w:highlight w:val="none"/>
        </w:rPr>
        <w:t>4.1.3地质条件</w:t>
      </w:r>
    </w:p>
    <w:p w14:paraId="0C5E352A">
      <w:pPr>
        <w:pageBreakBefore w:val="0"/>
        <w:wordWrap/>
        <w:topLinePunct w:val="0"/>
        <w:bidi w:val="0"/>
        <w:adjustRightInd w:val="0"/>
        <w:snapToGrid w:val="0"/>
        <w:spacing w:line="440" w:lineRule="exact"/>
        <w:ind w:left="0" w:leftChars="0" w:right="0" w:firstLine="482"/>
        <w:outlineLvl w:val="3"/>
        <w:rPr>
          <w:rFonts w:hint="default" w:ascii="Times New Roman" w:hAnsi="Times New Roman" w:cs="Times New Roman"/>
          <w:b/>
          <w:color w:val="auto"/>
          <w:szCs w:val="28"/>
          <w:highlight w:val="none"/>
        </w:rPr>
      </w:pPr>
      <w:r>
        <w:rPr>
          <w:rFonts w:hint="default" w:ascii="Times New Roman" w:hAnsi="Times New Roman" w:cs="Times New Roman"/>
          <w:b/>
          <w:color w:val="auto"/>
          <w:szCs w:val="28"/>
          <w:highlight w:val="none"/>
        </w:rPr>
        <w:t>4.1.3.1地层</w:t>
      </w:r>
    </w:p>
    <w:p w14:paraId="311C189F">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项目所在区域内的前第四纪地层有受大的地质构造所控制，出露有新生界的古近系、新近系，分布面积较小；第四纪地层则广泛分布，由老到新分述如下：</w:t>
      </w:r>
    </w:p>
    <w:p w14:paraId="2B7CE958">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1.</w:t>
      </w:r>
      <w:r>
        <w:rPr>
          <w:rFonts w:hint="default" w:ascii="Times New Roman" w:hAnsi="Times New Roman" w:cs="Times New Roman"/>
          <w:bCs/>
          <w:color w:val="auto"/>
          <w:szCs w:val="28"/>
          <w:highlight w:val="none"/>
        </w:rPr>
        <w:t>前第四纪地层</w:t>
      </w:r>
    </w:p>
    <w:p w14:paraId="218CA52B">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（1）新生界古近系-新近系（E-N）</w:t>
      </w:r>
    </w:p>
    <w:p w14:paraId="6D548214">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古近系-新近系（E-N）地层分布于项目所在区域南部的红山隆起一带，出露面积小，约5.48k㎡，占项目所在区域面积的3.4%左右，是近东西向展布的火焰山隆起的一部分，呈带状分布，区内东西长数公里，南北宽06.-0.9km，属风陆河湖相沉积，受红山沟河流切割，露头多，该区岩性主要为灰黄色砾岩、砖红色泥岩互层、砾岩夹砂岩，层厚一般20-70cm，产状334°∠16°、347°∠71°，总厚度809m，节理裂隙发育，相对破碎，干燥不含水分，与上覆盖新近系地层为平行不整合接触。</w:t>
      </w:r>
    </w:p>
    <w:p w14:paraId="16241AC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（2）新生界新近系（N）</w:t>
      </w:r>
    </w:p>
    <w:p w14:paraId="268884F2">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新近系（N）地层分布于项目所在区域南部红山隆起一带，位于古近系-新近系地层北侧，出露面积小，约6.45k㎡，占项目所在区域面积的4.0%左右，亦是近东西向展布的火焰山隆起的一部分，呈带状分布，区内东西长数公里，南北宽0.7-1.7km，属内陆河湖相沉积。该区岩性主要为砖红色泥岩、砂质泥岩，灰黄色钙质胶结砾岩互层，层厚一般5-30cm，产状335-350°∠46-47°或350°∠7°，总厚度295-891m，节理裂隙发育，相对破碎，干燥不含水分，表层5-10cm风化严重。与下覆古近系-新近系地层为平行不整合接触。</w:t>
      </w:r>
    </w:p>
    <w:p w14:paraId="2F0A10B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2.</w:t>
      </w:r>
      <w:r>
        <w:rPr>
          <w:rFonts w:hint="default" w:ascii="Times New Roman" w:hAnsi="Times New Roman" w:cs="Times New Roman"/>
          <w:bCs/>
          <w:color w:val="auto"/>
          <w:szCs w:val="28"/>
          <w:highlight w:val="none"/>
        </w:rPr>
        <w:t>第四纪地层</w:t>
      </w:r>
    </w:p>
    <w:p w14:paraId="429DC9A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（1）第四系下更新统（Q1）</w:t>
      </w:r>
    </w:p>
    <w:p w14:paraId="36C9ADB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第四系下更新统（Q1）地层分布在项目所在区域南端，红山顶部，呈面状分布，区内东西长数公里，南北宽0.3-1.0km，出露面积约3.02k㎡，占项目所在区域面积约1.8%。岩性为灰黑色砂砾石，含粉质石，含</w:t>
      </w:r>
      <w:r>
        <w:rPr>
          <w:rFonts w:hint="eastAsia" w:cs="Times New Roman"/>
          <w:bCs/>
          <w:color w:val="auto"/>
          <w:szCs w:val="28"/>
          <w:highlight w:val="none"/>
          <w:lang w:eastAsia="zh-CN"/>
        </w:rPr>
        <w:t>粉质粘土</w:t>
      </w:r>
      <w:r>
        <w:rPr>
          <w:rFonts w:hint="default" w:ascii="Times New Roman" w:hAnsi="Times New Roman" w:cs="Times New Roman"/>
          <w:bCs/>
          <w:color w:val="auto"/>
          <w:szCs w:val="28"/>
          <w:highlight w:val="none"/>
        </w:rPr>
        <w:t>，砾石成分为变质岩、砂岩，砾径一般2-10cm，无分选，无磨圆，多为长条片状，无层理，局部泥质胶结。</w:t>
      </w:r>
    </w:p>
    <w:p w14:paraId="17973EF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（2）第四系上更新统-全新统洪积层（Q3-4pl）</w:t>
      </w:r>
    </w:p>
    <w:p w14:paraId="236513CF">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第四系上更新统-全新统洪积层（Q3-4pl）分布于项目所在区域大部分地区，即倾斜砾质平原上，出露面积约114.28k㎡，占项目所在区域面积约70.8%。岩性主要为砂卵砾石，杂色，砾石成分为砂岩、花岗岩、闪长岩、凝灰岩等，分选性差，多呈次圆或次棱角状，砾径一般1-5cm或5-10cm，最大可达30cm，干燥松散，厚度0-850m不等，且自北向南呈递减趋势。</w:t>
      </w:r>
    </w:p>
    <w:p w14:paraId="0B0E208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（3）第四系全新统冲积层（Q4al）</w:t>
      </w:r>
    </w:p>
    <w:p w14:paraId="286E8FC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第四系全新统冲积层（Q4al）主要分布于柯克亚河床，出露面积约32.43k㎡，占项目所在区域面积约20.0%。岩性以卵石为主，夹砂，杂色，砾石成分为砂岩、花岗岩、闪长岩、凝灰岩等，分选性差，多圆状或呈次圆状，砾径一般3-10cm或10-20cm，最大可达40cm，干燥松散，厚度5-850m不等。</w:t>
      </w:r>
    </w:p>
    <w:p w14:paraId="1E1274CA">
      <w:pPr>
        <w:pageBreakBefore w:val="0"/>
        <w:wordWrap/>
        <w:topLinePunct w:val="0"/>
        <w:bidi w:val="0"/>
        <w:adjustRightInd w:val="0"/>
        <w:snapToGrid w:val="0"/>
        <w:spacing w:line="440" w:lineRule="exact"/>
        <w:ind w:left="0" w:leftChars="0" w:right="0" w:firstLine="482"/>
        <w:outlineLvl w:val="3"/>
        <w:rPr>
          <w:rFonts w:hint="default" w:ascii="Times New Roman" w:hAnsi="Times New Roman" w:cs="Times New Roman"/>
          <w:bCs/>
          <w:color w:val="auto"/>
          <w:szCs w:val="28"/>
          <w:highlight w:val="none"/>
        </w:rPr>
      </w:pPr>
      <w:r>
        <w:rPr>
          <w:rFonts w:hint="default" w:ascii="Times New Roman" w:hAnsi="Times New Roman" w:cs="Times New Roman"/>
          <w:b/>
          <w:color w:val="auto"/>
          <w:szCs w:val="28"/>
          <w:highlight w:val="none"/>
        </w:rPr>
        <w:t>4.1.3.2构造</w:t>
      </w:r>
    </w:p>
    <w:p w14:paraId="1D70C755">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1.</w:t>
      </w:r>
      <w:r>
        <w:rPr>
          <w:rFonts w:hint="default" w:ascii="Times New Roman" w:hAnsi="Times New Roman" w:cs="Times New Roman"/>
          <w:bCs/>
          <w:color w:val="auto"/>
          <w:szCs w:val="28"/>
          <w:highlight w:val="none"/>
        </w:rPr>
        <w:t>构造单元划分</w:t>
      </w:r>
    </w:p>
    <w:p w14:paraId="3A933AD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项目所在区域地处</w:t>
      </w:r>
      <w:r>
        <w:rPr>
          <w:rFonts w:hint="eastAsia" w:cs="Times New Roman"/>
          <w:bCs/>
          <w:color w:val="auto"/>
          <w:szCs w:val="28"/>
          <w:highlight w:val="none"/>
          <w:lang w:eastAsia="zh-CN"/>
        </w:rPr>
        <w:t>吐鲁番</w:t>
      </w:r>
      <w:r>
        <w:rPr>
          <w:rFonts w:hint="default" w:ascii="Times New Roman" w:hAnsi="Times New Roman" w:cs="Times New Roman"/>
          <w:bCs/>
          <w:color w:val="auto"/>
          <w:szCs w:val="28"/>
          <w:highlight w:val="none"/>
        </w:rPr>
        <w:t>盆地东北部，在大地构造上属一级构造单元的准噶尔-北天山褶皱系，二级构造单元为北天山优地槽褶皱带。项目所在区域位于吐鲁番-哈密山间坳陷（北部凹陷）三级构造单元，南北分别为吐鲁番-哈密山间坳陷（中部凸起）和博格达复背斜。北部拗陷带以平缓的短轴型褶曲为特征，岩层北陡南缓。拗陷带出露地层主要为第四系，南部还有古近系和新近系。断块差异升降运动为该拗陷的显著构造特征。</w:t>
      </w:r>
    </w:p>
    <w:p w14:paraId="7D1B480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2.</w:t>
      </w:r>
      <w:r>
        <w:rPr>
          <w:rFonts w:hint="default" w:ascii="Times New Roman" w:hAnsi="Times New Roman" w:cs="Times New Roman"/>
          <w:bCs/>
          <w:color w:val="auto"/>
          <w:szCs w:val="28"/>
          <w:highlight w:val="none"/>
        </w:rPr>
        <w:t>断裂构造</w:t>
      </w:r>
    </w:p>
    <w:p w14:paraId="07E1F7F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项目所在区域内的断裂构造不甚发育，仅在项目所在区域外有两条大断裂发育。</w:t>
      </w:r>
    </w:p>
    <w:p w14:paraId="6C94D0B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（1）吐鲁番大断裂（F5）</w:t>
      </w:r>
    </w:p>
    <w:p w14:paraId="0ADA0F2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位于项目所在区域外南部的盐山、火焰山南侧，为一高角度逆掩断裂，属压性扭性断裂，断裂面倾向北，倾角50°-80°。</w:t>
      </w:r>
    </w:p>
    <w:p w14:paraId="2BE8ACB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（2）吐-哈断裂（F2）</w:t>
      </w:r>
    </w:p>
    <w:p w14:paraId="6C69611C">
      <w:pPr>
        <w:pageBreakBefore w:val="0"/>
        <w:wordWrap/>
        <w:topLinePunct w:val="0"/>
        <w:bidi w:val="0"/>
        <w:adjustRightInd w:val="0"/>
        <w:snapToGrid w:val="0"/>
        <w:spacing w:line="440" w:lineRule="exact"/>
        <w:ind w:left="0" w:leftChars="0" w:right="0" w:firstLine="456"/>
        <w:rPr>
          <w:rFonts w:hint="default" w:ascii="Times New Roman" w:hAnsi="Times New Roman" w:cs="Times New Roman"/>
          <w:bCs/>
          <w:color w:val="auto"/>
          <w:spacing w:val="-6"/>
          <w:szCs w:val="28"/>
          <w:highlight w:val="none"/>
        </w:rPr>
      </w:pPr>
      <w:r>
        <w:rPr>
          <w:rFonts w:hint="default" w:ascii="Times New Roman" w:hAnsi="Times New Roman" w:cs="Times New Roman"/>
          <w:bCs/>
          <w:color w:val="auto"/>
          <w:spacing w:val="-6"/>
          <w:szCs w:val="28"/>
          <w:highlight w:val="none"/>
        </w:rPr>
        <w:t>该断裂为岩石圈断裂，位于详查约外围的南部，为近东西向波状延伸的隐伏断裂，大部分被新生代地层所覆盖。该断裂为吐鲁番-哈密山间坳陷中部凸起带与南部拗陷带的分界线，地表呈现明显的第四系阶地陡坡，北侧第四系厚度大且分布高度大，南侧第四系厚度小且分布高度低，表现了该地区新构造运动差异性升降运动特征。</w:t>
      </w:r>
    </w:p>
    <w:p w14:paraId="30B61E7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3.</w:t>
      </w:r>
      <w:r>
        <w:rPr>
          <w:rFonts w:hint="default" w:ascii="Times New Roman" w:hAnsi="Times New Roman" w:cs="Times New Roman"/>
          <w:bCs/>
          <w:color w:val="auto"/>
          <w:szCs w:val="28"/>
          <w:highlight w:val="none"/>
        </w:rPr>
        <w:t>新构造运动</w:t>
      </w:r>
    </w:p>
    <w:p w14:paraId="67BCEE4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吐鲁番盆</w:t>
      </w:r>
      <w:r>
        <w:rPr>
          <w:rFonts w:hint="eastAsia" w:cs="Times New Roman"/>
          <w:bCs/>
          <w:color w:val="auto"/>
          <w:szCs w:val="28"/>
          <w:highlight w:val="none"/>
          <w:lang w:eastAsia="zh-CN"/>
        </w:rPr>
        <w:t>地</w:t>
      </w:r>
      <w:r>
        <w:rPr>
          <w:rFonts w:hint="default" w:ascii="Times New Roman" w:hAnsi="Times New Roman" w:cs="Times New Roman"/>
          <w:bCs/>
          <w:color w:val="auto"/>
          <w:szCs w:val="28"/>
          <w:highlight w:val="none"/>
        </w:rPr>
        <w:t>为地槽型封闭盆地，同时具有一些断陷盆地特征。盆地中有较厚的中部新生界覆盖层，其内褶皱活动强烈，断裂构造发育。</w:t>
      </w:r>
    </w:p>
    <w:p w14:paraId="50DC4B0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进入第四纪以来，盆地内新构造运动十分活跃。强烈的新构造运动，使盆地内及周边地壳上升和下降所控制的轮回性变化更加突出，并形成了各种类型的地貌特征和沉积物。由于褶皱断块上升，在燕山运动和喜马拉雅运动时期，火焰山上升高度达00-500m。其中，在新构造运动时其上升高度约270m。古近纪末期以来的喜马拉雅运动，尤其是早更新世末的西域运动，不仅使天山区的老构造复活，使地壳急剧隆起，而且强烈挤压拗陷带内新生界覆盖层，使之褶曲并伴生断裂。</w:t>
      </w:r>
    </w:p>
    <w:p w14:paraId="68330BCD">
      <w:pPr>
        <w:pageBreakBefore w:val="0"/>
        <w:wordWrap/>
        <w:topLinePunct w:val="0"/>
        <w:bidi w:val="0"/>
        <w:adjustRightInd w:val="0"/>
        <w:snapToGrid w:val="0"/>
        <w:spacing w:line="440" w:lineRule="exact"/>
        <w:ind w:left="0" w:leftChars="0" w:right="0" w:firstLine="456"/>
        <w:rPr>
          <w:rFonts w:hint="default" w:ascii="Times New Roman" w:hAnsi="Times New Roman" w:cs="Times New Roman"/>
          <w:bCs/>
          <w:color w:val="auto"/>
          <w:spacing w:val="-6"/>
          <w:szCs w:val="28"/>
          <w:highlight w:val="none"/>
        </w:rPr>
      </w:pPr>
      <w:r>
        <w:rPr>
          <w:rFonts w:hint="default" w:ascii="Times New Roman" w:hAnsi="Times New Roman" w:cs="Times New Roman"/>
          <w:bCs/>
          <w:color w:val="auto"/>
          <w:spacing w:val="-6"/>
          <w:szCs w:val="28"/>
          <w:highlight w:val="none"/>
        </w:rPr>
        <w:t>总体上看，盆地内新构造运动不仅继承了老构造运动，并受其制约，而且活动强烈，上升幅度大，在时间上具有阶段性和间歇性，在空间上有较大的差异性。由于新构造运动强烈，侵蚀切割导致部分地段阶地剥蚀，形成了目前局部阶地缺失特征。</w:t>
      </w:r>
    </w:p>
    <w:p w14:paraId="79CF51B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4.1.4气候、气象</w:t>
      </w:r>
    </w:p>
    <w:p w14:paraId="1DB37C8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地处亚洲腹部。由于远离海洋，群山环绕，地貌复杂，形成了独特的气候。本区属于暖温带大陆性干旱气候区，主要气候特征是：四季分明，冬寒夏炎，降雨稀少，蒸发强烈，气候干燥，光照充足，无霜期长，昼夜温差大，大风和风沙是当地较为严重的灾害天气。常年风速2.1m/s，3-8月为大风季节，</w:t>
      </w:r>
    </w:p>
    <w:p w14:paraId="0A1C2AF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春季多持续性大风，夏季多阵性大风。主导风向为东风，次主导风向为东北风。据气象部门近20年统计气象资料可知，鄯善县基本气象资料如下：</w:t>
      </w:r>
    </w:p>
    <w:p w14:paraId="08B3C1B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多年平均气温12.8℃</w:t>
      </w:r>
    </w:p>
    <w:p w14:paraId="0F75258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1月份平均气温-8.5℃</w:t>
      </w:r>
    </w:p>
    <w:p w14:paraId="4B767AD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7月份平均气温28.9℃</w:t>
      </w:r>
    </w:p>
    <w:p w14:paraId="73A9247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极端最高气温44.8℃</w:t>
      </w:r>
    </w:p>
    <w:p w14:paraId="17F25F34">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极端最低气温-26.7℃</w:t>
      </w:r>
    </w:p>
    <w:p w14:paraId="1831F4B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年降雨量26.2mm</w:t>
      </w:r>
    </w:p>
    <w:p w14:paraId="38427243">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最大一日降水量28.8mm</w:t>
      </w:r>
    </w:p>
    <w:p w14:paraId="57AFD4A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年蒸发量2625.3mm</w:t>
      </w:r>
    </w:p>
    <w:p w14:paraId="2CCA41F2">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年日照时数为3060.2小时</w:t>
      </w:r>
    </w:p>
    <w:p w14:paraId="1DFB7E3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年最大积雪厚度180mrn</w:t>
      </w:r>
    </w:p>
    <w:p w14:paraId="345C3AEF">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年最高相对湿度61％</w:t>
      </w:r>
    </w:p>
    <w:p w14:paraId="64A934E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年均相对湿度43％</w:t>
      </w:r>
    </w:p>
    <w:p w14:paraId="0BEBE08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年主导风向东风频率12％</w:t>
      </w:r>
    </w:p>
    <w:p w14:paraId="23BC2EE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年静风频率42％</w:t>
      </w:r>
    </w:p>
    <w:p w14:paraId="399462E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历年风速8级以上大风次数23次</w:t>
      </w:r>
    </w:p>
    <w:p w14:paraId="3B46FBAB">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最大风速20m/s</w:t>
      </w:r>
    </w:p>
    <w:p w14:paraId="113093B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最大月平均风速2.2m/s</w:t>
      </w:r>
    </w:p>
    <w:p w14:paraId="4A9C858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极端最大风速34m/s</w:t>
      </w:r>
    </w:p>
    <w:p w14:paraId="7F0327F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历年最多大风日数为60天</w:t>
      </w:r>
    </w:p>
    <w:p w14:paraId="61ED2C3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历年年平均沙尘暴日数46天</w:t>
      </w:r>
    </w:p>
    <w:p w14:paraId="7EFEE08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10℃以上积温45.5℃。</w:t>
      </w:r>
    </w:p>
    <w:p w14:paraId="5B28DC7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4.1.5水文特征</w:t>
      </w:r>
    </w:p>
    <w:p w14:paraId="5879C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境内的地表水有天山和火焰山两大水系。天山水系主要指二唐沟河、柯柯亚河和坎尔其河；3条河均为季节性河流，河的总流域面积为1807k㎡（其中二唐沟河流域内的251k㎡已划入吐鲁番市辖区）；山区降水有着明显的垂直变化和由西向东逐渐变少的规律；3条河总有效流域面积为1115k㎡；山区年降水量在200～400mm之间，集中分布在有效流域面积范围内，</w:t>
      </w:r>
      <w:r>
        <w:rPr>
          <w:rFonts w:hint="eastAsia" w:cs="Times New Roman"/>
          <w:color w:val="auto"/>
          <w:szCs w:val="20"/>
          <w:highlight w:val="none"/>
          <w:lang w:eastAsia="zh-CN"/>
        </w:rPr>
        <w:t>年径流量</w:t>
      </w:r>
      <w:r>
        <w:rPr>
          <w:rFonts w:hint="default" w:ascii="Times New Roman" w:hAnsi="Times New Roman" w:cs="Times New Roman"/>
          <w:color w:val="auto"/>
          <w:szCs w:val="20"/>
          <w:highlight w:val="none"/>
        </w:rPr>
        <w:t>约2.23～4.5×10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，除去山区深层渗漏和蒸发，形成径流的不过3.5×10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火焰山水系主要指树柏沟、赛尔克甫沟、吐峪沟；这3条泉水沟的水源是天山水系的地下渗流和山北农业区的浅层渗漏汇集向下游渗流过程中，受火焰山泥质岩阻挡的顶托作用，以泉水形式溢出地表，总径流量约0.41×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w:t>
      </w:r>
    </w:p>
    <w:p w14:paraId="77BC20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鄯善县多年平均地表水资源量2.206×10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，地表水可利用量为1.8752×10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，地表水系主要由发源于天山山脉的二唐沟河、柯柯亚河和坎尔其河3条河流构成。北面的中高山区气候比较温凉，降水较丰沛，是径流的主要形成区，河流的补给水源为高山区的冰雪融水以及山区降水。</w:t>
      </w:r>
    </w:p>
    <w:p w14:paraId="43415F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二唐沟河：河流发源于天山东部冰川，有现代冰川20条，冰川面积4.25k㎡，河流主支上有多个小支流汇入，呈西北～东南走向，左岸水系较右岸发育，二唐沟水文站（托尔买来）以上集水面积344k㎡，出山口以上集水面积532k㎡，流域平均高度约2938m（止托尔买来），流域平均坡度621.8‰，水文站（托尔买来）以上河长31.3km，总河长44.6km。在洪水较大时，河水可穿过火焰山的构造缺口而流经南盆地的鲁克沁等乡镇，最终汇入艾丁湖。二唐沟河多年平均径流量为0.7958×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。因二唐沟河是一条</w:t>
      </w:r>
      <w:r>
        <w:rPr>
          <w:rFonts w:hint="eastAsia" w:cs="Times New Roman"/>
          <w:color w:val="auto"/>
          <w:szCs w:val="20"/>
          <w:highlight w:val="none"/>
          <w:lang w:eastAsia="zh-CN"/>
        </w:rPr>
        <w:t>以降雨和融雪补给为主</w:t>
      </w:r>
      <w:r>
        <w:rPr>
          <w:rFonts w:hint="default" w:ascii="Times New Roman" w:hAnsi="Times New Roman" w:cs="Times New Roman"/>
          <w:color w:val="auto"/>
          <w:szCs w:val="20"/>
          <w:highlight w:val="none"/>
        </w:rPr>
        <w:t>的山溪性河流，其洪水显著特点是峰高、量不大、历时短。一般平水期水面宽10～30m，水浅，流速小，河床为卵石；洪水时，水面宽一般30～80m，断面平均流速4～5m/s，河床糙率0.04左右，水面比降约23‰</w:t>
      </w:r>
      <w:r>
        <w:rPr>
          <w:rFonts w:hint="eastAsia" w:cs="Times New Roman"/>
          <w:color w:val="auto"/>
          <w:szCs w:val="20"/>
          <w:highlight w:val="none"/>
          <w:lang w:eastAsia="zh-CN"/>
        </w:rPr>
        <w:t>。</w:t>
      </w:r>
      <w:r>
        <w:rPr>
          <w:rFonts w:hint="default" w:ascii="Times New Roman" w:hAnsi="Times New Roman" w:cs="Times New Roman"/>
          <w:color w:val="auto"/>
          <w:szCs w:val="20"/>
          <w:highlight w:val="none"/>
        </w:rPr>
        <w:t>河水出山口后分为两支，一支经吐峪沟流入南盆地，另一支经连木沁沟穿过火焰山经人工引水渠引入南盆地。</w:t>
      </w:r>
    </w:p>
    <w:p w14:paraId="103925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柯柯亚河：柯柯亚河发源于天山博格达山脉东段，是典型的山溪性内陆河，河源海拔3848m，上游有东西两条支流，西为喀拉果勒，东为阔求尔果勒，源头有0.27k㎡的冰川和大片沼泽，高山区降水量比较丰沛，年降水量400mm～600mm，是柯柯亚河水量的补给源。出山口以上集水面积707k㎡，河长45.6km，流域平均坡度51‰。河流在出山口进入柯柯亚水库，经水库调节后，由柯柯亚干渠引水穿过兰新铁路后进入灌区。柯柯亚河径流补给来源主要为冰川积雪融水和山区降水，冰川融水和地下水补给所占比例较小。流域高程越高，降水越多，产生径流越多，水网密度越大。与其他新疆内陆河一样，径流产生于山区，消耗于平原，河流水量年内分配极不均匀，汛期5～8月径流量占全年径流量的85.6%，7月份径流量最大，</w:t>
      </w:r>
      <w:r>
        <w:rPr>
          <w:rFonts w:hint="eastAsia" w:cs="Times New Roman"/>
          <w:color w:val="auto"/>
          <w:szCs w:val="20"/>
          <w:highlight w:val="none"/>
          <w:lang w:eastAsia="zh-CN"/>
        </w:rPr>
        <w:t>占全</w:t>
      </w:r>
      <w:r>
        <w:rPr>
          <w:rFonts w:hint="default" w:ascii="Times New Roman" w:hAnsi="Times New Roman" w:cs="Times New Roman"/>
          <w:color w:val="auto"/>
          <w:szCs w:val="20"/>
          <w:highlight w:val="none"/>
        </w:rPr>
        <w:t>年径流量的28.1%，3月份径流量最小，仅占全年径流量的0.2%，冬季结冰期河道流量仅0.2m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/s。柯柯亚河径流年际变化相对不大，多年平均径流量1.154×10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，年最大径流量1.920×10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eastAsia" w:cs="Times New Roman"/>
          <w:color w:val="auto"/>
          <w:szCs w:val="20"/>
          <w:highlight w:val="none"/>
          <w:lang w:eastAsia="zh-CN"/>
        </w:rPr>
        <w:t>（</w:t>
      </w:r>
      <w:r>
        <w:rPr>
          <w:rFonts w:hint="default" w:ascii="Times New Roman" w:hAnsi="Times New Roman" w:cs="Times New Roman"/>
          <w:color w:val="auto"/>
          <w:szCs w:val="20"/>
          <w:highlight w:val="none"/>
        </w:rPr>
        <w:t>1984年），年最小径流量0.7247×10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eastAsia" w:cs="Times New Roman"/>
          <w:color w:val="auto"/>
          <w:szCs w:val="20"/>
          <w:highlight w:val="none"/>
          <w:vertAlign w:val="baseline"/>
          <w:lang w:eastAsia="zh-CN"/>
        </w:rPr>
        <w:t>（</w:t>
      </w:r>
      <w:r>
        <w:rPr>
          <w:rFonts w:hint="default" w:ascii="Times New Roman" w:hAnsi="Times New Roman" w:cs="Times New Roman"/>
          <w:color w:val="auto"/>
          <w:szCs w:val="20"/>
          <w:highlight w:val="none"/>
        </w:rPr>
        <w:t>1991年），年最大径流量是年最小径流量的2.6倍。</w:t>
      </w:r>
    </w:p>
    <w:p w14:paraId="666A7D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坎尔其河：河流发源于天山支脉的博格达山南坡，流域面积548k㎡，河长49.1km，由两大支流汇入而成，一条为台木哈达，另一条为公木艾格孜，水系在海拔2500m以上的中高山比较发育，2500m以下中低山区几乎无常年流水的水支流汇入。坎尔其河多年平均径流量为0.2797×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w:t>
      </w:r>
    </w:p>
    <w:p w14:paraId="6318B9DC">
      <w:pPr>
        <w:pStyle w:val="2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根据现场调查，本项目周边区域无地表水体。</w:t>
      </w:r>
    </w:p>
    <w:p w14:paraId="035135F8">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4.1.6生态环境</w:t>
      </w:r>
    </w:p>
    <w:p w14:paraId="17741F2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（1）土壤</w:t>
      </w:r>
    </w:p>
    <w:p w14:paraId="026623C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鄯善县全县土壤有6个土类，12 个亚类，8个土属，23个土种，37个变种。在干燥气候、内陆河流、荒漠之别以及人工灌溉的条件下，平原地区主要是山前冲积-洪积物上发育和形成的棕色荒漠土与局部盐土。在这两种自然土壤上又形成了灌耕土、灌淤土、潮土和风沙土。</w:t>
      </w:r>
    </w:p>
    <w:p w14:paraId="5CFE13E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（2）动植物</w:t>
      </w:r>
    </w:p>
    <w:p w14:paraId="626B72FB">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鄯善县总的植被特征是：植物种类稀少，绝大多数为荒漠植被，盖度极低，相当面积区域甚至寸草不生，人工植被依赖灌溉生存，山前倾斜平原多为砾石戈壁，只是在局部冲沟有荒漠植被分布。</w:t>
      </w:r>
    </w:p>
    <w:p w14:paraId="1FC8A14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鄯善县植被稀少，野生动物很少。在天山一带的鸟类有雪鸡、呱喇鸡、野鸽等。兽类有豹、熊、大头羊、野兔、野猪、黄羊、狼等。在觉罗塔克山一带也有野骆驼活动。山区有党参、贝母、麻黄、甘草等</w:t>
      </w:r>
      <w:r>
        <w:rPr>
          <w:rFonts w:hint="eastAsia" w:cs="Times New Roman"/>
          <w:color w:val="auto"/>
          <w:szCs w:val="20"/>
          <w:highlight w:val="none"/>
          <w:lang w:eastAsia="zh-CN"/>
        </w:rPr>
        <w:t>药用植物</w:t>
      </w:r>
      <w:r>
        <w:rPr>
          <w:rFonts w:hint="default" w:ascii="Times New Roman" w:hAnsi="Times New Roman" w:cs="Times New Roman"/>
          <w:color w:val="auto"/>
          <w:szCs w:val="20"/>
          <w:highlight w:val="none"/>
        </w:rPr>
        <w:t>，平原常见有骆驼刺、芦苇、苦豆子、老鼠瓜、胖姑娘、盐蒿等。植物生态十分特殊，根深，</w:t>
      </w:r>
      <w:r>
        <w:rPr>
          <w:rFonts w:hint="eastAsia" w:cs="Times New Roman"/>
          <w:color w:val="auto"/>
          <w:szCs w:val="20"/>
          <w:highlight w:val="none"/>
          <w:lang w:eastAsia="zh-CN"/>
        </w:rPr>
        <w:t>叶</w:t>
      </w:r>
      <w:r>
        <w:rPr>
          <w:rFonts w:hint="default" w:ascii="Times New Roman" w:hAnsi="Times New Roman" w:cs="Times New Roman"/>
          <w:color w:val="auto"/>
          <w:szCs w:val="20"/>
          <w:highlight w:val="none"/>
        </w:rPr>
        <w:t>退化，叶茎外包有蜡质，能适应沙漠气候。</w:t>
      </w:r>
    </w:p>
    <w:p w14:paraId="3E29168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山区森林稀少，仅柯柯亚上游个别阴坡一稍尔乌塔山一带有成片天然林，荒漠植被主要在迪坎乡、达浪坎乡、吐峪沟乡、七克台镇及北部山区前沿</w:t>
      </w:r>
      <w:r>
        <w:rPr>
          <w:rFonts w:hint="eastAsia" w:cs="Times New Roman"/>
          <w:color w:val="auto"/>
          <w:szCs w:val="20"/>
          <w:highlight w:val="none"/>
          <w:lang w:eastAsia="zh-CN"/>
        </w:rPr>
        <w:t>冲积扇</w:t>
      </w:r>
      <w:r>
        <w:rPr>
          <w:rFonts w:hint="default" w:ascii="Times New Roman" w:hAnsi="Times New Roman" w:cs="Times New Roman"/>
          <w:color w:val="auto"/>
          <w:szCs w:val="20"/>
          <w:highlight w:val="none"/>
        </w:rPr>
        <w:t>。山区主要树种有针叶云杉、毛柳、桦树、苦杨、花楸等。平原地区主要树种为新疆杨、钻天杨、榆树、沙枣等。荒漠植被以骆驼刺、红柳为主，并伴生有芦苇、白刺、胖姑娘等。</w:t>
      </w:r>
    </w:p>
    <w:p w14:paraId="22EE0BE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项目区地处荒漠戈壁滩上，属于植被脆弱区，几乎没有动物及植被的分布，零星分布有耐旱植被，植被覆盖度大概在5%左右，分布的主要为柽柳、骆驼刺等，动物主要有沙蜥等爬行类动物分布。没有大型哺乳类动物</w:t>
      </w:r>
      <w:r>
        <w:rPr>
          <w:rFonts w:hint="eastAsia" w:cs="Times New Roman"/>
          <w:color w:val="auto"/>
          <w:szCs w:val="20"/>
          <w:highlight w:val="none"/>
          <w:lang w:eastAsia="zh-CN"/>
        </w:rPr>
        <w:t>迁徙</w:t>
      </w:r>
      <w:r>
        <w:rPr>
          <w:rFonts w:hint="default" w:ascii="Times New Roman" w:hAnsi="Times New Roman" w:cs="Times New Roman"/>
          <w:color w:val="auto"/>
          <w:szCs w:val="20"/>
          <w:highlight w:val="none"/>
        </w:rPr>
        <w:t>。厂址区内未发现国家和地方保护的动植物。</w:t>
      </w:r>
    </w:p>
    <w:p w14:paraId="25AF45D5">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4.1.7矿产资源</w:t>
      </w:r>
    </w:p>
    <w:p w14:paraId="00613CD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在大地构造上属于北天山向斜褶皱带中的一部分，吐哈含煤盆地的中心部位，由于南北构造部位的差异，形成了全县矿产资源的明显分带性：沿盆地及其边缘形成了以煤、石油、天然气资源为主的矿产，在盆地的低凹部位聚集了以钠硝石、芒硝、石盐为主的近代矿产，在南部北天山向斜褶皱带觉罗塔格复背斜及中天山隆起的梧桐沟至阿奇山一带则以各种类型的铁矿石为主，其次是铬铁矿、大理岩、花岗岩、白云岩以及金、铜、镍等伴生矿产。</w:t>
      </w:r>
    </w:p>
    <w:p w14:paraId="79E6925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鄯善县石材资源储量巨大，品质独特，咸水沟“鄯善红”矿石是目前世界上唯一的红色系列巨型花岗岩整体矿山，经自治区矿产储量委员会批准认定的储量为3150万m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，预测远景储量20亿m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，咸水沟矿区面积近700k㎡，距咸水沟约50km的“雪莲花”花岗岩矿认定储量为315万m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，“雪莲花”矿床连绵分布于近100k㎡的范围内，矿体厚度约20-30cm，为我国罕见的大型整体矿，预测远景储量为几十亿立方米。</w:t>
      </w:r>
    </w:p>
    <w:p w14:paraId="3885CBD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鄯善县石材资源丰富，品质优良。石材资源以“鄯善红”为代表品种，此外还有“荷兰菊”、大理石等其他石材品种，特别是黑色、白色、灰色、蓝色等颜色的花岗岩、大理石品种已在县境陆续被发现。</w:t>
      </w:r>
    </w:p>
    <w:p w14:paraId="7A654DEC">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46" w:name="_Toc527982450"/>
      <w:bookmarkStart w:id="147" w:name="_Toc7510"/>
      <w:bookmarkStart w:id="148" w:name="_Toc20326"/>
      <w:r>
        <w:rPr>
          <w:rFonts w:hint="default" w:ascii="Times New Roman" w:hAnsi="Times New Roman" w:eastAsia="宋体" w:cs="Times New Roman"/>
          <w:color w:val="auto"/>
          <w:highlight w:val="none"/>
        </w:rPr>
        <w:t>4.2 环境质量现</w:t>
      </w:r>
      <w:bookmarkEnd w:id="146"/>
      <w:r>
        <w:rPr>
          <w:rFonts w:hint="default" w:ascii="Times New Roman" w:hAnsi="Times New Roman" w:eastAsia="宋体" w:cs="Times New Roman"/>
          <w:color w:val="auto"/>
          <w:highlight w:val="none"/>
        </w:rPr>
        <w:t>状</w:t>
      </w:r>
      <w:bookmarkEnd w:id="147"/>
      <w:bookmarkEnd w:id="148"/>
    </w:p>
    <w:p w14:paraId="168AED2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bookmarkStart w:id="149" w:name="_Hlk149945386"/>
      <w:r>
        <w:rPr>
          <w:rFonts w:hint="default" w:ascii="Times New Roman" w:hAnsi="Times New Roman" w:cs="Times New Roman"/>
          <w:color w:val="auto"/>
          <w:highlight w:val="none"/>
        </w:rPr>
        <w:t>4.2.1环境空气质量现状调查</w:t>
      </w:r>
    </w:p>
    <w:p w14:paraId="7B2F7002">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4.2.1.1达标区判定</w:t>
      </w:r>
    </w:p>
    <w:p w14:paraId="66B5E4E4">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1.</w:t>
      </w:r>
      <w:r>
        <w:rPr>
          <w:rFonts w:hint="default" w:ascii="Times New Roman" w:hAnsi="Times New Roman" w:cs="Times New Roman"/>
          <w:color w:val="auto"/>
          <w:highlight w:val="none"/>
        </w:rPr>
        <w:t>数据来源</w:t>
      </w:r>
    </w:p>
    <w:p w14:paraId="1865B14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大气环境》（HJ2.2-2018）6.2.1.3规定：“依据评价所需环境空气质量现状、气象资料等数据的可获得性、数据质量、代表性等因素，选择近3</w:t>
      </w:r>
      <w:r>
        <w:rPr>
          <w:rFonts w:hint="eastAsia" w:cs="Times New Roman"/>
          <w:color w:val="auto"/>
          <w:highlight w:val="none"/>
          <w:lang w:val="en-US" w:eastAsia="zh-CN"/>
        </w:rPr>
        <w:t>年</w:t>
      </w:r>
      <w:r>
        <w:rPr>
          <w:rFonts w:hint="default" w:ascii="Times New Roman" w:hAnsi="Times New Roman" w:cs="Times New Roman"/>
          <w:color w:val="auto"/>
          <w:highlight w:val="none"/>
        </w:rPr>
        <w:t>中数据相对完成的1个日历年作为评价基准年，本次选择评价基准年为</w:t>
      </w:r>
      <w:r>
        <w:rPr>
          <w:rFonts w:hint="default" w:ascii="Times New Roman" w:hAnsi="Times New Roman" w:cs="Times New Roman"/>
          <w:color w:val="auto"/>
          <w:highlight w:val="none"/>
          <w:lang w:val="en-US" w:eastAsia="zh-CN"/>
        </w:rPr>
        <w:t>202</w:t>
      </w:r>
      <w:r>
        <w:rPr>
          <w:rFonts w:hint="eastAsia" w:cs="Times New Roman"/>
          <w:color w:val="auto"/>
          <w:highlight w:val="none"/>
          <w:lang w:val="en-US" w:eastAsia="zh-CN"/>
        </w:rPr>
        <w:t>3</w:t>
      </w:r>
      <w:r>
        <w:rPr>
          <w:rFonts w:hint="default" w:ascii="Times New Roman" w:hAnsi="Times New Roman" w:cs="Times New Roman"/>
          <w:color w:val="auto"/>
          <w:highlight w:val="none"/>
        </w:rPr>
        <w:t>年。评价范围内没有环境空气质量监测网数据或公开发布的环境空气质量现状数据的，可选择符合HJ664规定，并且与评价范围地理位置邻近，地形、气候条件相近的环境空气质量城市点或区域点监测数据”。为了解项目区环境空气质量现状，优先采用国家或地方生态环境主管部门公开发布的评价基准年环境质量公告或环境质量报告中的数据或结论。</w:t>
      </w:r>
    </w:p>
    <w:p w14:paraId="7017164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本次评价选择环境空气质量模型技术支持服务系统（http://cloud.lem.org.cn</w:t>
      </w:r>
      <w:r>
        <w:rPr>
          <w:rFonts w:hint="eastAsia" w:cs="Times New Roman"/>
          <w:color w:val="auto"/>
          <w:highlight w:val="none"/>
          <w:lang w:eastAsia="zh-CN"/>
        </w:rPr>
        <w:t>）</w:t>
      </w:r>
      <w:r>
        <w:rPr>
          <w:rFonts w:hint="default" w:ascii="Times New Roman" w:hAnsi="Times New Roman" w:cs="Times New Roman"/>
          <w:color w:val="auto"/>
          <w:highlight w:val="none"/>
        </w:rPr>
        <w:t>中吐鲁番市</w:t>
      </w:r>
      <w:r>
        <w:rPr>
          <w:rFonts w:hint="default" w:ascii="Times New Roman" w:hAnsi="Times New Roman" w:cs="Times New Roman"/>
          <w:color w:val="auto"/>
          <w:highlight w:val="none"/>
          <w:lang w:val="en-US" w:eastAsia="zh-CN"/>
        </w:rPr>
        <w:t>202</w:t>
      </w:r>
      <w:r>
        <w:rPr>
          <w:rFonts w:hint="eastAsia" w:cs="Times New Roman"/>
          <w:color w:val="auto"/>
          <w:highlight w:val="none"/>
          <w:lang w:val="en-US" w:eastAsia="zh-CN"/>
        </w:rPr>
        <w:t>3</w:t>
      </w:r>
      <w:r>
        <w:rPr>
          <w:rFonts w:hint="default" w:ascii="Times New Roman" w:hAnsi="Times New Roman" w:cs="Times New Roman"/>
          <w:color w:val="auto"/>
          <w:highlight w:val="none"/>
        </w:rPr>
        <w:t>年数据，作为本项目环境空气现状评价基本污染物SO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、CO和O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的数据来源，符合导则要求。</w:t>
      </w:r>
    </w:p>
    <w:bookmarkEnd w:id="149"/>
    <w:p w14:paraId="05A7E9E5">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2.</w:t>
      </w:r>
      <w:r>
        <w:rPr>
          <w:rFonts w:hint="default" w:ascii="Times New Roman" w:hAnsi="Times New Roman" w:cs="Times New Roman"/>
          <w:color w:val="auto"/>
          <w:highlight w:val="none"/>
        </w:rPr>
        <w:t>评价标准</w:t>
      </w:r>
    </w:p>
    <w:p w14:paraId="6BD95BC8">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本次评价基本污染物执行《环境空气质量标准》（GB3095-2012）中的二级标准。</w:t>
      </w:r>
    </w:p>
    <w:p w14:paraId="59B2AA4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3.</w:t>
      </w:r>
      <w:r>
        <w:rPr>
          <w:rFonts w:hint="default" w:ascii="Times New Roman" w:hAnsi="Times New Roman" w:cs="Times New Roman"/>
          <w:color w:val="auto"/>
          <w:highlight w:val="none"/>
        </w:rPr>
        <w:t>评价方法</w:t>
      </w:r>
    </w:p>
    <w:p w14:paraId="040789D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评价方法：基本污染物按照《环境空气质量评价技术规范（试行）》（HJ663-2013）中各评价项目的年评价指标进行判定。年评价指标中的年均浓度和相应百分位数 24h平均或8h平均质量浓度满足GB3095中浓度限值要求的即为达标。</w:t>
      </w:r>
    </w:p>
    <w:p w14:paraId="7ADA0B5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4.</w:t>
      </w:r>
      <w:r>
        <w:rPr>
          <w:rFonts w:hint="default" w:ascii="Times New Roman" w:hAnsi="Times New Roman" w:cs="Times New Roman"/>
          <w:color w:val="auto"/>
          <w:highlight w:val="none"/>
        </w:rPr>
        <w:t>空气质量达标区判定。</w:t>
      </w:r>
    </w:p>
    <w:p w14:paraId="61E4E733">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吐鲁番市202</w:t>
      </w:r>
      <w:r>
        <w:rPr>
          <w:rFonts w:hint="eastAsia" w:cs="Times New Roman"/>
          <w:color w:val="auto"/>
          <w:highlight w:val="none"/>
          <w:lang w:val="en-US" w:eastAsia="zh-CN"/>
        </w:rPr>
        <w:t>3</w:t>
      </w:r>
      <w:r>
        <w:rPr>
          <w:rFonts w:hint="default" w:ascii="Times New Roman" w:hAnsi="Times New Roman" w:cs="Times New Roman"/>
          <w:color w:val="auto"/>
          <w:highlight w:val="none"/>
        </w:rPr>
        <w:t>年空气质量达标区判定结果见表4.2-1。</w:t>
      </w:r>
    </w:p>
    <w:p w14:paraId="5AE4EA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表4.2-1  基本污染物环境质量现状表</w:t>
      </w:r>
    </w:p>
    <w:tbl>
      <w:tblPr>
        <w:tblStyle w:val="34"/>
        <w:tblW w:w="4997"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56" w:type="dxa"/>
          <w:left w:w="96" w:type="dxa"/>
          <w:bottom w:w="56" w:type="dxa"/>
          <w:right w:w="96" w:type="dxa"/>
        </w:tblCellMar>
      </w:tblPr>
      <w:tblGrid>
        <w:gridCol w:w="873"/>
        <w:gridCol w:w="2320"/>
        <w:gridCol w:w="1711"/>
        <w:gridCol w:w="1679"/>
        <w:gridCol w:w="1267"/>
        <w:gridCol w:w="1069"/>
      </w:tblGrid>
      <w:tr w14:paraId="2223984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Align w:val="center"/>
          </w:tcPr>
          <w:p w14:paraId="5A2AE56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污染物</w:t>
            </w:r>
          </w:p>
        </w:tc>
        <w:tc>
          <w:tcPr>
            <w:tcW w:w="1300" w:type="pct"/>
            <w:vAlign w:val="center"/>
          </w:tcPr>
          <w:p w14:paraId="10971D51">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eastAsia="宋体"/>
                <w:b/>
                <w:color w:val="auto"/>
                <w:sz w:val="21"/>
                <w:highlight w:val="none"/>
                <w:lang w:eastAsia="zh-CN"/>
              </w:rPr>
              <w:t>年评价指标</w:t>
            </w:r>
          </w:p>
        </w:tc>
        <w:tc>
          <w:tcPr>
            <w:tcW w:w="959" w:type="pct"/>
            <w:vAlign w:val="center"/>
          </w:tcPr>
          <w:p w14:paraId="3E3F70D7">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现状浓度</w:t>
            </w:r>
          </w:p>
          <w:p w14:paraId="711BCA6E">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eastAsia="宋体" w:cs="Times New Roman"/>
                <w:b/>
                <w:color w:val="auto"/>
                <w:sz w:val="21"/>
                <w:szCs w:val="21"/>
                <w:highlight w:val="none"/>
                <w:lang w:eastAsia="zh-CN"/>
              </w:rPr>
            </w:pPr>
            <w:r>
              <w:rPr>
                <w:rFonts w:hint="eastAsia" w:cs="Times New Roman"/>
                <w:b/>
                <w:color w:val="auto"/>
                <w:sz w:val="21"/>
                <w:szCs w:val="21"/>
                <w:highlight w:val="none"/>
                <w:lang w:eastAsia="zh-CN"/>
              </w:rPr>
              <w:t>(</w:t>
            </w:r>
            <w:r>
              <w:rPr>
                <w:rFonts w:hint="eastAsia" w:ascii="Times New Roman" w:eastAsia="宋体" w:cs="Times New Roman"/>
                <w:b/>
                <w:color w:val="auto"/>
                <w:sz w:val="21"/>
                <w:szCs w:val="21"/>
                <w:highlight w:val="none"/>
                <w:lang w:eastAsia="zh-CN"/>
              </w:rPr>
              <w:t>μg/m</w:t>
            </w:r>
            <w:r>
              <w:rPr>
                <w:rFonts w:hint="eastAsia" w:ascii="Times New Roman" w:eastAsia="宋体" w:cs="Times New Roman"/>
                <w:b/>
                <w:color w:val="auto"/>
                <w:sz w:val="21"/>
                <w:szCs w:val="21"/>
                <w:highlight w:val="none"/>
                <w:vertAlign w:val="superscript"/>
                <w:lang w:eastAsia="zh-CN"/>
              </w:rPr>
              <w:t>3</w:t>
            </w:r>
            <w:r>
              <w:rPr>
                <w:rFonts w:hint="eastAsia" w:cs="Times New Roman"/>
                <w:b/>
                <w:color w:val="auto"/>
                <w:sz w:val="21"/>
                <w:szCs w:val="21"/>
                <w:highlight w:val="none"/>
                <w:vertAlign w:val="superscript"/>
                <w:lang w:eastAsia="zh-CN"/>
              </w:rPr>
              <w:t>)</w:t>
            </w:r>
          </w:p>
        </w:tc>
        <w:tc>
          <w:tcPr>
            <w:tcW w:w="941" w:type="pct"/>
            <w:vAlign w:val="center"/>
          </w:tcPr>
          <w:p w14:paraId="080E57F9">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标准值</w:t>
            </w:r>
          </w:p>
          <w:p w14:paraId="68D8A8C8">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eastAsia="zh-CN"/>
              </w:rPr>
              <w:t>(</w:t>
            </w:r>
            <w:r>
              <w:rPr>
                <w:rFonts w:hint="eastAsia" w:ascii="Times New Roman" w:eastAsia="宋体" w:cs="Times New Roman"/>
                <w:b/>
                <w:color w:val="auto"/>
                <w:sz w:val="21"/>
                <w:szCs w:val="21"/>
                <w:highlight w:val="none"/>
                <w:lang w:eastAsia="zh-CN"/>
              </w:rPr>
              <w:t>μg/m</w:t>
            </w:r>
            <w:r>
              <w:rPr>
                <w:rFonts w:hint="eastAsia" w:ascii="Times New Roman" w:eastAsia="宋体" w:cs="Times New Roman"/>
                <w:b/>
                <w:color w:val="auto"/>
                <w:sz w:val="21"/>
                <w:szCs w:val="21"/>
                <w:highlight w:val="none"/>
                <w:vertAlign w:val="superscript"/>
                <w:lang w:eastAsia="zh-CN"/>
              </w:rPr>
              <w:t>3</w:t>
            </w:r>
            <w:r>
              <w:rPr>
                <w:rFonts w:hint="eastAsia" w:cs="Times New Roman"/>
                <w:b/>
                <w:color w:val="auto"/>
                <w:sz w:val="21"/>
                <w:szCs w:val="21"/>
                <w:highlight w:val="none"/>
                <w:vertAlign w:val="superscript"/>
                <w:lang w:eastAsia="zh-CN"/>
              </w:rPr>
              <w:t>)</w:t>
            </w:r>
          </w:p>
        </w:tc>
        <w:tc>
          <w:tcPr>
            <w:tcW w:w="710" w:type="pct"/>
            <w:vAlign w:val="center"/>
          </w:tcPr>
          <w:p w14:paraId="65A347EA">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占标率</w:t>
            </w:r>
          </w:p>
          <w:p w14:paraId="041560CE">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hAns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w:t>
            </w:r>
          </w:p>
        </w:tc>
        <w:tc>
          <w:tcPr>
            <w:tcW w:w="599" w:type="pct"/>
            <w:vAlign w:val="center"/>
          </w:tcPr>
          <w:p w14:paraId="7E881532">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hAns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达标情况</w:t>
            </w:r>
          </w:p>
        </w:tc>
      </w:tr>
      <w:tr w14:paraId="7DE4982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Merge w:val="restart"/>
            <w:vAlign w:val="center"/>
          </w:tcPr>
          <w:p w14:paraId="3CF71626">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SO</w:t>
            </w:r>
            <w:r>
              <w:rPr>
                <w:rFonts w:hint="default" w:ascii="Times New Roman" w:hAnsi="Times New Roman" w:cs="Times New Roman" w:eastAsiaTheme="minorEastAsia"/>
                <w:color w:val="auto"/>
                <w:sz w:val="21"/>
                <w:szCs w:val="21"/>
                <w:highlight w:val="none"/>
                <w:vertAlign w:val="subscript"/>
              </w:rPr>
              <w:t>2</w:t>
            </w:r>
          </w:p>
        </w:tc>
        <w:tc>
          <w:tcPr>
            <w:tcW w:w="1300" w:type="pct"/>
            <w:vAlign w:val="center"/>
          </w:tcPr>
          <w:p w14:paraId="74B4138E">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959" w:type="pct"/>
            <w:vAlign w:val="center"/>
          </w:tcPr>
          <w:p w14:paraId="12DB2A54">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6</w:t>
            </w:r>
          </w:p>
        </w:tc>
        <w:tc>
          <w:tcPr>
            <w:tcW w:w="941" w:type="pct"/>
            <w:vAlign w:val="center"/>
          </w:tcPr>
          <w:p w14:paraId="1B83C771">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60</w:t>
            </w:r>
          </w:p>
        </w:tc>
        <w:tc>
          <w:tcPr>
            <w:tcW w:w="710" w:type="pct"/>
            <w:vAlign w:val="center"/>
          </w:tcPr>
          <w:p w14:paraId="49EF9776">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
              </w:rPr>
            </w:pPr>
            <w:r>
              <w:rPr>
                <w:rFonts w:hint="default" w:ascii="Times New Roman" w:hAnsi="Times New Roman" w:cs="Times New Roman" w:eastAsiaTheme="minorEastAsia"/>
                <w:color w:val="auto"/>
                <w:sz w:val="21"/>
                <w:szCs w:val="21"/>
                <w:highlight w:val="none"/>
                <w:lang w:val="en-US" w:eastAsia="zh-CN" w:bidi="ar"/>
              </w:rPr>
              <w:t>10</w:t>
            </w:r>
          </w:p>
        </w:tc>
        <w:tc>
          <w:tcPr>
            <w:tcW w:w="599" w:type="pct"/>
            <w:vAlign w:val="center"/>
          </w:tcPr>
          <w:p w14:paraId="0562B69B">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50BE58C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Merge w:val="restart"/>
            <w:vAlign w:val="center"/>
          </w:tcPr>
          <w:p w14:paraId="77D56DC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NO</w:t>
            </w:r>
            <w:r>
              <w:rPr>
                <w:rFonts w:hint="default" w:ascii="Times New Roman" w:hAnsi="Times New Roman" w:cs="Times New Roman" w:eastAsiaTheme="minorEastAsia"/>
                <w:color w:val="auto"/>
                <w:sz w:val="21"/>
                <w:szCs w:val="21"/>
                <w:highlight w:val="none"/>
                <w:vertAlign w:val="subscript"/>
              </w:rPr>
              <w:t>2</w:t>
            </w:r>
          </w:p>
        </w:tc>
        <w:tc>
          <w:tcPr>
            <w:tcW w:w="1300" w:type="pct"/>
            <w:vAlign w:val="center"/>
          </w:tcPr>
          <w:p w14:paraId="1B01FFA9">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959" w:type="pct"/>
            <w:vAlign w:val="center"/>
          </w:tcPr>
          <w:p w14:paraId="1726093C">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w:t>
            </w:r>
          </w:p>
        </w:tc>
        <w:tc>
          <w:tcPr>
            <w:tcW w:w="941" w:type="pct"/>
            <w:vAlign w:val="center"/>
          </w:tcPr>
          <w:p w14:paraId="6FEA8D04">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40</w:t>
            </w:r>
          </w:p>
        </w:tc>
        <w:tc>
          <w:tcPr>
            <w:tcW w:w="710" w:type="pct"/>
            <w:vAlign w:val="center"/>
          </w:tcPr>
          <w:p w14:paraId="3D3DCC33">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
              </w:rPr>
            </w:pPr>
            <w:r>
              <w:rPr>
                <w:rFonts w:hint="default" w:ascii="Times New Roman" w:hAnsi="Times New Roman" w:cs="Times New Roman" w:eastAsiaTheme="minorEastAsia"/>
                <w:color w:val="auto"/>
                <w:sz w:val="21"/>
                <w:szCs w:val="21"/>
                <w:highlight w:val="none"/>
                <w:lang w:val="en-US" w:eastAsia="zh-CN" w:bidi="ar"/>
              </w:rPr>
              <w:t>75</w:t>
            </w:r>
          </w:p>
        </w:tc>
        <w:tc>
          <w:tcPr>
            <w:tcW w:w="599" w:type="pct"/>
            <w:vAlign w:val="center"/>
          </w:tcPr>
          <w:p w14:paraId="0023A41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2AB51A4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Merge w:val="restart"/>
            <w:vAlign w:val="center"/>
          </w:tcPr>
          <w:p w14:paraId="341C4497">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PM</w:t>
            </w:r>
            <w:r>
              <w:rPr>
                <w:rFonts w:hint="default" w:ascii="Times New Roman" w:hAnsi="Times New Roman" w:cs="Times New Roman" w:eastAsiaTheme="minorEastAsia"/>
                <w:color w:val="auto"/>
                <w:sz w:val="21"/>
                <w:szCs w:val="21"/>
                <w:highlight w:val="none"/>
                <w:vertAlign w:val="subscript"/>
              </w:rPr>
              <w:t>10</w:t>
            </w:r>
          </w:p>
        </w:tc>
        <w:tc>
          <w:tcPr>
            <w:tcW w:w="1300" w:type="pct"/>
            <w:vAlign w:val="center"/>
          </w:tcPr>
          <w:p w14:paraId="6AA35424">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959" w:type="pct"/>
            <w:vAlign w:val="center"/>
          </w:tcPr>
          <w:p w14:paraId="49C22E73">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90</w:t>
            </w:r>
          </w:p>
        </w:tc>
        <w:tc>
          <w:tcPr>
            <w:tcW w:w="941" w:type="pct"/>
            <w:vAlign w:val="center"/>
          </w:tcPr>
          <w:p w14:paraId="241E4348">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70</w:t>
            </w:r>
          </w:p>
        </w:tc>
        <w:tc>
          <w:tcPr>
            <w:tcW w:w="710" w:type="pct"/>
            <w:vAlign w:val="center"/>
          </w:tcPr>
          <w:p w14:paraId="2FCF0AC4">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
              </w:rPr>
            </w:pPr>
            <w:r>
              <w:rPr>
                <w:rFonts w:hint="default" w:ascii="Times New Roman" w:hAnsi="Times New Roman" w:cs="Times New Roman" w:eastAsiaTheme="minorEastAsia"/>
                <w:color w:val="auto"/>
                <w:sz w:val="21"/>
                <w:szCs w:val="21"/>
                <w:highlight w:val="none"/>
                <w:lang w:val="en-US" w:eastAsia="zh-CN" w:bidi="ar"/>
              </w:rPr>
              <w:t>128.57</w:t>
            </w:r>
          </w:p>
        </w:tc>
        <w:tc>
          <w:tcPr>
            <w:tcW w:w="599" w:type="pct"/>
            <w:vAlign w:val="center"/>
          </w:tcPr>
          <w:p w14:paraId="140BE350">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超标</w:t>
            </w:r>
          </w:p>
        </w:tc>
      </w:tr>
      <w:tr w14:paraId="0F2DFC0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Align w:val="center"/>
          </w:tcPr>
          <w:p w14:paraId="01A768BB">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PM</w:t>
            </w:r>
            <w:r>
              <w:rPr>
                <w:rFonts w:hint="default" w:ascii="Times New Roman" w:hAnsi="Times New Roman" w:cs="Times New Roman" w:eastAsiaTheme="minorEastAsia"/>
                <w:color w:val="auto"/>
                <w:sz w:val="21"/>
                <w:szCs w:val="21"/>
                <w:highlight w:val="none"/>
                <w:vertAlign w:val="subscript"/>
              </w:rPr>
              <w:t>2.5</w:t>
            </w:r>
          </w:p>
        </w:tc>
        <w:tc>
          <w:tcPr>
            <w:tcW w:w="1300" w:type="pct"/>
            <w:vAlign w:val="center"/>
          </w:tcPr>
          <w:p w14:paraId="5C3ECCD8">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959" w:type="pct"/>
            <w:vAlign w:val="center"/>
          </w:tcPr>
          <w:p w14:paraId="3200B44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37</w:t>
            </w:r>
          </w:p>
        </w:tc>
        <w:tc>
          <w:tcPr>
            <w:tcW w:w="941" w:type="pct"/>
            <w:vAlign w:val="center"/>
          </w:tcPr>
          <w:p w14:paraId="4A2F97D3">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35</w:t>
            </w:r>
          </w:p>
        </w:tc>
        <w:tc>
          <w:tcPr>
            <w:tcW w:w="710" w:type="pct"/>
            <w:vAlign w:val="center"/>
          </w:tcPr>
          <w:p w14:paraId="2C7B30B1">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
              </w:rPr>
            </w:pPr>
            <w:r>
              <w:rPr>
                <w:rFonts w:hint="default" w:ascii="Times New Roman" w:hAnsi="Times New Roman" w:cs="Times New Roman" w:eastAsiaTheme="minorEastAsia"/>
                <w:color w:val="auto"/>
                <w:sz w:val="21"/>
                <w:szCs w:val="21"/>
                <w:highlight w:val="none"/>
                <w:lang w:val="en-US" w:eastAsia="zh-CN" w:bidi="ar"/>
              </w:rPr>
              <w:t>105.7</w:t>
            </w:r>
          </w:p>
        </w:tc>
        <w:tc>
          <w:tcPr>
            <w:tcW w:w="599" w:type="pct"/>
            <w:vAlign w:val="center"/>
          </w:tcPr>
          <w:p w14:paraId="1E0D22B0">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超标</w:t>
            </w:r>
          </w:p>
        </w:tc>
      </w:tr>
      <w:tr w14:paraId="70DC4D9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Align w:val="center"/>
          </w:tcPr>
          <w:p w14:paraId="13954820">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w:t>
            </w:r>
          </w:p>
        </w:tc>
        <w:tc>
          <w:tcPr>
            <w:tcW w:w="1300" w:type="pct"/>
            <w:vAlign w:val="center"/>
          </w:tcPr>
          <w:p w14:paraId="44FC8898">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24h平均第95百分位数</w:t>
            </w:r>
          </w:p>
        </w:tc>
        <w:tc>
          <w:tcPr>
            <w:tcW w:w="959" w:type="pct"/>
            <w:vAlign w:val="center"/>
          </w:tcPr>
          <w:p w14:paraId="52DB77D9">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2.3</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rPr>
              <w:t>mg/m</w:t>
            </w:r>
            <w:r>
              <w:rPr>
                <w:rFonts w:hint="default" w:ascii="Times New Roman" w:hAnsi="Times New Roman" w:cs="Times New Roman" w:eastAsiaTheme="minorEastAsia"/>
                <w:color w:val="auto"/>
                <w:sz w:val="21"/>
                <w:szCs w:val="21"/>
                <w:highlight w:val="none"/>
                <w:vertAlign w:val="superscript"/>
              </w:rPr>
              <w:t>3</w:t>
            </w:r>
            <w:r>
              <w:rPr>
                <w:rFonts w:hint="eastAsia" w:ascii="Times New Roman" w:hAnsi="Times New Roman" w:cs="Times New Roman" w:eastAsiaTheme="minorEastAsia"/>
                <w:color w:val="auto"/>
                <w:sz w:val="21"/>
                <w:szCs w:val="21"/>
                <w:highlight w:val="none"/>
                <w:vertAlign w:val="superscript"/>
                <w:lang w:eastAsia="zh-CN"/>
              </w:rPr>
              <w:t>)</w:t>
            </w:r>
          </w:p>
        </w:tc>
        <w:tc>
          <w:tcPr>
            <w:tcW w:w="941" w:type="pct"/>
            <w:vAlign w:val="center"/>
          </w:tcPr>
          <w:p w14:paraId="5B949D30">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mg/m</w:t>
            </w:r>
            <w:r>
              <w:rPr>
                <w:rFonts w:hint="default" w:ascii="Times New Roman" w:hAnsi="Times New Roman" w:cs="Times New Roman" w:eastAsiaTheme="minorEastAsia"/>
                <w:color w:val="auto"/>
                <w:sz w:val="21"/>
                <w:szCs w:val="21"/>
                <w:highlight w:val="none"/>
                <w:vertAlign w:val="superscript"/>
              </w:rPr>
              <w:t>3</w:t>
            </w:r>
            <w:r>
              <w:rPr>
                <w:rFonts w:hint="eastAsia" w:cs="Times New Roman" w:eastAsiaTheme="minorEastAsia"/>
                <w:color w:val="auto"/>
                <w:sz w:val="21"/>
                <w:szCs w:val="21"/>
                <w:highlight w:val="none"/>
                <w:vertAlign w:val="superscript"/>
                <w:lang w:eastAsia="zh-CN"/>
              </w:rPr>
              <w:t>)</w:t>
            </w:r>
          </w:p>
        </w:tc>
        <w:tc>
          <w:tcPr>
            <w:tcW w:w="710" w:type="pct"/>
            <w:vAlign w:val="center"/>
          </w:tcPr>
          <w:p w14:paraId="1C3FE458">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57.5</w:t>
            </w:r>
          </w:p>
        </w:tc>
        <w:tc>
          <w:tcPr>
            <w:tcW w:w="599" w:type="pct"/>
            <w:vAlign w:val="center"/>
          </w:tcPr>
          <w:p w14:paraId="495E9FC6">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76DB3B2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Align w:val="center"/>
          </w:tcPr>
          <w:p w14:paraId="50CFD801">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O</w:t>
            </w:r>
            <w:r>
              <w:rPr>
                <w:rFonts w:hint="default" w:ascii="Times New Roman" w:hAnsi="Times New Roman" w:cs="Times New Roman" w:eastAsiaTheme="minorEastAsia"/>
                <w:color w:val="auto"/>
                <w:sz w:val="21"/>
                <w:szCs w:val="21"/>
                <w:highlight w:val="none"/>
                <w:vertAlign w:val="subscript"/>
              </w:rPr>
              <w:t>3</w:t>
            </w:r>
          </w:p>
        </w:tc>
        <w:tc>
          <w:tcPr>
            <w:tcW w:w="1300" w:type="pct"/>
            <w:vAlign w:val="center"/>
          </w:tcPr>
          <w:p w14:paraId="51730F46">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日最大8小时平均第90百分位数</w:t>
            </w:r>
          </w:p>
        </w:tc>
        <w:tc>
          <w:tcPr>
            <w:tcW w:w="959" w:type="pct"/>
            <w:vAlign w:val="center"/>
          </w:tcPr>
          <w:p w14:paraId="4329DCB5">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138</w:t>
            </w:r>
          </w:p>
        </w:tc>
        <w:tc>
          <w:tcPr>
            <w:tcW w:w="941" w:type="pct"/>
            <w:vAlign w:val="center"/>
          </w:tcPr>
          <w:p w14:paraId="14A27FFD">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160</w:t>
            </w:r>
          </w:p>
        </w:tc>
        <w:tc>
          <w:tcPr>
            <w:tcW w:w="710" w:type="pct"/>
            <w:vAlign w:val="center"/>
          </w:tcPr>
          <w:p w14:paraId="06B754B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76.67</w:t>
            </w:r>
          </w:p>
        </w:tc>
        <w:tc>
          <w:tcPr>
            <w:tcW w:w="599" w:type="pct"/>
            <w:vAlign w:val="center"/>
          </w:tcPr>
          <w:p w14:paraId="446FB069">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bl>
    <w:p w14:paraId="589AE0F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由上表结果得出：吐鲁番地区202</w:t>
      </w:r>
      <w:r>
        <w:rPr>
          <w:rFonts w:hint="eastAsia" w:cs="Times New Roman"/>
          <w:color w:val="auto"/>
          <w:highlight w:val="none"/>
          <w:lang w:val="en-US" w:eastAsia="zh-CN"/>
        </w:rPr>
        <w:t>4</w:t>
      </w:r>
      <w:r>
        <w:rPr>
          <w:rFonts w:hint="default" w:ascii="Times New Roman" w:hAnsi="Times New Roman" w:cs="Times New Roman"/>
          <w:color w:val="auto"/>
          <w:highlight w:val="none"/>
        </w:rPr>
        <w:t>年SO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年均浓度均可满足《环境空气质量标准》（GB3095-2012）中二级标准限值要求，PM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年均浓度超过了《环境空气质量标准》（GB3095-2012）中二级标准限值要求，超标原因可能与当地气候干燥、易起尘环境有关，故项目所在区域属于环境空气质量不达标区。</w:t>
      </w:r>
    </w:p>
    <w:p w14:paraId="4F48F71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4.2.1.2其他污染物环境质量现状评价</w:t>
      </w:r>
    </w:p>
    <w:p w14:paraId="4BD7101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本项目特征因子为总悬浮颗粒物和</w:t>
      </w:r>
      <w:r>
        <w:rPr>
          <w:rFonts w:hint="eastAsia" w:cs="Times New Roman"/>
          <w:color w:val="auto"/>
          <w:highlight w:val="none"/>
          <w:lang w:val="en-US" w:eastAsia="zh-CN"/>
        </w:rPr>
        <w:t>硫酸雾</w:t>
      </w:r>
      <w:r>
        <w:rPr>
          <w:rFonts w:hint="default" w:ascii="Times New Roman" w:hAnsi="Times New Roman" w:cs="Times New Roman"/>
          <w:color w:val="auto"/>
          <w:highlight w:val="none"/>
        </w:rPr>
        <w:t>，委托</w:t>
      </w:r>
      <w:r>
        <w:rPr>
          <w:rFonts w:hint="default" w:ascii="Times New Roman" w:hAnsi="Times New Roman" w:cs="Times New Roman"/>
          <w:color w:val="auto"/>
          <w:highlight w:val="none"/>
          <w:lang w:eastAsia="zh-CN"/>
        </w:rPr>
        <w:t>新疆锡水金山环境科技有限公司</w:t>
      </w:r>
      <w:r>
        <w:rPr>
          <w:rFonts w:hint="default" w:ascii="Times New Roman" w:hAnsi="Times New Roman" w:cs="Times New Roman"/>
          <w:color w:val="auto"/>
          <w:highlight w:val="none"/>
        </w:rPr>
        <w:t>对项目所在区域现场环境空气进行实测，监测点位于项目区下风向</w:t>
      </w:r>
      <w:r>
        <w:rPr>
          <w:rFonts w:hint="eastAsia" w:cs="Times New Roman"/>
          <w:color w:val="auto"/>
          <w:highlight w:val="none"/>
          <w:lang w:val="en-US" w:eastAsia="zh-CN"/>
        </w:rPr>
        <w:t>250</w:t>
      </w:r>
      <w:r>
        <w:rPr>
          <w:rFonts w:hint="default" w:ascii="Times New Roman" w:hAnsi="Times New Roman" w:cs="Times New Roman"/>
          <w:color w:val="auto"/>
          <w:highlight w:val="none"/>
        </w:rPr>
        <w:t>m处，监测布点图见</w:t>
      </w:r>
      <w:r>
        <w:rPr>
          <w:rFonts w:hint="eastAsia" w:cs="Times New Roman"/>
          <w:color w:val="auto"/>
          <w:highlight w:val="none"/>
          <w:lang w:val="en-US" w:eastAsia="zh-CN"/>
        </w:rPr>
        <w:t>附图5</w:t>
      </w:r>
      <w:r>
        <w:rPr>
          <w:rFonts w:hint="default" w:ascii="Times New Roman" w:hAnsi="Times New Roman" w:cs="Times New Roman"/>
          <w:color w:val="auto"/>
          <w:highlight w:val="none"/>
        </w:rPr>
        <w:t>。</w:t>
      </w:r>
    </w:p>
    <w:p w14:paraId="7FFD597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监测</w:t>
      </w:r>
      <w:r>
        <w:rPr>
          <w:rFonts w:hint="default" w:ascii="Times New Roman" w:hAnsi="Times New Roman" w:cs="Times New Roman"/>
          <w:color w:val="auto"/>
          <w:highlight w:val="none"/>
        </w:rPr>
        <w:t>时间</w:t>
      </w:r>
      <w:r>
        <w:rPr>
          <w:rFonts w:hint="default" w:ascii="Times New Roman" w:hAnsi="Times New Roman" w:cs="Times New Roman"/>
          <w:bCs/>
          <w:color w:val="auto"/>
          <w:highlight w:val="none"/>
        </w:rPr>
        <w:t>：202</w:t>
      </w:r>
      <w:r>
        <w:rPr>
          <w:rFonts w:hint="eastAsia" w:cs="Times New Roman"/>
          <w:bCs/>
          <w:color w:val="auto"/>
          <w:highlight w:val="none"/>
          <w:lang w:val="en-US" w:eastAsia="zh-CN"/>
        </w:rPr>
        <w:t>5</w:t>
      </w:r>
      <w:r>
        <w:rPr>
          <w:rFonts w:hint="default" w:ascii="Times New Roman" w:hAnsi="Times New Roman" w:cs="Times New Roman"/>
          <w:bCs/>
          <w:color w:val="auto"/>
          <w:highlight w:val="none"/>
        </w:rPr>
        <w:t>年</w:t>
      </w:r>
      <w:r>
        <w:rPr>
          <w:rFonts w:hint="eastAsia" w:cs="Times New Roman"/>
          <w:bCs/>
          <w:color w:val="auto"/>
          <w:highlight w:val="none"/>
          <w:lang w:val="en-US" w:eastAsia="zh-CN"/>
        </w:rPr>
        <w:t>9</w:t>
      </w:r>
      <w:r>
        <w:rPr>
          <w:rFonts w:hint="default" w:ascii="Times New Roman" w:hAnsi="Times New Roman" w:cs="Times New Roman"/>
          <w:bCs/>
          <w:color w:val="auto"/>
          <w:highlight w:val="none"/>
        </w:rPr>
        <w:t>月</w:t>
      </w:r>
      <w:r>
        <w:rPr>
          <w:rFonts w:hint="eastAsia" w:cs="Times New Roman"/>
          <w:bCs/>
          <w:color w:val="auto"/>
          <w:highlight w:val="none"/>
          <w:lang w:val="en-US" w:eastAsia="zh-CN"/>
        </w:rPr>
        <w:t>11</w:t>
      </w:r>
      <w:r>
        <w:rPr>
          <w:rFonts w:hint="default" w:ascii="Times New Roman" w:hAnsi="Times New Roman" w:cs="Times New Roman"/>
          <w:bCs/>
          <w:color w:val="auto"/>
          <w:highlight w:val="none"/>
        </w:rPr>
        <w:t>日～</w:t>
      </w:r>
      <w:r>
        <w:rPr>
          <w:rFonts w:hint="eastAsia" w:cs="Times New Roman"/>
          <w:bCs/>
          <w:color w:val="auto"/>
          <w:highlight w:val="none"/>
          <w:lang w:val="en-US" w:eastAsia="zh-CN"/>
        </w:rPr>
        <w:t>17</w:t>
      </w:r>
      <w:r>
        <w:rPr>
          <w:rFonts w:hint="default" w:ascii="Times New Roman" w:hAnsi="Times New Roman" w:cs="Times New Roman"/>
          <w:bCs/>
          <w:color w:val="auto"/>
          <w:highlight w:val="none"/>
        </w:rPr>
        <w:t>日，连续7日</w:t>
      </w:r>
      <w:r>
        <w:rPr>
          <w:rFonts w:hint="default" w:ascii="Times New Roman" w:hAnsi="Times New Roman" w:cs="Times New Roman"/>
          <w:color w:val="auto"/>
          <w:highlight w:val="none"/>
        </w:rPr>
        <w:t>。</w:t>
      </w:r>
    </w:p>
    <w:p w14:paraId="13AFDC38">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color w:val="auto"/>
          <w:kern w:val="2"/>
          <w:sz w:val="21"/>
          <w:szCs w:val="21"/>
          <w:highlight w:val="none"/>
          <w:lang w:val="zh-CN"/>
        </w:rPr>
      </w:pPr>
      <w:r>
        <w:rPr>
          <w:rFonts w:hint="default" w:ascii="Times New Roman" w:hAnsi="Times New Roman" w:eastAsia="宋体" w:cs="Times New Roman"/>
          <w:b/>
          <w:color w:val="auto"/>
          <w:kern w:val="2"/>
          <w:sz w:val="21"/>
          <w:szCs w:val="21"/>
          <w:highlight w:val="none"/>
          <w:lang w:val="zh-CN"/>
        </w:rPr>
        <w:t>表4.</w:t>
      </w:r>
      <w:r>
        <w:rPr>
          <w:rFonts w:hint="default" w:ascii="Times New Roman" w:hAnsi="Times New Roman" w:eastAsia="宋体" w:cs="Times New Roman"/>
          <w:b/>
          <w:color w:val="auto"/>
          <w:kern w:val="2"/>
          <w:sz w:val="21"/>
          <w:szCs w:val="21"/>
          <w:highlight w:val="none"/>
          <w:lang w:val="en-US" w:eastAsia="zh-CN"/>
        </w:rPr>
        <w:t>2</w:t>
      </w:r>
      <w:r>
        <w:rPr>
          <w:rFonts w:hint="default" w:ascii="Times New Roman" w:hAnsi="Times New Roman" w:eastAsia="宋体" w:cs="Times New Roman"/>
          <w:b/>
          <w:color w:val="auto"/>
          <w:kern w:val="2"/>
          <w:sz w:val="21"/>
          <w:szCs w:val="21"/>
          <w:highlight w:val="none"/>
          <w:lang w:val="zh-CN"/>
        </w:rPr>
        <w:t>-2    特征污染物大气环境现状监测点位一览表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53"/>
        <w:gridCol w:w="2173"/>
        <w:gridCol w:w="1050"/>
        <w:gridCol w:w="1218"/>
        <w:gridCol w:w="2535"/>
      </w:tblGrid>
      <w:tr w14:paraId="2AD81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04" w:type="pct"/>
            <w:tcBorders>
              <w:tl2br w:val="nil"/>
              <w:tr2bl w:val="nil"/>
            </w:tcBorders>
            <w:vAlign w:val="center"/>
          </w:tcPr>
          <w:p w14:paraId="450D9511">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244" w:type="pct"/>
            <w:tcBorders>
              <w:tl2br w:val="nil"/>
              <w:tr2bl w:val="nil"/>
            </w:tcBorders>
            <w:vAlign w:val="center"/>
          </w:tcPr>
          <w:p w14:paraId="4FDD3B06">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601" w:type="pct"/>
            <w:tcBorders>
              <w:tl2br w:val="nil"/>
              <w:tr2bl w:val="nil"/>
            </w:tcBorders>
            <w:vAlign w:val="center"/>
          </w:tcPr>
          <w:p w14:paraId="016A35C8">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697" w:type="pct"/>
            <w:tcBorders>
              <w:tl2br w:val="nil"/>
              <w:tr2bl w:val="nil"/>
            </w:tcBorders>
            <w:vAlign w:val="center"/>
          </w:tcPr>
          <w:p w14:paraId="0602F1BB">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距离</w:t>
            </w:r>
          </w:p>
        </w:tc>
        <w:tc>
          <w:tcPr>
            <w:tcW w:w="1451" w:type="pct"/>
            <w:tcBorders>
              <w:tl2br w:val="nil"/>
              <w:tr2bl w:val="nil"/>
            </w:tcBorders>
            <w:vAlign w:val="center"/>
          </w:tcPr>
          <w:p w14:paraId="1E0B5A4B">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r>
      <w:tr w14:paraId="7BE0C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04" w:type="pct"/>
            <w:tcBorders>
              <w:tl2br w:val="nil"/>
              <w:tr2bl w:val="nil"/>
            </w:tcBorders>
            <w:vAlign w:val="center"/>
          </w:tcPr>
          <w:p w14:paraId="0A2AC9DF">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项目区下风向1#</w:t>
            </w:r>
          </w:p>
        </w:tc>
        <w:tc>
          <w:tcPr>
            <w:tcW w:w="1244" w:type="pct"/>
            <w:tcBorders>
              <w:tl2br w:val="nil"/>
              <w:tr2bl w:val="nil"/>
            </w:tcBorders>
            <w:vAlign w:val="center"/>
          </w:tcPr>
          <w:p w14:paraId="24256534">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89°49′21.16″</w:t>
            </w:r>
          </w:p>
          <w:p w14:paraId="4BA34302">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42°37′8.66″</w:t>
            </w:r>
          </w:p>
        </w:tc>
        <w:tc>
          <w:tcPr>
            <w:tcW w:w="601" w:type="pct"/>
            <w:tcBorders>
              <w:tl2br w:val="nil"/>
              <w:tr2bl w:val="nil"/>
            </w:tcBorders>
            <w:vAlign w:val="center"/>
          </w:tcPr>
          <w:p w14:paraId="5529E710">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西南</w:t>
            </w:r>
          </w:p>
        </w:tc>
        <w:tc>
          <w:tcPr>
            <w:tcW w:w="697" w:type="pct"/>
            <w:tcBorders>
              <w:tl2br w:val="nil"/>
              <w:tr2bl w:val="nil"/>
            </w:tcBorders>
            <w:vAlign w:val="center"/>
          </w:tcPr>
          <w:p w14:paraId="15615FB0">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w:t>
            </w:r>
            <w:r>
              <w:rPr>
                <w:rFonts w:hint="eastAsia" w:ascii="Times New Roman" w:hAnsi="Times New Roman" w:eastAsia="宋体" w:cs="Times New Roman"/>
                <w:color w:val="auto"/>
                <w:sz w:val="21"/>
                <w:szCs w:val="21"/>
                <w:highlight w:val="none"/>
                <w:lang w:val="en-US" w:eastAsia="zh-CN"/>
              </w:rPr>
              <w:t>0.25</w:t>
            </w:r>
            <w:r>
              <w:rPr>
                <w:rFonts w:hint="default" w:ascii="Times New Roman" w:hAnsi="Times New Roman" w:eastAsia="宋体" w:cs="Times New Roman"/>
                <w:color w:val="auto"/>
                <w:sz w:val="21"/>
                <w:szCs w:val="21"/>
                <w:highlight w:val="none"/>
              </w:rPr>
              <w:t>km</w:t>
            </w:r>
          </w:p>
        </w:tc>
        <w:tc>
          <w:tcPr>
            <w:tcW w:w="1451" w:type="pct"/>
            <w:tcBorders>
              <w:tl2br w:val="nil"/>
              <w:tr2bl w:val="nil"/>
            </w:tcBorders>
            <w:vAlign w:val="center"/>
          </w:tcPr>
          <w:p w14:paraId="3537CE69">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硫酸雾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TSP</w:t>
            </w:r>
          </w:p>
        </w:tc>
      </w:tr>
    </w:tbl>
    <w:p w14:paraId="22DB139B">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总悬浮颗粒物（TSP）执行《环境空气质量标准》（GB3095-2012）中的二级标准及其修改单的要求；</w:t>
      </w:r>
      <w:r>
        <w:rPr>
          <w:rFonts w:hint="eastAsia" w:cs="Times New Roman"/>
          <w:color w:val="auto"/>
          <w:highlight w:val="none"/>
          <w:lang w:val="en-US" w:eastAsia="zh-CN"/>
        </w:rPr>
        <w:t>硫酸雾</w:t>
      </w:r>
      <w:r>
        <w:rPr>
          <w:rFonts w:hint="default" w:ascii="Times New Roman" w:hAnsi="Times New Roman" w:cs="Times New Roman"/>
          <w:color w:val="auto"/>
          <w:highlight w:val="none"/>
        </w:rPr>
        <w:t>执行《环境影响评价技术导则 大气环境》（HJ2.2-2018）附录D其他污染物空气质量浓度参考限值要求。</w:t>
      </w:r>
      <w:r>
        <w:rPr>
          <w:rFonts w:hint="default" w:ascii="Times New Roman" w:hAnsi="Times New Roman" w:eastAsia="宋体" w:cs="Times New Roman"/>
          <w:color w:val="auto"/>
          <w:highlight w:val="none"/>
        </w:rPr>
        <w:t>其他污染物监测结果及评价统计4.2-</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w:t>
      </w:r>
    </w:p>
    <w:p w14:paraId="6FA96CD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bookmarkStart w:id="150" w:name="_Hlk149945404"/>
      <w:r>
        <w:rPr>
          <w:rFonts w:hint="default" w:ascii="Times New Roman" w:hAnsi="Times New Roman" w:cs="Times New Roman"/>
          <w:b/>
          <w:bCs/>
          <w:color w:val="auto"/>
          <w:sz w:val="21"/>
          <w:szCs w:val="21"/>
          <w:highlight w:val="none"/>
        </w:rPr>
        <w:t>表4.2-</w:t>
      </w:r>
      <w:r>
        <w:rPr>
          <w:rFonts w:hint="eastAsia" w:cs="Times New Roman"/>
          <w:b/>
          <w:bCs/>
          <w:color w:val="auto"/>
          <w:sz w:val="21"/>
          <w:szCs w:val="21"/>
          <w:highlight w:val="none"/>
          <w:lang w:val="en-US" w:eastAsia="zh-CN"/>
        </w:rPr>
        <w:t xml:space="preserve">3  </w:t>
      </w:r>
      <w:r>
        <w:rPr>
          <w:rFonts w:hint="default" w:ascii="Times New Roman" w:hAnsi="Times New Roman" w:cs="Times New Roman"/>
          <w:b/>
          <w:bCs/>
          <w:color w:val="auto"/>
          <w:sz w:val="21"/>
          <w:szCs w:val="21"/>
          <w:highlight w:val="none"/>
        </w:rPr>
        <w:t xml:space="preserve"> 特征因子监测结果及评价结果</w:t>
      </w:r>
    </w:p>
    <w:tbl>
      <w:tblPr>
        <w:tblStyle w:val="33"/>
        <w:tblW w:w="506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3"/>
        <w:gridCol w:w="796"/>
        <w:gridCol w:w="1386"/>
        <w:gridCol w:w="1022"/>
        <w:gridCol w:w="1558"/>
        <w:gridCol w:w="1102"/>
        <w:gridCol w:w="994"/>
        <w:gridCol w:w="992"/>
      </w:tblGrid>
      <w:tr w14:paraId="1643A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566" w:type="pct"/>
            <w:tcBorders>
              <w:tl2br w:val="nil"/>
              <w:tr2bl w:val="nil"/>
            </w:tcBorders>
            <w:noWrap w:val="0"/>
            <w:vAlign w:val="center"/>
          </w:tcPr>
          <w:p w14:paraId="6725E25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监测点位</w:t>
            </w:r>
          </w:p>
        </w:tc>
        <w:tc>
          <w:tcPr>
            <w:tcW w:w="449" w:type="pct"/>
            <w:tcBorders>
              <w:tl2br w:val="nil"/>
              <w:tr2bl w:val="nil"/>
            </w:tcBorders>
            <w:noWrap w:val="0"/>
            <w:vAlign w:val="center"/>
          </w:tcPr>
          <w:p w14:paraId="1688520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w:t>
            </w:r>
          </w:p>
        </w:tc>
        <w:tc>
          <w:tcPr>
            <w:tcW w:w="782" w:type="pct"/>
            <w:tcBorders>
              <w:tl2br w:val="nil"/>
              <w:tr2bl w:val="nil"/>
            </w:tcBorders>
            <w:noWrap w:val="0"/>
            <w:vAlign w:val="center"/>
          </w:tcPr>
          <w:p w14:paraId="3503282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平均</w:t>
            </w:r>
          </w:p>
          <w:p w14:paraId="6F01F32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时间</w:t>
            </w:r>
          </w:p>
        </w:tc>
        <w:tc>
          <w:tcPr>
            <w:tcW w:w="577" w:type="pct"/>
            <w:tcBorders>
              <w:tl2br w:val="nil"/>
              <w:tr2bl w:val="nil"/>
            </w:tcBorders>
            <w:noWrap w:val="0"/>
            <w:vAlign w:val="center"/>
          </w:tcPr>
          <w:p w14:paraId="58FB12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评价标准</w:t>
            </w:r>
          </w:p>
          <w:p w14:paraId="5312C85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879" w:type="pct"/>
            <w:tcBorders>
              <w:tl2br w:val="nil"/>
              <w:tr2bl w:val="nil"/>
            </w:tcBorders>
            <w:noWrap w:val="0"/>
            <w:vAlign w:val="center"/>
          </w:tcPr>
          <w:p w14:paraId="5B4F376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监测浓度范围</w:t>
            </w:r>
          </w:p>
          <w:p w14:paraId="0F081A0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22" w:type="pct"/>
            <w:tcBorders>
              <w:tl2br w:val="nil"/>
              <w:tr2bl w:val="nil"/>
            </w:tcBorders>
            <w:noWrap w:val="0"/>
            <w:vAlign w:val="center"/>
          </w:tcPr>
          <w:p w14:paraId="4291F17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最大浓度占标率%</w:t>
            </w:r>
          </w:p>
        </w:tc>
        <w:tc>
          <w:tcPr>
            <w:tcW w:w="561" w:type="pct"/>
            <w:tcBorders>
              <w:tl2br w:val="nil"/>
              <w:tr2bl w:val="nil"/>
            </w:tcBorders>
            <w:noWrap w:val="0"/>
            <w:vAlign w:val="center"/>
          </w:tcPr>
          <w:p w14:paraId="0BCA7FE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超标率</w:t>
            </w:r>
          </w:p>
          <w:p w14:paraId="6E53395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560" w:type="pct"/>
            <w:tcBorders>
              <w:tl2br w:val="nil"/>
              <w:tr2bl w:val="nil"/>
            </w:tcBorders>
            <w:noWrap w:val="0"/>
            <w:vAlign w:val="center"/>
          </w:tcPr>
          <w:p w14:paraId="52F55D0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p w14:paraId="18F1751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情况</w:t>
            </w:r>
          </w:p>
        </w:tc>
      </w:tr>
      <w:tr w14:paraId="45237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6" w:type="pct"/>
            <w:vMerge w:val="restart"/>
            <w:tcBorders>
              <w:tl2br w:val="nil"/>
              <w:tr2bl w:val="nil"/>
            </w:tcBorders>
            <w:noWrap w:val="0"/>
            <w:vAlign w:val="center"/>
          </w:tcPr>
          <w:p w14:paraId="6E498EA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项目区内</w:t>
            </w:r>
          </w:p>
        </w:tc>
        <w:tc>
          <w:tcPr>
            <w:tcW w:w="449" w:type="pct"/>
            <w:tcBorders>
              <w:tl2br w:val="nil"/>
              <w:tr2bl w:val="nil"/>
            </w:tcBorders>
            <w:noWrap w:val="0"/>
            <w:vAlign w:val="center"/>
          </w:tcPr>
          <w:p w14:paraId="4A636CB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TSP</w:t>
            </w:r>
          </w:p>
        </w:tc>
        <w:tc>
          <w:tcPr>
            <w:tcW w:w="782" w:type="pct"/>
            <w:tcBorders>
              <w:tl2br w:val="nil"/>
              <w:tr2bl w:val="nil"/>
            </w:tcBorders>
            <w:noWrap w:val="0"/>
            <w:vAlign w:val="center"/>
          </w:tcPr>
          <w:p w14:paraId="1FB9D8B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24小时平均值</w:t>
            </w:r>
          </w:p>
        </w:tc>
        <w:tc>
          <w:tcPr>
            <w:tcW w:w="577" w:type="pct"/>
            <w:tcBorders>
              <w:tl2br w:val="nil"/>
              <w:tr2bl w:val="nil"/>
            </w:tcBorders>
            <w:noWrap w:val="0"/>
            <w:vAlign w:val="center"/>
          </w:tcPr>
          <w:p w14:paraId="5CAF3E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w:t>
            </w:r>
          </w:p>
        </w:tc>
        <w:tc>
          <w:tcPr>
            <w:tcW w:w="879" w:type="pct"/>
            <w:tcBorders>
              <w:tl2br w:val="nil"/>
              <w:tr2bl w:val="nil"/>
            </w:tcBorders>
            <w:noWrap w:val="0"/>
            <w:vAlign w:val="center"/>
          </w:tcPr>
          <w:p w14:paraId="24A258C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rPr>
            </w:pPr>
          </w:p>
        </w:tc>
        <w:tc>
          <w:tcPr>
            <w:tcW w:w="622" w:type="pct"/>
            <w:tcBorders>
              <w:tl2br w:val="nil"/>
              <w:tr2bl w:val="nil"/>
            </w:tcBorders>
            <w:noWrap w:val="0"/>
            <w:vAlign w:val="center"/>
          </w:tcPr>
          <w:p w14:paraId="51D2669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561" w:type="pct"/>
            <w:tcBorders>
              <w:tl2br w:val="nil"/>
              <w:tr2bl w:val="nil"/>
            </w:tcBorders>
            <w:noWrap w:val="0"/>
            <w:vAlign w:val="center"/>
          </w:tcPr>
          <w:p w14:paraId="712D4E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560" w:type="pct"/>
            <w:tcBorders>
              <w:tl2br w:val="nil"/>
              <w:tr2bl w:val="nil"/>
            </w:tcBorders>
            <w:noWrap w:val="0"/>
            <w:vAlign w:val="center"/>
          </w:tcPr>
          <w:p w14:paraId="4137876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2EE31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6" w:type="pct"/>
            <w:vMerge w:val="continue"/>
            <w:tcBorders>
              <w:tl2br w:val="nil"/>
              <w:tr2bl w:val="nil"/>
            </w:tcBorders>
            <w:noWrap w:val="0"/>
            <w:vAlign w:val="center"/>
          </w:tcPr>
          <w:p w14:paraId="075242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449" w:type="pct"/>
            <w:tcBorders>
              <w:tl2br w:val="nil"/>
              <w:tr2bl w:val="nil"/>
            </w:tcBorders>
            <w:noWrap w:val="0"/>
            <w:vAlign w:val="center"/>
          </w:tcPr>
          <w:p w14:paraId="0BCF56C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硫酸雾</w:t>
            </w:r>
          </w:p>
        </w:tc>
        <w:tc>
          <w:tcPr>
            <w:tcW w:w="782" w:type="pct"/>
            <w:tcBorders>
              <w:tl2br w:val="nil"/>
              <w:tr2bl w:val="nil"/>
            </w:tcBorders>
            <w:noWrap w:val="0"/>
            <w:vAlign w:val="center"/>
          </w:tcPr>
          <w:p w14:paraId="37FF57F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lang w:val="en-US" w:eastAsia="zh-CN"/>
              </w:rPr>
              <w:t>小时值</w:t>
            </w:r>
          </w:p>
        </w:tc>
        <w:tc>
          <w:tcPr>
            <w:tcW w:w="577" w:type="pct"/>
            <w:tcBorders>
              <w:tl2br w:val="nil"/>
              <w:tr2bl w:val="nil"/>
            </w:tcBorders>
            <w:noWrap w:val="0"/>
            <w:vAlign w:val="center"/>
          </w:tcPr>
          <w:p w14:paraId="7C0D00B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0.</w:t>
            </w:r>
            <w:r>
              <w:rPr>
                <w:rFonts w:hint="eastAsia" w:ascii="Times New Roman" w:hAnsi="Times New Roman" w:cs="Times New Roman"/>
                <w:color w:val="auto"/>
                <w:kern w:val="0"/>
                <w:sz w:val="21"/>
                <w:szCs w:val="21"/>
                <w:highlight w:val="none"/>
                <w:lang w:val="en-US" w:eastAsia="zh-CN"/>
              </w:rPr>
              <w:t>3</w:t>
            </w:r>
          </w:p>
        </w:tc>
        <w:tc>
          <w:tcPr>
            <w:tcW w:w="879" w:type="pct"/>
            <w:tcBorders>
              <w:tl2br w:val="nil"/>
              <w:tr2bl w:val="nil"/>
            </w:tcBorders>
            <w:noWrap w:val="0"/>
            <w:vAlign w:val="center"/>
          </w:tcPr>
          <w:p w14:paraId="24548B8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22" w:type="pct"/>
            <w:tcBorders>
              <w:tl2br w:val="nil"/>
              <w:tr2bl w:val="nil"/>
            </w:tcBorders>
            <w:noWrap w:val="0"/>
            <w:vAlign w:val="center"/>
          </w:tcPr>
          <w:p w14:paraId="1CEE20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61" w:type="pct"/>
            <w:tcBorders>
              <w:tl2br w:val="nil"/>
              <w:tr2bl w:val="nil"/>
            </w:tcBorders>
            <w:noWrap w:val="0"/>
            <w:vAlign w:val="center"/>
          </w:tcPr>
          <w:p w14:paraId="7A8024C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60" w:type="pct"/>
            <w:tcBorders>
              <w:tl2br w:val="nil"/>
              <w:tr2bl w:val="nil"/>
            </w:tcBorders>
            <w:noWrap w:val="0"/>
            <w:vAlign w:val="center"/>
          </w:tcPr>
          <w:p w14:paraId="0BB418C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bl>
    <w:p w14:paraId="4CB86C75">
      <w:pPr>
        <w:pStyle w:val="52"/>
        <w:pageBreakBefore w:val="0"/>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评价结果表明，</w:t>
      </w:r>
      <w:r>
        <w:rPr>
          <w:rFonts w:hint="eastAsia" w:ascii="Times New Roman" w:cs="Times New Roman"/>
          <w:color w:val="auto"/>
          <w:highlight w:val="none"/>
          <w:lang w:val="en-US" w:eastAsia="zh-CN"/>
        </w:rPr>
        <w:t>硫酸雾</w:t>
      </w:r>
      <w:r>
        <w:rPr>
          <w:rFonts w:hint="default" w:ascii="Times New Roman" w:hAnsi="Times New Roman" w:cs="Times New Roman"/>
          <w:color w:val="auto"/>
          <w:highlight w:val="none"/>
        </w:rPr>
        <w:t>满足《环境影响评价技术导则 大气环境》（HJ2.2-2018）附录D其他污染物空气质量浓度参考限值要求；总悬浮颗粒物（TSP）满足《环境空气质量标准》（GB3095-2012）中的二级标准的要求。</w:t>
      </w:r>
    </w:p>
    <w:bookmarkEnd w:id="150"/>
    <w:p w14:paraId="7EFAC763">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4.2.2声环境质量现状调查</w:t>
      </w:r>
    </w:p>
    <w:p w14:paraId="636021B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为了解项目所在厂区周边声环境质量现状，本项目委托</w:t>
      </w:r>
      <w:r>
        <w:rPr>
          <w:rFonts w:hint="default" w:ascii="Times New Roman" w:hAnsi="Times New Roman" w:cs="Times New Roman"/>
          <w:color w:val="auto"/>
          <w:highlight w:val="none"/>
          <w:lang w:eastAsia="zh-CN"/>
        </w:rPr>
        <w:t>新疆锡水金山环境科技有限公司</w:t>
      </w:r>
      <w:r>
        <w:rPr>
          <w:rFonts w:hint="default" w:ascii="Times New Roman" w:hAnsi="Times New Roman" w:cs="Times New Roman"/>
          <w:color w:val="auto"/>
          <w:highlight w:val="none"/>
        </w:rPr>
        <w:t>对本项目所在地边界声环境质量现状进行了检测</w:t>
      </w:r>
      <w:r>
        <w:rPr>
          <w:rFonts w:hint="eastAsia" w:cs="Times New Roman"/>
          <w:color w:val="auto"/>
          <w:highlight w:val="none"/>
          <w:lang w:eastAsia="zh-CN"/>
        </w:rPr>
        <w:t>，</w:t>
      </w:r>
      <w:r>
        <w:rPr>
          <w:rFonts w:hint="default" w:ascii="Times New Roman" w:hAnsi="Times New Roman" w:cs="Times New Roman"/>
          <w:color w:val="auto"/>
          <w:highlight w:val="none"/>
        </w:rPr>
        <w:t>监测时间：202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9</w:t>
      </w:r>
      <w:r>
        <w:rPr>
          <w:rFonts w:hint="default" w:ascii="Times New Roman" w:hAnsi="Times New Roman" w:cs="Times New Roman"/>
          <w:color w:val="auto"/>
          <w:highlight w:val="none"/>
        </w:rPr>
        <w:t>月</w:t>
      </w:r>
      <w:r>
        <w:rPr>
          <w:rFonts w:hint="eastAsia" w:cs="Times New Roman"/>
          <w:color w:val="auto"/>
          <w:highlight w:val="none"/>
          <w:lang w:val="en-US" w:eastAsia="zh-CN"/>
        </w:rPr>
        <w:t>11</w:t>
      </w:r>
      <w:r>
        <w:rPr>
          <w:rFonts w:hint="default" w:ascii="Times New Roman" w:hAnsi="Times New Roman" w:cs="Times New Roman"/>
          <w:color w:val="auto"/>
          <w:highlight w:val="none"/>
        </w:rPr>
        <w:t>日。</w:t>
      </w:r>
    </w:p>
    <w:p w14:paraId="145A132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（1）环境监测点布设位置</w:t>
      </w:r>
    </w:p>
    <w:p w14:paraId="279EBDC3">
      <w:pPr>
        <w:pageBreakBefore w:val="0"/>
        <w:wordWrap/>
        <w:topLinePunct w:val="0"/>
        <w:bidi w:val="0"/>
        <w:adjustRightInd w:val="0"/>
        <w:snapToGrid w:val="0"/>
        <w:ind w:left="0" w:leftChars="0" w:right="0" w:firstLine="472"/>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共布设4个声环境监测点位，位于</w:t>
      </w:r>
      <w:r>
        <w:rPr>
          <w:rFonts w:hint="default" w:ascii="Times New Roman" w:hAnsi="Times New Roman" w:cs="Times New Roman"/>
          <w:color w:val="auto"/>
          <w:highlight w:val="none"/>
        </w:rPr>
        <w:t>厂区东、南、西、北四侧，位置详见图</w:t>
      </w:r>
      <w:r>
        <w:rPr>
          <w:rFonts w:hint="eastAsia" w:cs="Times New Roman"/>
          <w:color w:val="auto"/>
          <w:highlight w:val="none"/>
          <w:lang w:val="en-US" w:eastAsia="zh-CN"/>
        </w:rPr>
        <w:t>4.2-1</w:t>
      </w:r>
      <w:r>
        <w:rPr>
          <w:rFonts w:hint="default" w:ascii="Times New Roman" w:hAnsi="Times New Roman" w:cs="Times New Roman"/>
          <w:color w:val="auto"/>
          <w:highlight w:val="none"/>
        </w:rPr>
        <w:t>。</w:t>
      </w:r>
    </w:p>
    <w:p w14:paraId="219759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4A4BCB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图4.2-1 噪声监测布点图</w:t>
      </w:r>
    </w:p>
    <w:p w14:paraId="68D4429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（2）监测项目</w:t>
      </w:r>
    </w:p>
    <w:p w14:paraId="204B6EE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等效连续A声级L</w:t>
      </w:r>
      <w:r>
        <w:rPr>
          <w:rFonts w:hint="default" w:ascii="Times New Roman" w:hAnsi="Times New Roman" w:cs="Times New Roman"/>
          <w:color w:val="auto"/>
          <w:highlight w:val="none"/>
          <w:vertAlign w:val="subscript"/>
        </w:rPr>
        <w:t>Aeq</w:t>
      </w:r>
      <w:r>
        <w:rPr>
          <w:rFonts w:hint="default" w:ascii="Times New Roman" w:hAnsi="Times New Roman" w:cs="Times New Roman"/>
          <w:color w:val="auto"/>
          <w:highlight w:val="none"/>
        </w:rPr>
        <w:t>[dB（A）]。</w:t>
      </w:r>
    </w:p>
    <w:p w14:paraId="5D59715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（3）监测频次</w:t>
      </w:r>
    </w:p>
    <w:p w14:paraId="66A7102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昼、夜各一次。</w:t>
      </w:r>
    </w:p>
    <w:p w14:paraId="6355026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（4）采样及监测方法</w:t>
      </w:r>
    </w:p>
    <w:p w14:paraId="42AB343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采样及监测分析方法按《声环境质量标准》中有关规定执行。</w:t>
      </w:r>
    </w:p>
    <w:p w14:paraId="570BE2B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（5）监测结果及评价</w:t>
      </w:r>
    </w:p>
    <w:p w14:paraId="11645AC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表4.2-</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声环境监测结果      单位：dB（A）</w:t>
      </w:r>
    </w:p>
    <w:tbl>
      <w:tblPr>
        <w:tblStyle w:val="33"/>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642"/>
        <w:gridCol w:w="1743"/>
        <w:gridCol w:w="1060"/>
        <w:gridCol w:w="1060"/>
        <w:gridCol w:w="1060"/>
        <w:gridCol w:w="1060"/>
        <w:gridCol w:w="1060"/>
        <w:gridCol w:w="1072"/>
      </w:tblGrid>
      <w:tr w14:paraId="7EA35D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vMerge w:val="restart"/>
            <w:tcBorders>
              <w:tl2br w:val="nil"/>
              <w:tr2bl w:val="nil"/>
            </w:tcBorders>
            <w:noWrap w:val="0"/>
            <w:vAlign w:val="center"/>
          </w:tcPr>
          <w:p w14:paraId="4CCF35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测点</w:t>
            </w:r>
            <w:r>
              <w:rPr>
                <w:rFonts w:hint="default" w:ascii="Times New Roman" w:hAnsi="Times New Roman" w:eastAsia="宋体" w:cs="Times New Roman"/>
                <w:color w:val="auto"/>
                <w:kern w:val="0"/>
                <w:sz w:val="21"/>
                <w:szCs w:val="21"/>
                <w:highlight w:val="none"/>
                <w:lang w:bidi="ar"/>
              </w:rPr>
              <w:br w:type="textWrapping"/>
            </w:r>
            <w:r>
              <w:rPr>
                <w:rFonts w:hint="default" w:ascii="Times New Roman" w:hAnsi="Times New Roman" w:eastAsia="宋体" w:cs="Times New Roman"/>
                <w:color w:val="auto"/>
                <w:kern w:val="0"/>
                <w:sz w:val="21"/>
                <w:szCs w:val="21"/>
                <w:highlight w:val="none"/>
                <w:lang w:bidi="ar"/>
              </w:rPr>
              <w:t>编号</w:t>
            </w:r>
          </w:p>
        </w:tc>
        <w:tc>
          <w:tcPr>
            <w:tcW w:w="995" w:type="pct"/>
            <w:vMerge w:val="restart"/>
            <w:tcBorders>
              <w:tl2br w:val="nil"/>
              <w:tr2bl w:val="nil"/>
            </w:tcBorders>
            <w:noWrap w:val="0"/>
            <w:vAlign w:val="center"/>
          </w:tcPr>
          <w:p w14:paraId="5F085FF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测点位置</w:t>
            </w:r>
          </w:p>
        </w:tc>
        <w:tc>
          <w:tcPr>
            <w:tcW w:w="3637" w:type="pct"/>
            <w:gridSpan w:val="6"/>
            <w:tcBorders>
              <w:tl2br w:val="nil"/>
              <w:tr2bl w:val="nil"/>
            </w:tcBorders>
            <w:shd w:val="clear" w:color="auto" w:fill="auto"/>
            <w:noWrap w:val="0"/>
            <w:vAlign w:val="center"/>
          </w:tcPr>
          <w:p w14:paraId="7CAC754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2025年9月11日</w:t>
            </w:r>
          </w:p>
        </w:tc>
      </w:tr>
      <w:tr w14:paraId="12361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vMerge w:val="continue"/>
            <w:tcBorders>
              <w:tl2br w:val="nil"/>
              <w:tr2bl w:val="nil"/>
            </w:tcBorders>
            <w:noWrap w:val="0"/>
            <w:vAlign w:val="center"/>
          </w:tcPr>
          <w:p w14:paraId="08D1156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995" w:type="pct"/>
            <w:vMerge w:val="continue"/>
            <w:tcBorders>
              <w:tl2br w:val="nil"/>
              <w:tr2bl w:val="nil"/>
            </w:tcBorders>
            <w:noWrap w:val="0"/>
            <w:vAlign w:val="center"/>
          </w:tcPr>
          <w:p w14:paraId="473D7A8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605" w:type="pct"/>
            <w:tcBorders>
              <w:tl2br w:val="nil"/>
              <w:tr2bl w:val="nil"/>
            </w:tcBorders>
            <w:noWrap w:val="0"/>
            <w:vAlign w:val="center"/>
          </w:tcPr>
          <w:p w14:paraId="0F2C47B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测量时间</w:t>
            </w:r>
          </w:p>
        </w:tc>
        <w:tc>
          <w:tcPr>
            <w:tcW w:w="605" w:type="pct"/>
            <w:tcBorders>
              <w:tl2br w:val="nil"/>
              <w:tr2bl w:val="nil"/>
            </w:tcBorders>
            <w:noWrap w:val="0"/>
            <w:vAlign w:val="center"/>
          </w:tcPr>
          <w:p w14:paraId="5A7918E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主要噪声源</w:t>
            </w:r>
          </w:p>
        </w:tc>
        <w:tc>
          <w:tcPr>
            <w:tcW w:w="605" w:type="pct"/>
            <w:tcBorders>
              <w:tl2br w:val="nil"/>
              <w:tr2bl w:val="nil"/>
            </w:tcBorders>
            <w:noWrap w:val="0"/>
            <w:vAlign w:val="center"/>
          </w:tcPr>
          <w:p w14:paraId="66D4B10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等效声级</w:t>
            </w:r>
          </w:p>
          <w:p w14:paraId="3935C1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bidi="ar"/>
              </w:rPr>
              <w:t>dB</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A</w:t>
            </w:r>
            <w:r>
              <w:rPr>
                <w:rFonts w:hint="eastAsia" w:cs="Times New Roman"/>
                <w:color w:val="auto"/>
                <w:kern w:val="0"/>
                <w:sz w:val="21"/>
                <w:szCs w:val="21"/>
                <w:highlight w:val="none"/>
                <w:lang w:eastAsia="zh-CN" w:bidi="ar"/>
              </w:rPr>
              <w:t>)</w:t>
            </w:r>
          </w:p>
        </w:tc>
        <w:tc>
          <w:tcPr>
            <w:tcW w:w="605" w:type="pct"/>
            <w:tcBorders>
              <w:tl2br w:val="nil"/>
              <w:tr2bl w:val="nil"/>
            </w:tcBorders>
            <w:noWrap w:val="0"/>
            <w:vAlign w:val="center"/>
          </w:tcPr>
          <w:p w14:paraId="5549207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测量时间</w:t>
            </w:r>
          </w:p>
        </w:tc>
        <w:tc>
          <w:tcPr>
            <w:tcW w:w="605" w:type="pct"/>
            <w:tcBorders>
              <w:tl2br w:val="nil"/>
              <w:tr2bl w:val="nil"/>
            </w:tcBorders>
            <w:noWrap w:val="0"/>
            <w:vAlign w:val="center"/>
          </w:tcPr>
          <w:p w14:paraId="161B7BF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主要噪声源</w:t>
            </w:r>
          </w:p>
        </w:tc>
        <w:tc>
          <w:tcPr>
            <w:tcW w:w="609" w:type="pct"/>
            <w:tcBorders>
              <w:tl2br w:val="nil"/>
              <w:tr2bl w:val="nil"/>
            </w:tcBorders>
            <w:noWrap w:val="0"/>
            <w:vAlign w:val="center"/>
          </w:tcPr>
          <w:p w14:paraId="78BADB4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等效声级</w:t>
            </w:r>
          </w:p>
          <w:p w14:paraId="4243959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bidi="ar"/>
              </w:rPr>
              <w:t>dB</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A</w:t>
            </w:r>
            <w:r>
              <w:rPr>
                <w:rFonts w:hint="eastAsia" w:cs="Times New Roman"/>
                <w:color w:val="auto"/>
                <w:kern w:val="0"/>
                <w:sz w:val="21"/>
                <w:szCs w:val="21"/>
                <w:highlight w:val="none"/>
                <w:lang w:eastAsia="zh-CN" w:bidi="ar"/>
              </w:rPr>
              <w:t>)</w:t>
            </w:r>
          </w:p>
        </w:tc>
      </w:tr>
      <w:tr w14:paraId="2D1B40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tcBorders>
              <w:tl2br w:val="nil"/>
              <w:tr2bl w:val="nil"/>
            </w:tcBorders>
            <w:noWrap w:val="0"/>
            <w:vAlign w:val="center"/>
          </w:tcPr>
          <w:p w14:paraId="1FE817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vertAlign w:val="superscript"/>
              </w:rPr>
              <w:t>#</w:t>
            </w:r>
          </w:p>
        </w:tc>
        <w:tc>
          <w:tcPr>
            <w:tcW w:w="995" w:type="pct"/>
            <w:tcBorders>
              <w:tl2br w:val="nil"/>
              <w:tr2bl w:val="nil"/>
            </w:tcBorders>
            <w:noWrap w:val="0"/>
            <w:vAlign w:val="center"/>
          </w:tcPr>
          <w:p w14:paraId="6306ED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Cs/>
                <w:color w:val="auto"/>
                <w:sz w:val="21"/>
                <w:szCs w:val="21"/>
                <w:highlight w:val="none"/>
                <w:lang w:val="en-US" w:eastAsia="zh-CN"/>
              </w:rPr>
              <w:t>项目区东侧</w:t>
            </w:r>
          </w:p>
        </w:tc>
        <w:tc>
          <w:tcPr>
            <w:tcW w:w="605" w:type="pct"/>
            <w:tcBorders>
              <w:tl2br w:val="nil"/>
              <w:tr2bl w:val="nil"/>
            </w:tcBorders>
            <w:noWrap w:val="0"/>
            <w:vAlign w:val="center"/>
          </w:tcPr>
          <w:p w14:paraId="0022DB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16:08-16:18</w:t>
            </w:r>
          </w:p>
        </w:tc>
        <w:tc>
          <w:tcPr>
            <w:tcW w:w="605" w:type="pct"/>
            <w:tcBorders>
              <w:tl2br w:val="nil"/>
              <w:tr2bl w:val="nil"/>
            </w:tcBorders>
            <w:noWrap w:val="0"/>
            <w:vAlign w:val="center"/>
          </w:tcPr>
          <w:p w14:paraId="18F3D66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5" w:type="pct"/>
            <w:tcBorders>
              <w:tl2br w:val="nil"/>
              <w:tr2bl w:val="nil"/>
            </w:tcBorders>
            <w:noWrap w:val="0"/>
            <w:vAlign w:val="center"/>
          </w:tcPr>
          <w:p w14:paraId="0B40336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40</w:t>
            </w:r>
          </w:p>
        </w:tc>
        <w:tc>
          <w:tcPr>
            <w:tcW w:w="605" w:type="pct"/>
            <w:tcBorders>
              <w:tl2br w:val="nil"/>
              <w:tr2bl w:val="nil"/>
            </w:tcBorders>
            <w:noWrap w:val="0"/>
            <w:vAlign w:val="center"/>
          </w:tcPr>
          <w:p w14:paraId="6384B5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00:03-00:13</w:t>
            </w:r>
          </w:p>
        </w:tc>
        <w:tc>
          <w:tcPr>
            <w:tcW w:w="605" w:type="pct"/>
            <w:tcBorders>
              <w:tl2br w:val="nil"/>
              <w:tr2bl w:val="nil"/>
            </w:tcBorders>
            <w:noWrap w:val="0"/>
            <w:vAlign w:val="center"/>
          </w:tcPr>
          <w:p w14:paraId="4DCC9D2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9" w:type="pct"/>
            <w:tcBorders>
              <w:tl2br w:val="nil"/>
              <w:tr2bl w:val="nil"/>
            </w:tcBorders>
            <w:noWrap w:val="0"/>
            <w:vAlign w:val="center"/>
          </w:tcPr>
          <w:p w14:paraId="7691B3E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39</w:t>
            </w:r>
          </w:p>
        </w:tc>
      </w:tr>
      <w:tr w14:paraId="4AD11B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tcBorders>
              <w:tl2br w:val="nil"/>
              <w:tr2bl w:val="nil"/>
            </w:tcBorders>
            <w:noWrap w:val="0"/>
            <w:vAlign w:val="center"/>
          </w:tcPr>
          <w:p w14:paraId="7B9B49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vertAlign w:val="superscript"/>
              </w:rPr>
              <w:t>#</w:t>
            </w:r>
          </w:p>
        </w:tc>
        <w:tc>
          <w:tcPr>
            <w:tcW w:w="995" w:type="pct"/>
            <w:tcBorders>
              <w:tl2br w:val="nil"/>
              <w:tr2bl w:val="nil"/>
            </w:tcBorders>
            <w:noWrap w:val="0"/>
            <w:vAlign w:val="center"/>
          </w:tcPr>
          <w:p w14:paraId="240862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Cs/>
                <w:color w:val="auto"/>
                <w:sz w:val="21"/>
                <w:szCs w:val="21"/>
                <w:highlight w:val="none"/>
                <w:lang w:val="en-US" w:eastAsia="zh-CN"/>
              </w:rPr>
              <w:t>项目区南侧</w:t>
            </w:r>
          </w:p>
        </w:tc>
        <w:tc>
          <w:tcPr>
            <w:tcW w:w="605" w:type="pct"/>
            <w:tcBorders>
              <w:tl2br w:val="nil"/>
              <w:tr2bl w:val="nil"/>
            </w:tcBorders>
            <w:noWrap w:val="0"/>
            <w:vAlign w:val="center"/>
          </w:tcPr>
          <w:p w14:paraId="7E97109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16:33-16:43</w:t>
            </w:r>
          </w:p>
        </w:tc>
        <w:tc>
          <w:tcPr>
            <w:tcW w:w="605" w:type="pct"/>
            <w:tcBorders>
              <w:tl2br w:val="nil"/>
              <w:tr2bl w:val="nil"/>
            </w:tcBorders>
            <w:noWrap w:val="0"/>
            <w:vAlign w:val="center"/>
          </w:tcPr>
          <w:p w14:paraId="29708A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bidi="ar"/>
              </w:rPr>
              <w:t>环境</w:t>
            </w:r>
          </w:p>
        </w:tc>
        <w:tc>
          <w:tcPr>
            <w:tcW w:w="605" w:type="pct"/>
            <w:tcBorders>
              <w:tl2br w:val="nil"/>
              <w:tr2bl w:val="nil"/>
            </w:tcBorders>
            <w:noWrap w:val="0"/>
            <w:vAlign w:val="center"/>
          </w:tcPr>
          <w:p w14:paraId="2694AC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42</w:t>
            </w:r>
          </w:p>
        </w:tc>
        <w:tc>
          <w:tcPr>
            <w:tcW w:w="605" w:type="pct"/>
            <w:tcBorders>
              <w:tl2br w:val="nil"/>
              <w:tr2bl w:val="nil"/>
            </w:tcBorders>
            <w:noWrap w:val="0"/>
            <w:vAlign w:val="center"/>
          </w:tcPr>
          <w:p w14:paraId="0A31256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00:33-00:43</w:t>
            </w:r>
          </w:p>
        </w:tc>
        <w:tc>
          <w:tcPr>
            <w:tcW w:w="605" w:type="pct"/>
            <w:tcBorders>
              <w:tl2br w:val="nil"/>
              <w:tr2bl w:val="nil"/>
            </w:tcBorders>
            <w:noWrap w:val="0"/>
            <w:vAlign w:val="center"/>
          </w:tcPr>
          <w:p w14:paraId="0634F14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9" w:type="pct"/>
            <w:tcBorders>
              <w:tl2br w:val="nil"/>
              <w:tr2bl w:val="nil"/>
            </w:tcBorders>
            <w:noWrap w:val="0"/>
            <w:vAlign w:val="center"/>
          </w:tcPr>
          <w:p w14:paraId="48B0D64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41</w:t>
            </w:r>
          </w:p>
        </w:tc>
      </w:tr>
      <w:tr w14:paraId="0FD185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tcBorders>
              <w:tl2br w:val="nil"/>
              <w:tr2bl w:val="nil"/>
            </w:tcBorders>
            <w:noWrap w:val="0"/>
            <w:vAlign w:val="center"/>
          </w:tcPr>
          <w:p w14:paraId="77F0D5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vertAlign w:val="superscript"/>
              </w:rPr>
              <w:t>#</w:t>
            </w:r>
          </w:p>
        </w:tc>
        <w:tc>
          <w:tcPr>
            <w:tcW w:w="995" w:type="pct"/>
            <w:tcBorders>
              <w:tl2br w:val="nil"/>
              <w:tr2bl w:val="nil"/>
            </w:tcBorders>
            <w:noWrap w:val="0"/>
            <w:vAlign w:val="center"/>
          </w:tcPr>
          <w:p w14:paraId="1CE1CE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Cs/>
                <w:color w:val="auto"/>
                <w:sz w:val="21"/>
                <w:szCs w:val="21"/>
                <w:highlight w:val="none"/>
                <w:lang w:val="en-US" w:eastAsia="zh-CN"/>
              </w:rPr>
              <w:t>项目区西侧</w:t>
            </w:r>
          </w:p>
        </w:tc>
        <w:tc>
          <w:tcPr>
            <w:tcW w:w="605" w:type="pct"/>
            <w:tcBorders>
              <w:tl2br w:val="nil"/>
              <w:tr2bl w:val="nil"/>
            </w:tcBorders>
            <w:noWrap w:val="0"/>
            <w:vAlign w:val="center"/>
          </w:tcPr>
          <w:p w14:paraId="19277C8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16:56-17:06</w:t>
            </w:r>
          </w:p>
        </w:tc>
        <w:tc>
          <w:tcPr>
            <w:tcW w:w="605" w:type="pct"/>
            <w:tcBorders>
              <w:tl2br w:val="nil"/>
              <w:tr2bl w:val="nil"/>
            </w:tcBorders>
            <w:noWrap w:val="0"/>
            <w:vAlign w:val="center"/>
          </w:tcPr>
          <w:p w14:paraId="0BFC09B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bidi="ar"/>
              </w:rPr>
              <w:t>环境</w:t>
            </w:r>
          </w:p>
        </w:tc>
        <w:tc>
          <w:tcPr>
            <w:tcW w:w="605" w:type="pct"/>
            <w:tcBorders>
              <w:tl2br w:val="nil"/>
              <w:tr2bl w:val="nil"/>
            </w:tcBorders>
            <w:noWrap w:val="0"/>
            <w:vAlign w:val="center"/>
          </w:tcPr>
          <w:p w14:paraId="065545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42</w:t>
            </w:r>
          </w:p>
        </w:tc>
        <w:tc>
          <w:tcPr>
            <w:tcW w:w="605" w:type="pct"/>
            <w:tcBorders>
              <w:tl2br w:val="nil"/>
              <w:tr2bl w:val="nil"/>
            </w:tcBorders>
            <w:noWrap w:val="0"/>
            <w:vAlign w:val="center"/>
          </w:tcPr>
          <w:p w14:paraId="42894D2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00:55-01:05</w:t>
            </w:r>
          </w:p>
        </w:tc>
        <w:tc>
          <w:tcPr>
            <w:tcW w:w="605" w:type="pct"/>
            <w:tcBorders>
              <w:tl2br w:val="nil"/>
              <w:tr2bl w:val="nil"/>
            </w:tcBorders>
            <w:noWrap w:val="0"/>
            <w:vAlign w:val="center"/>
          </w:tcPr>
          <w:p w14:paraId="3E73CA1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9" w:type="pct"/>
            <w:tcBorders>
              <w:tl2br w:val="nil"/>
              <w:tr2bl w:val="nil"/>
            </w:tcBorders>
            <w:noWrap w:val="0"/>
            <w:vAlign w:val="center"/>
          </w:tcPr>
          <w:p w14:paraId="091D19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37</w:t>
            </w:r>
          </w:p>
        </w:tc>
      </w:tr>
      <w:tr w14:paraId="2B38E4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tcBorders>
              <w:tl2br w:val="nil"/>
              <w:tr2bl w:val="nil"/>
            </w:tcBorders>
            <w:noWrap w:val="0"/>
            <w:vAlign w:val="center"/>
          </w:tcPr>
          <w:p w14:paraId="5E0C70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vertAlign w:val="superscript"/>
              </w:rPr>
              <w:t>#</w:t>
            </w:r>
          </w:p>
        </w:tc>
        <w:tc>
          <w:tcPr>
            <w:tcW w:w="995" w:type="pct"/>
            <w:tcBorders>
              <w:tl2br w:val="nil"/>
              <w:tr2bl w:val="nil"/>
            </w:tcBorders>
            <w:noWrap w:val="0"/>
            <w:vAlign w:val="center"/>
          </w:tcPr>
          <w:p w14:paraId="2EDC12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项目区北侧</w:t>
            </w:r>
          </w:p>
        </w:tc>
        <w:tc>
          <w:tcPr>
            <w:tcW w:w="605" w:type="pct"/>
            <w:tcBorders>
              <w:tl2br w:val="nil"/>
              <w:tr2bl w:val="nil"/>
            </w:tcBorders>
            <w:noWrap w:val="0"/>
            <w:vAlign w:val="center"/>
          </w:tcPr>
          <w:p w14:paraId="6CC5E4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17:19-17:29</w:t>
            </w:r>
          </w:p>
        </w:tc>
        <w:tc>
          <w:tcPr>
            <w:tcW w:w="605" w:type="pct"/>
            <w:tcBorders>
              <w:tl2br w:val="nil"/>
              <w:tr2bl w:val="nil"/>
            </w:tcBorders>
            <w:noWrap w:val="0"/>
            <w:vAlign w:val="center"/>
          </w:tcPr>
          <w:p w14:paraId="1336662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bidi="ar"/>
              </w:rPr>
              <w:t>环境</w:t>
            </w:r>
          </w:p>
        </w:tc>
        <w:tc>
          <w:tcPr>
            <w:tcW w:w="605" w:type="pct"/>
            <w:tcBorders>
              <w:tl2br w:val="nil"/>
              <w:tr2bl w:val="nil"/>
            </w:tcBorders>
            <w:noWrap w:val="0"/>
            <w:vAlign w:val="center"/>
          </w:tcPr>
          <w:p w14:paraId="5ED6DBB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44</w:t>
            </w:r>
          </w:p>
        </w:tc>
        <w:tc>
          <w:tcPr>
            <w:tcW w:w="605" w:type="pct"/>
            <w:tcBorders>
              <w:tl2br w:val="nil"/>
              <w:tr2bl w:val="nil"/>
            </w:tcBorders>
            <w:noWrap w:val="0"/>
            <w:vAlign w:val="center"/>
          </w:tcPr>
          <w:p w14:paraId="0A0FD9C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01:25-01:35</w:t>
            </w:r>
          </w:p>
        </w:tc>
        <w:tc>
          <w:tcPr>
            <w:tcW w:w="605" w:type="pct"/>
            <w:tcBorders>
              <w:tl2br w:val="nil"/>
              <w:tr2bl w:val="nil"/>
            </w:tcBorders>
            <w:noWrap w:val="0"/>
            <w:vAlign w:val="center"/>
          </w:tcPr>
          <w:p w14:paraId="71BE987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9" w:type="pct"/>
            <w:tcBorders>
              <w:tl2br w:val="nil"/>
              <w:tr2bl w:val="nil"/>
            </w:tcBorders>
            <w:noWrap w:val="0"/>
            <w:vAlign w:val="center"/>
          </w:tcPr>
          <w:p w14:paraId="67E95C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37</w:t>
            </w:r>
          </w:p>
        </w:tc>
      </w:tr>
    </w:tbl>
    <w:p w14:paraId="18988ED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根据上表可知，项目厂</w:t>
      </w:r>
      <w:r>
        <w:rPr>
          <w:rFonts w:hint="eastAsia" w:cs="Times New Roman"/>
          <w:color w:val="auto"/>
          <w:highlight w:val="none"/>
          <w:lang w:val="en-US" w:eastAsia="zh-CN"/>
        </w:rPr>
        <w:t>界</w:t>
      </w:r>
      <w:r>
        <w:rPr>
          <w:rFonts w:hint="default" w:ascii="Times New Roman" w:hAnsi="Times New Roman" w:cs="Times New Roman"/>
          <w:color w:val="auto"/>
          <w:highlight w:val="none"/>
        </w:rPr>
        <w:t>现状噪声满足《声环境质量标准》（GB3096-2008）中的3类声环境功能区标准限值要求。</w:t>
      </w:r>
    </w:p>
    <w:p w14:paraId="647281C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4.2.3 土壤环境质量现状调查</w:t>
      </w:r>
    </w:p>
    <w:p w14:paraId="06C2CA1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（1）监测点位</w:t>
      </w:r>
    </w:p>
    <w:p w14:paraId="5C2342D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本项目土壤评价等级为一级评价，评价范围内仅有一种土壤类型——</w:t>
      </w:r>
      <w:r>
        <w:rPr>
          <w:rFonts w:hint="eastAsia" w:cs="Times New Roman"/>
          <w:color w:val="auto"/>
          <w:kern w:val="0"/>
          <w:highlight w:val="none"/>
          <w:lang w:eastAsia="zh-CN" w:bidi="ar"/>
        </w:rPr>
        <w:t>荒漠风沙土</w:t>
      </w:r>
      <w:r>
        <w:rPr>
          <w:rFonts w:hint="default" w:ascii="Times New Roman" w:hAnsi="Times New Roman" w:cs="Times New Roman"/>
          <w:color w:val="auto"/>
          <w:kern w:val="0"/>
          <w:highlight w:val="none"/>
          <w:lang w:bidi="ar"/>
        </w:rPr>
        <w:t>（见</w:t>
      </w:r>
      <w:r>
        <w:rPr>
          <w:rFonts w:hint="eastAsia" w:cs="Times New Roman"/>
          <w:color w:val="auto"/>
          <w:kern w:val="0"/>
          <w:highlight w:val="none"/>
          <w:lang w:val="en-US" w:eastAsia="zh-CN" w:bidi="ar"/>
        </w:rPr>
        <w:t>附图6</w:t>
      </w:r>
      <w:r>
        <w:rPr>
          <w:rFonts w:hint="default" w:ascii="Times New Roman" w:hAnsi="Times New Roman" w:cs="Times New Roman"/>
          <w:color w:val="auto"/>
          <w:kern w:val="0"/>
          <w:highlight w:val="none"/>
          <w:lang w:bidi="ar"/>
        </w:rPr>
        <w:t>）</w:t>
      </w:r>
      <w:r>
        <w:rPr>
          <w:rFonts w:hint="default" w:ascii="Times New Roman" w:hAnsi="Times New Roman" w:cs="Times New Roman"/>
          <w:color w:val="auto"/>
          <w:highlight w:val="none"/>
        </w:rPr>
        <w:t>。本次在占地范围内布设7个监测点（其中5个柱状样、2个表层样），占地范围外布设</w:t>
      </w:r>
      <w:r>
        <w:rPr>
          <w:rFonts w:hint="eastAsia" w:cs="Times New Roman"/>
          <w:color w:val="auto"/>
          <w:highlight w:val="none"/>
          <w:lang w:val="en-US" w:eastAsia="zh-CN"/>
        </w:rPr>
        <w:t>4</w:t>
      </w:r>
      <w:r>
        <w:rPr>
          <w:rFonts w:hint="default" w:ascii="Times New Roman" w:hAnsi="Times New Roman" w:cs="Times New Roman"/>
          <w:color w:val="auto"/>
          <w:highlight w:val="none"/>
        </w:rPr>
        <w:t>个表层样。具体监测点坐标见表4.2-5和</w:t>
      </w:r>
      <w:r>
        <w:rPr>
          <w:rFonts w:hint="eastAsia" w:cs="Times New Roman"/>
          <w:color w:val="auto"/>
          <w:highlight w:val="none"/>
          <w:lang w:val="en-US" w:eastAsia="zh-CN"/>
        </w:rPr>
        <w:t>附图5</w:t>
      </w:r>
      <w:r>
        <w:rPr>
          <w:rFonts w:hint="default" w:ascii="Times New Roman" w:hAnsi="Times New Roman" w:cs="Times New Roman"/>
          <w:color w:val="auto"/>
          <w:highlight w:val="none"/>
        </w:rPr>
        <w:t>。</w:t>
      </w:r>
    </w:p>
    <w:p w14:paraId="5449CF9D">
      <w:pPr>
        <w:pStyle w:val="50"/>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表4.2-</w:t>
      </w:r>
      <w:r>
        <w:rPr>
          <w:rFonts w:hint="eastAsia" w:asci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 xml:space="preserve">  土壤现状监测点位布设情况一览表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106"/>
        <w:gridCol w:w="2747"/>
        <w:gridCol w:w="2545"/>
      </w:tblGrid>
      <w:tr w14:paraId="30ED6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864" w:type="pct"/>
            <w:tcBorders>
              <w:tl2br w:val="nil"/>
              <w:tr2bl w:val="nil"/>
            </w:tcBorders>
            <w:noWrap w:val="0"/>
            <w:vAlign w:val="center"/>
          </w:tcPr>
          <w:p w14:paraId="570463B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1177" w:type="pct"/>
            <w:tcBorders>
              <w:tl2br w:val="nil"/>
              <w:tr2bl w:val="nil"/>
            </w:tcBorders>
            <w:noWrap w:val="0"/>
            <w:vAlign w:val="center"/>
          </w:tcPr>
          <w:p w14:paraId="5256663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监测点名称</w:t>
            </w:r>
          </w:p>
        </w:tc>
        <w:tc>
          <w:tcPr>
            <w:tcW w:w="1535" w:type="pct"/>
            <w:tcBorders>
              <w:tl2br w:val="nil"/>
              <w:tr2bl w:val="nil"/>
            </w:tcBorders>
            <w:noWrap w:val="0"/>
            <w:vAlign w:val="center"/>
          </w:tcPr>
          <w:p w14:paraId="4CE29DE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点位</w:t>
            </w:r>
          </w:p>
        </w:tc>
        <w:tc>
          <w:tcPr>
            <w:tcW w:w="1422" w:type="pct"/>
            <w:tcBorders>
              <w:tl2br w:val="nil"/>
              <w:tr2bl w:val="nil"/>
            </w:tcBorders>
            <w:noWrap w:val="0"/>
            <w:vAlign w:val="center"/>
          </w:tcPr>
          <w:p w14:paraId="0AA199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深度</w:t>
            </w:r>
          </w:p>
        </w:tc>
      </w:tr>
      <w:tr w14:paraId="75F43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0F8973B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T1</w:t>
            </w:r>
          </w:p>
        </w:tc>
        <w:tc>
          <w:tcPr>
            <w:tcW w:w="1177" w:type="pct"/>
            <w:tcBorders>
              <w:tl2br w:val="nil"/>
              <w:tr2bl w:val="nil"/>
            </w:tcBorders>
            <w:noWrap w:val="0"/>
            <w:vAlign w:val="center"/>
          </w:tcPr>
          <w:p w14:paraId="6A860538">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占地范围内</w:t>
            </w:r>
          </w:p>
        </w:tc>
        <w:tc>
          <w:tcPr>
            <w:tcW w:w="1535" w:type="pct"/>
            <w:tcBorders>
              <w:tl2br w:val="nil"/>
              <w:tr2bl w:val="nil"/>
            </w:tcBorders>
            <w:noWrap w:val="0"/>
            <w:vAlign w:val="center"/>
          </w:tcPr>
          <w:p w14:paraId="690A5D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89°49′36.57″</w:t>
            </w:r>
          </w:p>
          <w:p w14:paraId="7A2180D9">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42°37′13.68″</w:t>
            </w:r>
          </w:p>
        </w:tc>
        <w:tc>
          <w:tcPr>
            <w:tcW w:w="1422" w:type="pct"/>
            <w:tcBorders>
              <w:tl2br w:val="nil"/>
              <w:tr2bl w:val="nil"/>
            </w:tcBorders>
            <w:noWrap w:val="0"/>
            <w:vAlign w:val="center"/>
          </w:tcPr>
          <w:p w14:paraId="07A256EA">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kern w:val="2"/>
                <w:sz w:val="21"/>
                <w:szCs w:val="21"/>
                <w:highlight w:val="none"/>
                <w:lang w:val="en-US" w:eastAsia="zh-CN" w:bidi="ar-SA"/>
              </w:rPr>
              <w:t>17cm</w:t>
            </w:r>
          </w:p>
        </w:tc>
      </w:tr>
      <w:tr w14:paraId="5410A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864" w:type="pct"/>
            <w:tcBorders>
              <w:tl2br w:val="nil"/>
              <w:tr2bl w:val="nil"/>
            </w:tcBorders>
            <w:noWrap w:val="0"/>
            <w:vAlign w:val="center"/>
          </w:tcPr>
          <w:p w14:paraId="45E5947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T2</w:t>
            </w:r>
          </w:p>
        </w:tc>
        <w:tc>
          <w:tcPr>
            <w:tcW w:w="1177" w:type="pct"/>
            <w:tcBorders>
              <w:tl2br w:val="nil"/>
              <w:tr2bl w:val="nil"/>
            </w:tcBorders>
            <w:noWrap w:val="0"/>
            <w:vAlign w:val="center"/>
          </w:tcPr>
          <w:p w14:paraId="487BE69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w:t>
            </w:r>
          </w:p>
        </w:tc>
        <w:tc>
          <w:tcPr>
            <w:tcW w:w="1535" w:type="pct"/>
            <w:tcBorders>
              <w:tl2br w:val="nil"/>
              <w:tr2bl w:val="nil"/>
            </w:tcBorders>
            <w:noWrap w:val="0"/>
            <w:vAlign w:val="center"/>
          </w:tcPr>
          <w:p w14:paraId="20E67B1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89°49′41.67″</w:t>
            </w:r>
          </w:p>
          <w:p w14:paraId="39810BF4">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42°37′7.15</w:t>
            </w:r>
          </w:p>
        </w:tc>
        <w:tc>
          <w:tcPr>
            <w:tcW w:w="1422" w:type="pct"/>
            <w:tcBorders>
              <w:tl2br w:val="nil"/>
              <w:tr2bl w:val="nil"/>
            </w:tcBorders>
            <w:noWrap w:val="0"/>
            <w:vAlign w:val="center"/>
          </w:tcPr>
          <w:p w14:paraId="7343E612">
            <w:pPr>
              <w:keepNext w:val="0"/>
              <w:keepLines w:val="0"/>
              <w:pageBreakBefore w:val="0"/>
              <w:widowControl/>
              <w:tabs>
                <w:tab w:val="left" w:pos="45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bidi="ar-SA"/>
              </w:rPr>
              <w:t>16cm</w:t>
            </w:r>
          </w:p>
        </w:tc>
      </w:tr>
      <w:tr w14:paraId="591D3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64" w:type="pct"/>
            <w:tcBorders>
              <w:tl2br w:val="nil"/>
              <w:tr2bl w:val="nil"/>
            </w:tcBorders>
            <w:noWrap w:val="0"/>
            <w:vAlign w:val="center"/>
          </w:tcPr>
          <w:p w14:paraId="58135FB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T3</w:t>
            </w:r>
          </w:p>
        </w:tc>
        <w:tc>
          <w:tcPr>
            <w:tcW w:w="1177" w:type="pct"/>
            <w:tcBorders>
              <w:tl2br w:val="nil"/>
              <w:tr2bl w:val="nil"/>
            </w:tcBorders>
            <w:noWrap w:val="0"/>
            <w:vAlign w:val="center"/>
          </w:tcPr>
          <w:p w14:paraId="59D7E1B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w:t>
            </w:r>
          </w:p>
        </w:tc>
        <w:tc>
          <w:tcPr>
            <w:tcW w:w="1535" w:type="pct"/>
            <w:tcBorders>
              <w:tl2br w:val="nil"/>
              <w:tr2bl w:val="nil"/>
            </w:tcBorders>
            <w:noWrap w:val="0"/>
            <w:vAlign w:val="center"/>
          </w:tcPr>
          <w:p w14:paraId="08E9D7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89°49′41.63″</w:t>
            </w:r>
          </w:p>
          <w:p w14:paraId="0CA45AE8">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42°37′14.76″</w:t>
            </w:r>
          </w:p>
        </w:tc>
        <w:tc>
          <w:tcPr>
            <w:tcW w:w="1422" w:type="pct"/>
            <w:tcBorders>
              <w:tl2br w:val="nil"/>
              <w:tr2bl w:val="nil"/>
            </w:tcBorders>
            <w:noWrap w:val="0"/>
            <w:vAlign w:val="center"/>
          </w:tcPr>
          <w:p w14:paraId="52C92E9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snapToGrid w:val="0"/>
                <w:color w:val="auto"/>
                <w:sz w:val="21"/>
                <w:szCs w:val="21"/>
                <w:highlight w:val="none"/>
                <w:lang w:val="en-US" w:eastAsia="zh-CN"/>
              </w:rPr>
              <w:t>24</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snapToGrid w:val="0"/>
                <w:color w:val="auto"/>
                <w:sz w:val="21"/>
                <w:szCs w:val="21"/>
                <w:highlight w:val="none"/>
                <w:lang w:val="en-US" w:eastAsia="zh-CN"/>
              </w:rPr>
              <w:t>110</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snapToGrid w:val="0"/>
                <w:color w:val="auto"/>
                <w:sz w:val="21"/>
                <w:szCs w:val="21"/>
                <w:highlight w:val="none"/>
                <w:lang w:val="en-US" w:eastAsia="zh-CN"/>
              </w:rPr>
              <w:t>、180</w:t>
            </w:r>
            <w:r>
              <w:rPr>
                <w:rFonts w:hint="default" w:ascii="Times New Roman" w:hAnsi="Times New Roman" w:eastAsia="宋体" w:cs="Times New Roman"/>
                <w:color w:val="auto"/>
                <w:spacing w:val="-6"/>
                <w:kern w:val="2"/>
                <w:sz w:val="21"/>
                <w:szCs w:val="21"/>
                <w:highlight w:val="none"/>
                <w:lang w:val="en-US" w:eastAsia="zh-CN" w:bidi="ar-SA"/>
              </w:rPr>
              <w:t>cm</w:t>
            </w:r>
          </w:p>
        </w:tc>
      </w:tr>
      <w:tr w14:paraId="5160B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64" w:type="pct"/>
            <w:tcBorders>
              <w:tl2br w:val="nil"/>
              <w:tr2bl w:val="nil"/>
            </w:tcBorders>
            <w:noWrap w:val="0"/>
            <w:vAlign w:val="center"/>
          </w:tcPr>
          <w:p w14:paraId="008A63E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T4</w:t>
            </w:r>
          </w:p>
        </w:tc>
        <w:tc>
          <w:tcPr>
            <w:tcW w:w="1177" w:type="pct"/>
            <w:tcBorders>
              <w:tl2br w:val="nil"/>
              <w:tr2bl w:val="nil"/>
            </w:tcBorders>
            <w:noWrap w:val="0"/>
            <w:vAlign w:val="center"/>
          </w:tcPr>
          <w:p w14:paraId="54D88D9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w:t>
            </w:r>
          </w:p>
        </w:tc>
        <w:tc>
          <w:tcPr>
            <w:tcW w:w="1535" w:type="pct"/>
            <w:tcBorders>
              <w:tl2br w:val="nil"/>
              <w:tr2bl w:val="nil"/>
            </w:tcBorders>
            <w:noWrap w:val="0"/>
            <w:vAlign w:val="center"/>
          </w:tcPr>
          <w:p w14:paraId="54037E94">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E</w:t>
            </w:r>
            <w:r>
              <w:rPr>
                <w:rFonts w:hint="eastAsia" w:ascii="Times New Roman" w:hAnsi="Times New Roman" w:cs="Times New Roman"/>
                <w:color w:val="auto"/>
                <w:sz w:val="21"/>
                <w:szCs w:val="21"/>
                <w:highlight w:val="none"/>
                <w:lang w:val="en-US" w:eastAsia="zh-CN" w:bidi="en-US"/>
              </w:rPr>
              <w:t>:</w:t>
            </w:r>
            <w:r>
              <w:rPr>
                <w:rFonts w:hint="default" w:ascii="Times New Roman" w:hAnsi="Times New Roman" w:eastAsia="宋体" w:cs="Times New Roman"/>
                <w:color w:val="auto"/>
                <w:sz w:val="21"/>
                <w:szCs w:val="21"/>
                <w:highlight w:val="none"/>
                <w:lang w:val="en-US" w:eastAsia="en-US" w:bidi="en-US"/>
              </w:rPr>
              <w:t>89°49′38.51″</w:t>
            </w:r>
          </w:p>
          <w:p w14:paraId="4D861E7B">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N</w:t>
            </w:r>
            <w:r>
              <w:rPr>
                <w:rFonts w:hint="eastAsia" w:ascii="Times New Roman" w:hAnsi="Times New Roman" w:cs="Times New Roman"/>
                <w:color w:val="auto"/>
                <w:sz w:val="21"/>
                <w:szCs w:val="21"/>
                <w:highlight w:val="none"/>
                <w:lang w:val="en-US" w:eastAsia="zh-CN" w:bidi="en-US"/>
              </w:rPr>
              <w:t>:</w:t>
            </w:r>
            <w:r>
              <w:rPr>
                <w:rFonts w:hint="default" w:ascii="Times New Roman" w:hAnsi="Times New Roman" w:eastAsia="宋体" w:cs="Times New Roman"/>
                <w:color w:val="auto"/>
                <w:sz w:val="21"/>
                <w:szCs w:val="21"/>
                <w:highlight w:val="none"/>
                <w:lang w:val="en-US" w:eastAsia="en-US" w:bidi="en-US"/>
              </w:rPr>
              <w:t>42°37′5.61″</w:t>
            </w:r>
          </w:p>
        </w:tc>
        <w:tc>
          <w:tcPr>
            <w:tcW w:w="1422" w:type="pct"/>
            <w:tcBorders>
              <w:tl2br w:val="nil"/>
              <w:tr2bl w:val="nil"/>
            </w:tcBorders>
            <w:noWrap w:val="0"/>
            <w:vAlign w:val="center"/>
          </w:tcPr>
          <w:p w14:paraId="57020E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25</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snapToGrid w:val="0"/>
                <w:color w:val="auto"/>
                <w:sz w:val="21"/>
                <w:szCs w:val="21"/>
                <w:highlight w:val="none"/>
                <w:lang w:val="en-US" w:eastAsia="zh-CN"/>
              </w:rPr>
              <w:t>115</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snapToGrid w:val="0"/>
                <w:color w:val="auto"/>
                <w:sz w:val="21"/>
                <w:szCs w:val="21"/>
                <w:highlight w:val="none"/>
                <w:lang w:val="en-US" w:eastAsia="zh-CN"/>
              </w:rPr>
              <w:t>、170</w:t>
            </w:r>
            <w:r>
              <w:rPr>
                <w:rFonts w:hint="default" w:ascii="Times New Roman" w:hAnsi="Times New Roman" w:eastAsia="宋体" w:cs="Times New Roman"/>
                <w:color w:val="auto"/>
                <w:spacing w:val="-6"/>
                <w:kern w:val="2"/>
                <w:sz w:val="21"/>
                <w:szCs w:val="21"/>
                <w:highlight w:val="none"/>
                <w:lang w:val="en-US" w:eastAsia="zh-CN" w:bidi="ar-SA"/>
              </w:rPr>
              <w:t>cm</w:t>
            </w:r>
          </w:p>
        </w:tc>
      </w:tr>
      <w:tr w14:paraId="6C286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3E7759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T5</w:t>
            </w:r>
          </w:p>
        </w:tc>
        <w:tc>
          <w:tcPr>
            <w:tcW w:w="1177" w:type="pct"/>
            <w:tcBorders>
              <w:tl2br w:val="nil"/>
              <w:tr2bl w:val="nil"/>
            </w:tcBorders>
            <w:noWrap w:val="0"/>
            <w:vAlign w:val="center"/>
          </w:tcPr>
          <w:p w14:paraId="4A7851D6">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占地范围内</w:t>
            </w:r>
          </w:p>
        </w:tc>
        <w:tc>
          <w:tcPr>
            <w:tcW w:w="1535" w:type="pct"/>
            <w:tcBorders>
              <w:tl2br w:val="nil"/>
              <w:tr2bl w:val="nil"/>
            </w:tcBorders>
            <w:noWrap w:val="0"/>
            <w:vAlign w:val="center"/>
          </w:tcPr>
          <w:p w14:paraId="420E064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89°49′31.86″</w:t>
            </w:r>
          </w:p>
          <w:p w14:paraId="2D19CC9E">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42°37′14.41″</w:t>
            </w:r>
          </w:p>
        </w:tc>
        <w:tc>
          <w:tcPr>
            <w:tcW w:w="1422" w:type="pct"/>
            <w:tcBorders>
              <w:tl2br w:val="nil"/>
              <w:tr2bl w:val="nil"/>
            </w:tcBorders>
            <w:noWrap w:val="0"/>
            <w:vAlign w:val="center"/>
          </w:tcPr>
          <w:p w14:paraId="0D1085C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43</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116</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183</w:t>
            </w:r>
            <w:r>
              <w:rPr>
                <w:rFonts w:hint="default" w:ascii="Times New Roman" w:hAnsi="Times New Roman" w:eastAsia="宋体" w:cs="Times New Roman"/>
                <w:color w:val="auto"/>
                <w:spacing w:val="-6"/>
                <w:kern w:val="2"/>
                <w:sz w:val="21"/>
                <w:szCs w:val="21"/>
                <w:highlight w:val="none"/>
                <w:lang w:val="en-US" w:eastAsia="zh-CN" w:bidi="ar-SA"/>
              </w:rPr>
              <w:t>cm</w:t>
            </w:r>
          </w:p>
        </w:tc>
      </w:tr>
      <w:tr w14:paraId="1E10D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434645D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T6</w:t>
            </w:r>
          </w:p>
        </w:tc>
        <w:tc>
          <w:tcPr>
            <w:tcW w:w="1177" w:type="pct"/>
            <w:tcBorders>
              <w:tl2br w:val="nil"/>
              <w:tr2bl w:val="nil"/>
            </w:tcBorders>
            <w:noWrap w:val="0"/>
            <w:vAlign w:val="center"/>
          </w:tcPr>
          <w:p w14:paraId="11F0D965">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占地范围内</w:t>
            </w:r>
          </w:p>
        </w:tc>
        <w:tc>
          <w:tcPr>
            <w:tcW w:w="1535" w:type="pct"/>
            <w:tcBorders>
              <w:tl2br w:val="nil"/>
              <w:tr2bl w:val="nil"/>
            </w:tcBorders>
            <w:noWrap w:val="0"/>
            <w:vAlign w:val="center"/>
          </w:tcPr>
          <w:p w14:paraId="6655DC8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89°49′43.32″</w:t>
            </w:r>
          </w:p>
          <w:p w14:paraId="30A90EA1">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42°37′10.28″</w:t>
            </w:r>
          </w:p>
        </w:tc>
        <w:tc>
          <w:tcPr>
            <w:tcW w:w="1422" w:type="pct"/>
            <w:tcBorders>
              <w:tl2br w:val="nil"/>
              <w:tr2bl w:val="nil"/>
            </w:tcBorders>
            <w:noWrap w:val="0"/>
            <w:vAlign w:val="center"/>
          </w:tcPr>
          <w:p w14:paraId="5BF918E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33</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125</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188</w:t>
            </w:r>
            <w:r>
              <w:rPr>
                <w:rFonts w:hint="default" w:ascii="Times New Roman" w:hAnsi="Times New Roman" w:eastAsia="宋体" w:cs="Times New Roman"/>
                <w:color w:val="auto"/>
                <w:spacing w:val="-6"/>
                <w:kern w:val="2"/>
                <w:sz w:val="21"/>
                <w:szCs w:val="21"/>
                <w:highlight w:val="none"/>
                <w:lang w:val="en-US" w:eastAsia="zh-CN" w:bidi="ar-SA"/>
              </w:rPr>
              <w:t>cm</w:t>
            </w:r>
          </w:p>
        </w:tc>
      </w:tr>
      <w:tr w14:paraId="67A48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2274A1F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7</w:t>
            </w:r>
          </w:p>
        </w:tc>
        <w:tc>
          <w:tcPr>
            <w:tcW w:w="1177" w:type="pct"/>
            <w:tcBorders>
              <w:tl2br w:val="nil"/>
              <w:tr2bl w:val="nil"/>
            </w:tcBorders>
            <w:noWrap w:val="0"/>
            <w:vAlign w:val="center"/>
          </w:tcPr>
          <w:p w14:paraId="0D88088D">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占地范围内</w:t>
            </w:r>
          </w:p>
        </w:tc>
        <w:tc>
          <w:tcPr>
            <w:tcW w:w="1535" w:type="pct"/>
            <w:tcBorders>
              <w:tl2br w:val="nil"/>
              <w:tr2bl w:val="nil"/>
            </w:tcBorders>
            <w:noWrap w:val="0"/>
            <w:vAlign w:val="center"/>
          </w:tcPr>
          <w:p w14:paraId="640D91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89°49′35.42″</w:t>
            </w:r>
          </w:p>
          <w:p w14:paraId="2A19CABC">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42°37′8.51″</w:t>
            </w:r>
          </w:p>
        </w:tc>
        <w:tc>
          <w:tcPr>
            <w:tcW w:w="1422" w:type="pct"/>
            <w:tcBorders>
              <w:tl2br w:val="nil"/>
              <w:tr2bl w:val="nil"/>
            </w:tcBorders>
            <w:noWrap w:val="0"/>
            <w:vAlign w:val="center"/>
          </w:tcPr>
          <w:p w14:paraId="337D71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35</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112</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184</w:t>
            </w:r>
            <w:r>
              <w:rPr>
                <w:rFonts w:hint="default" w:ascii="Times New Roman" w:hAnsi="Times New Roman" w:eastAsia="宋体" w:cs="Times New Roman"/>
                <w:color w:val="auto"/>
                <w:spacing w:val="-6"/>
                <w:kern w:val="2"/>
                <w:sz w:val="21"/>
                <w:szCs w:val="21"/>
                <w:highlight w:val="none"/>
                <w:lang w:val="en-US" w:eastAsia="zh-CN" w:bidi="ar-SA"/>
              </w:rPr>
              <w:t>cm</w:t>
            </w:r>
          </w:p>
        </w:tc>
      </w:tr>
      <w:tr w14:paraId="5D776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771E91C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8</w:t>
            </w:r>
          </w:p>
        </w:tc>
        <w:tc>
          <w:tcPr>
            <w:tcW w:w="1177" w:type="pct"/>
            <w:tcBorders>
              <w:tl2br w:val="nil"/>
              <w:tr2bl w:val="nil"/>
            </w:tcBorders>
            <w:noWrap w:val="0"/>
            <w:vAlign w:val="center"/>
          </w:tcPr>
          <w:p w14:paraId="39EA8C50">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占地范围外西北方向500m农田</w:t>
            </w:r>
          </w:p>
        </w:tc>
        <w:tc>
          <w:tcPr>
            <w:tcW w:w="1535" w:type="pct"/>
            <w:tcBorders>
              <w:tl2br w:val="nil"/>
              <w:tr2bl w:val="nil"/>
            </w:tcBorders>
            <w:noWrap w:val="0"/>
            <w:vAlign w:val="center"/>
          </w:tcPr>
          <w:p w14:paraId="1F55C27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89°49′27.54″</w:t>
            </w:r>
          </w:p>
          <w:p w14:paraId="52713129">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42°37′15.42″</w:t>
            </w:r>
          </w:p>
        </w:tc>
        <w:tc>
          <w:tcPr>
            <w:tcW w:w="1422" w:type="pct"/>
            <w:tcBorders>
              <w:tl2br w:val="nil"/>
              <w:tr2bl w:val="nil"/>
            </w:tcBorders>
            <w:noWrap w:val="0"/>
            <w:vAlign w:val="center"/>
          </w:tcPr>
          <w:p w14:paraId="382ED068">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16</w:t>
            </w:r>
            <w:r>
              <w:rPr>
                <w:rFonts w:hint="default" w:ascii="Times New Roman" w:hAnsi="Times New Roman" w:eastAsia="宋体" w:cs="Times New Roman"/>
                <w:color w:val="auto"/>
                <w:spacing w:val="-6"/>
                <w:kern w:val="2"/>
                <w:sz w:val="21"/>
                <w:szCs w:val="21"/>
                <w:highlight w:val="none"/>
                <w:lang w:val="en-US" w:eastAsia="zh-CN" w:bidi="ar-SA"/>
              </w:rPr>
              <w:t>cm</w:t>
            </w:r>
          </w:p>
        </w:tc>
      </w:tr>
      <w:tr w14:paraId="7772F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019B429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9</w:t>
            </w:r>
          </w:p>
        </w:tc>
        <w:tc>
          <w:tcPr>
            <w:tcW w:w="1177" w:type="pct"/>
            <w:tcBorders>
              <w:tl2br w:val="nil"/>
              <w:tr2bl w:val="nil"/>
            </w:tcBorders>
            <w:noWrap w:val="0"/>
            <w:vAlign w:val="center"/>
          </w:tcPr>
          <w:p w14:paraId="1CC5B144">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占地范围外下风向200m农田</w:t>
            </w:r>
          </w:p>
        </w:tc>
        <w:tc>
          <w:tcPr>
            <w:tcW w:w="1535" w:type="pct"/>
            <w:tcBorders>
              <w:tl2br w:val="nil"/>
              <w:tr2bl w:val="nil"/>
            </w:tcBorders>
            <w:noWrap w:val="0"/>
            <w:vAlign w:val="center"/>
          </w:tcPr>
          <w:p w14:paraId="2162062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89°49′37.96″</w:t>
            </w:r>
          </w:p>
          <w:p w14:paraId="36133132">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42°36′43.40″</w:t>
            </w:r>
          </w:p>
        </w:tc>
        <w:tc>
          <w:tcPr>
            <w:tcW w:w="1422" w:type="pct"/>
            <w:tcBorders>
              <w:tl2br w:val="nil"/>
              <w:tr2bl w:val="nil"/>
            </w:tcBorders>
            <w:noWrap w:val="0"/>
            <w:vAlign w:val="center"/>
          </w:tcPr>
          <w:p w14:paraId="1772A8E5">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17</w:t>
            </w:r>
            <w:r>
              <w:rPr>
                <w:rFonts w:hint="default" w:ascii="Times New Roman" w:hAnsi="Times New Roman" w:eastAsia="宋体" w:cs="Times New Roman"/>
                <w:color w:val="auto"/>
                <w:spacing w:val="-6"/>
                <w:kern w:val="2"/>
                <w:sz w:val="21"/>
                <w:szCs w:val="21"/>
                <w:highlight w:val="none"/>
                <w:lang w:val="en-US" w:eastAsia="zh-CN" w:bidi="ar-SA"/>
              </w:rPr>
              <w:t>cm</w:t>
            </w:r>
          </w:p>
        </w:tc>
      </w:tr>
      <w:tr w14:paraId="6D6B9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77FD7F8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10</w:t>
            </w:r>
          </w:p>
        </w:tc>
        <w:tc>
          <w:tcPr>
            <w:tcW w:w="1177" w:type="pct"/>
            <w:tcBorders>
              <w:tl2br w:val="nil"/>
              <w:tr2bl w:val="nil"/>
            </w:tcBorders>
            <w:noWrap w:val="0"/>
            <w:vAlign w:val="center"/>
          </w:tcPr>
          <w:p w14:paraId="63F81EFF">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占地范围外下风向</w:t>
            </w:r>
          </w:p>
        </w:tc>
        <w:tc>
          <w:tcPr>
            <w:tcW w:w="1535" w:type="pct"/>
            <w:tcBorders>
              <w:tl2br w:val="nil"/>
              <w:tr2bl w:val="nil"/>
            </w:tcBorders>
            <w:noWrap w:val="0"/>
            <w:vAlign w:val="center"/>
          </w:tcPr>
          <w:p w14:paraId="1173134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89°49′22.59″</w:t>
            </w:r>
          </w:p>
          <w:p w14:paraId="7FE55FE7">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42°36′50.20″</w:t>
            </w:r>
          </w:p>
        </w:tc>
        <w:tc>
          <w:tcPr>
            <w:tcW w:w="1422" w:type="pct"/>
            <w:tcBorders>
              <w:tl2br w:val="nil"/>
              <w:tr2bl w:val="nil"/>
            </w:tcBorders>
            <w:noWrap w:val="0"/>
            <w:vAlign w:val="center"/>
          </w:tcPr>
          <w:p w14:paraId="5E6A7747">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18</w:t>
            </w:r>
            <w:r>
              <w:rPr>
                <w:rFonts w:hint="default" w:ascii="Times New Roman" w:hAnsi="Times New Roman" w:eastAsia="宋体" w:cs="Times New Roman"/>
                <w:color w:val="auto"/>
                <w:spacing w:val="-6"/>
                <w:kern w:val="2"/>
                <w:sz w:val="21"/>
                <w:szCs w:val="21"/>
                <w:highlight w:val="none"/>
                <w:lang w:val="en-US" w:eastAsia="zh-CN" w:bidi="ar-SA"/>
              </w:rPr>
              <w:t>cm</w:t>
            </w:r>
          </w:p>
        </w:tc>
      </w:tr>
      <w:tr w14:paraId="49A30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6F80B77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11</w:t>
            </w:r>
          </w:p>
        </w:tc>
        <w:tc>
          <w:tcPr>
            <w:tcW w:w="1177" w:type="pct"/>
            <w:tcBorders>
              <w:tl2br w:val="nil"/>
              <w:tr2bl w:val="nil"/>
            </w:tcBorders>
            <w:noWrap w:val="0"/>
            <w:vAlign w:val="center"/>
          </w:tcPr>
          <w:p w14:paraId="6D9C1692">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占地范围外上风向</w:t>
            </w:r>
          </w:p>
        </w:tc>
        <w:tc>
          <w:tcPr>
            <w:tcW w:w="1535" w:type="pct"/>
            <w:tcBorders>
              <w:tl2br w:val="nil"/>
              <w:tr2bl w:val="nil"/>
            </w:tcBorders>
            <w:noWrap w:val="0"/>
            <w:vAlign w:val="center"/>
          </w:tcPr>
          <w:p w14:paraId="4A23D33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89°49′54.73″</w:t>
            </w:r>
          </w:p>
          <w:p w14:paraId="70CF22FF">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42°37′24.26″</w:t>
            </w:r>
          </w:p>
        </w:tc>
        <w:tc>
          <w:tcPr>
            <w:tcW w:w="1422" w:type="pct"/>
            <w:tcBorders>
              <w:tl2br w:val="nil"/>
              <w:tr2bl w:val="nil"/>
            </w:tcBorders>
            <w:noWrap w:val="0"/>
            <w:vAlign w:val="center"/>
          </w:tcPr>
          <w:p w14:paraId="1B110354">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16</w:t>
            </w:r>
            <w:r>
              <w:rPr>
                <w:rFonts w:hint="default" w:ascii="Times New Roman" w:hAnsi="Times New Roman" w:eastAsia="宋体" w:cs="Times New Roman"/>
                <w:color w:val="auto"/>
                <w:spacing w:val="-6"/>
                <w:kern w:val="2"/>
                <w:sz w:val="21"/>
                <w:szCs w:val="21"/>
                <w:highlight w:val="none"/>
                <w:lang w:val="en-US" w:eastAsia="zh-CN" w:bidi="ar-SA"/>
              </w:rPr>
              <w:t>cm</w:t>
            </w:r>
          </w:p>
        </w:tc>
      </w:tr>
    </w:tbl>
    <w:p w14:paraId="6DAA075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（2）监测项目</w:t>
      </w:r>
    </w:p>
    <w:p w14:paraId="48EF2953">
      <w:pPr>
        <w:pageBreakBefore w:val="0"/>
        <w:wordWrap/>
        <w:topLinePunct w:val="0"/>
        <w:bidi w:val="0"/>
        <w:adjustRightInd w:val="0"/>
        <w:snapToGrid w:val="0"/>
        <w:ind w:left="0" w:leftChars="0" w:right="0" w:firstLine="480"/>
        <w:rPr>
          <w:rFonts w:hint="default" w:ascii="Times New Roman" w:hAnsi="Times New Roman" w:cs="Times New Roman"/>
          <w:color w:val="auto"/>
          <w:spacing w:val="-3"/>
          <w:szCs w:val="21"/>
          <w:highlight w:val="none"/>
        </w:rPr>
      </w:pPr>
      <w:r>
        <w:rPr>
          <w:rFonts w:hint="eastAsia" w:cs="Times New Roman"/>
          <w:color w:val="auto"/>
          <w:highlight w:val="none"/>
          <w:lang w:val="en-US" w:eastAsia="zh-CN"/>
        </w:rPr>
        <w:t>T</w:t>
      </w:r>
      <w:r>
        <w:rPr>
          <w:rFonts w:hint="default" w:ascii="Times New Roman" w:hAnsi="Times New Roman" w:cs="Times New Roman"/>
          <w:color w:val="auto"/>
          <w:highlight w:val="none"/>
        </w:rPr>
        <w:t>1监测项目为《土壤环境质量 建设用地土壤污染风险管控标准》（GB36600-2018）表1基本项目、pH；其余</w:t>
      </w:r>
      <w:r>
        <w:rPr>
          <w:rFonts w:hint="eastAsia" w:cs="Times New Roman"/>
          <w:color w:val="auto"/>
          <w:highlight w:val="none"/>
          <w:lang w:val="en-US" w:eastAsia="zh-CN"/>
        </w:rPr>
        <w:t>监测点</w:t>
      </w:r>
      <w:r>
        <w:rPr>
          <w:rFonts w:hint="default" w:ascii="Times New Roman" w:hAnsi="Times New Roman" w:cs="Times New Roman"/>
          <w:color w:val="auto"/>
          <w:highlight w:val="none"/>
        </w:rPr>
        <w:t>监测项目为</w:t>
      </w:r>
      <w:r>
        <w:rPr>
          <w:rFonts w:hint="default" w:ascii="Times New Roman" w:hAnsi="Times New Roman" w:cs="Times New Roman"/>
          <w:color w:val="auto"/>
          <w:spacing w:val="-3"/>
          <w:szCs w:val="21"/>
          <w:highlight w:val="none"/>
        </w:rPr>
        <w:t>pH、镉、镍、铜、汞、砷、铅、六价铬、钼、钴、锌。</w:t>
      </w:r>
    </w:p>
    <w:p w14:paraId="333F7C26">
      <w:pPr>
        <w:pageBreakBefore w:val="0"/>
        <w:wordWrap/>
        <w:topLinePunct w:val="0"/>
        <w:bidi w:val="0"/>
        <w:adjustRightInd w:val="0"/>
        <w:snapToGrid w:val="0"/>
        <w:ind w:left="0" w:leftChars="0" w:right="0" w:firstLine="468"/>
        <w:rPr>
          <w:rFonts w:hint="default" w:ascii="Times New Roman" w:hAnsi="Times New Roman" w:cs="Times New Roman"/>
          <w:color w:val="auto"/>
          <w:spacing w:val="-3"/>
          <w:szCs w:val="21"/>
          <w:highlight w:val="none"/>
        </w:rPr>
      </w:pPr>
      <w:r>
        <w:rPr>
          <w:rFonts w:hint="default" w:ascii="Times New Roman" w:hAnsi="Times New Roman" w:cs="Times New Roman"/>
          <w:color w:val="auto"/>
          <w:spacing w:val="-3"/>
          <w:szCs w:val="21"/>
          <w:highlight w:val="none"/>
        </w:rPr>
        <w:t>（3）理化性质调查</w:t>
      </w:r>
    </w:p>
    <w:p w14:paraId="35A17377">
      <w:pPr>
        <w:pageBreakBefore w:val="0"/>
        <w:wordWrap/>
        <w:topLinePunct w:val="0"/>
        <w:bidi w:val="0"/>
        <w:adjustRightInd w:val="0"/>
        <w:snapToGrid w:val="0"/>
        <w:ind w:left="0" w:leftChars="0" w:right="0" w:firstLine="468"/>
        <w:rPr>
          <w:rFonts w:hint="default" w:ascii="Times New Roman" w:hAnsi="Times New Roman" w:cs="Times New Roman"/>
          <w:color w:val="auto"/>
          <w:spacing w:val="-3"/>
          <w:szCs w:val="21"/>
          <w:highlight w:val="none"/>
        </w:rPr>
      </w:pPr>
      <w:r>
        <w:rPr>
          <w:rFonts w:hint="default" w:ascii="Times New Roman" w:hAnsi="Times New Roman" w:cs="Times New Roman"/>
          <w:color w:val="auto"/>
          <w:spacing w:val="-3"/>
          <w:szCs w:val="21"/>
          <w:highlight w:val="none"/>
        </w:rPr>
        <w:t>本次调查的理化性质调查包括土壤颜色、土壤结构、土壤质地、砂砾含量、阳离子交换量、氧化还原电位、饱和导水率、土壤容重、孔隙度。</w:t>
      </w:r>
    </w:p>
    <w:p w14:paraId="07C02429">
      <w:pPr>
        <w:pageBreakBefore w:val="0"/>
        <w:wordWrap/>
        <w:topLinePunct w:val="0"/>
        <w:bidi w:val="0"/>
        <w:adjustRightInd w:val="0"/>
        <w:snapToGrid w:val="0"/>
        <w:ind w:left="0" w:leftChars="0" w:right="0" w:firstLine="468"/>
        <w:rPr>
          <w:rFonts w:hint="default" w:ascii="Times New Roman" w:hAnsi="Times New Roman" w:cs="Times New Roman"/>
          <w:color w:val="auto"/>
          <w:spacing w:val="-3"/>
          <w:szCs w:val="21"/>
          <w:highlight w:val="none"/>
        </w:rPr>
      </w:pPr>
      <w:r>
        <w:rPr>
          <w:rFonts w:hint="default" w:ascii="Times New Roman" w:hAnsi="Times New Roman" w:cs="Times New Roman"/>
          <w:color w:val="auto"/>
          <w:spacing w:val="-3"/>
          <w:szCs w:val="21"/>
          <w:highlight w:val="none"/>
        </w:rPr>
        <w:t>（4）采样时间及监测单位</w:t>
      </w:r>
    </w:p>
    <w:p w14:paraId="488903E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采样时间：202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9</w:t>
      </w:r>
      <w:r>
        <w:rPr>
          <w:rFonts w:hint="default" w:ascii="Times New Roman" w:hAnsi="Times New Roman" w:cs="Times New Roman"/>
          <w:color w:val="auto"/>
          <w:highlight w:val="none"/>
        </w:rPr>
        <w:t>月</w:t>
      </w:r>
      <w:r>
        <w:rPr>
          <w:rFonts w:hint="eastAsia" w:cs="Times New Roman"/>
          <w:color w:val="auto"/>
          <w:highlight w:val="none"/>
          <w:lang w:val="en-US" w:eastAsia="zh-CN"/>
        </w:rPr>
        <w:t>13</w:t>
      </w:r>
      <w:r>
        <w:rPr>
          <w:rFonts w:hint="default" w:ascii="Times New Roman" w:hAnsi="Times New Roman" w:cs="Times New Roman"/>
          <w:color w:val="auto"/>
          <w:highlight w:val="none"/>
        </w:rPr>
        <w:t>日。</w:t>
      </w:r>
    </w:p>
    <w:p w14:paraId="115F67D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监测单位：</w:t>
      </w:r>
      <w:r>
        <w:rPr>
          <w:rFonts w:hint="default" w:ascii="Times New Roman" w:hAnsi="Times New Roman" w:cs="Times New Roman"/>
          <w:color w:val="auto"/>
          <w:highlight w:val="none"/>
          <w:lang w:eastAsia="zh-CN"/>
        </w:rPr>
        <w:t>新疆锡水金山环境科技有限公司</w:t>
      </w:r>
      <w:r>
        <w:rPr>
          <w:rFonts w:hint="default" w:ascii="Times New Roman" w:hAnsi="Times New Roman" w:cs="Times New Roman"/>
          <w:color w:val="auto"/>
          <w:highlight w:val="none"/>
        </w:rPr>
        <w:t>。</w:t>
      </w:r>
    </w:p>
    <w:p w14:paraId="592FA525">
      <w:pPr>
        <w:pageBreakBefore w:val="0"/>
        <w:wordWrap/>
        <w:topLinePunct w:val="0"/>
        <w:bidi w:val="0"/>
        <w:adjustRightInd w:val="0"/>
        <w:snapToGrid w:val="0"/>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（5）评价标准和方法</w:t>
      </w:r>
    </w:p>
    <w:p w14:paraId="6278D19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评价标准为《土壤环境质量 建设用地土壤污染风险管控标准》（GB36600-2018），对照该标准进行各指标现状评价。</w:t>
      </w:r>
    </w:p>
    <w:p w14:paraId="7433989F">
      <w:pPr>
        <w:pageBreakBefore w:val="0"/>
        <w:wordWrap/>
        <w:topLinePunct w:val="0"/>
        <w:bidi w:val="0"/>
        <w:adjustRightInd w:val="0"/>
        <w:snapToGrid w:val="0"/>
        <w:spacing w:line="500" w:lineRule="atLeast"/>
        <w:ind w:left="0" w:leftChars="0" w:right="0" w:firstLine="480"/>
        <w:rPr>
          <w:rFonts w:hint="default" w:ascii="Times New Roman" w:hAnsi="Times New Roman" w:cs="Times New Roman"/>
          <w:color w:val="auto"/>
          <w:kern w:val="0"/>
          <w:highlight w:val="none"/>
        </w:rPr>
      </w:pPr>
      <w:bookmarkStart w:id="151" w:name="_Toc191030148"/>
      <w:bookmarkStart w:id="152" w:name="_Toc195698261"/>
      <w:bookmarkStart w:id="153" w:name="_Toc191030356"/>
      <w:bookmarkStart w:id="154" w:name="_Toc192374787"/>
      <w:bookmarkStart w:id="155" w:name="_Toc196512018"/>
      <w:bookmarkStart w:id="156" w:name="_Toc195672537"/>
      <w:bookmarkStart w:id="157" w:name="_Toc243970306"/>
      <w:bookmarkStart w:id="158" w:name="_Toc191190679"/>
      <w:bookmarkStart w:id="159" w:name="_Toc195669552"/>
      <w:bookmarkStart w:id="160" w:name="_Toc243970806"/>
      <w:bookmarkStart w:id="161" w:name="_Toc195698054"/>
      <w:bookmarkStart w:id="162" w:name="_Toc196510667"/>
      <w:bookmarkStart w:id="163" w:name="_Toc243970083"/>
      <w:r>
        <w:rPr>
          <w:rFonts w:hint="default" w:ascii="Times New Roman" w:hAnsi="Times New Roman" w:cs="Times New Roman"/>
          <w:color w:val="auto"/>
          <w:kern w:val="0"/>
          <w:highlight w:val="none"/>
        </w:rPr>
        <w:t>评价方法：本次评价采用单项标准指数法，公式如下。</w:t>
      </w:r>
    </w:p>
    <w:p w14:paraId="0970B84D">
      <w:pPr>
        <w:pageBreakBefore w:val="0"/>
        <w:wordWrap/>
        <w:topLinePunct w:val="0"/>
        <w:bidi w:val="0"/>
        <w:adjustRightInd w:val="0"/>
        <w:snapToGrid w:val="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position w:val="-32"/>
          <w:highlight w:val="none"/>
        </w:rPr>
        <w:object>
          <v:shape id="_x0000_i1030" o:spt="75" type="#_x0000_t75" style="height:43.45pt;width:94.35pt;" o:ole="t" filled="f" o:preferrelative="t" stroked="f" coordsize="21600,21600">
            <v:path/>
            <v:fill on="f" focussize="0,0"/>
            <v:stroke on="f" joinstyle="miter"/>
            <v:imagedata r:id="rId49" o:title=""/>
            <o:lock v:ext="edit" aspectratio="t"/>
            <w10:wrap type="none"/>
            <w10:anchorlock/>
          </v:shape>
          <o:OLEObject Type="Embed" ProgID="Equation.3" ShapeID="_x0000_i1030" DrawAspect="Content" ObjectID="_1468075730" r:id="rId48">
            <o:LockedField>false</o:LockedField>
          </o:OLEObject>
        </w:object>
      </w:r>
    </w:p>
    <w:p w14:paraId="433722B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式中：C</w:t>
      </w:r>
      <w:r>
        <w:rPr>
          <w:rFonts w:hint="default" w:ascii="Times New Roman" w:hAnsi="Times New Roman" w:cs="Times New Roman"/>
          <w:color w:val="auto"/>
          <w:highlight w:val="none"/>
          <w:vertAlign w:val="subscript"/>
        </w:rPr>
        <w:t>ij</w:t>
      </w:r>
      <w:r>
        <w:rPr>
          <w:rFonts w:hint="default" w:ascii="Times New Roman" w:hAnsi="Times New Roman" w:cs="Times New Roman"/>
          <w:color w:val="auto"/>
          <w:highlight w:val="none"/>
        </w:rPr>
        <w:t>——某评价因子i在第j点的浓度值（mg/L）；</w:t>
      </w:r>
    </w:p>
    <w:p w14:paraId="155F71EF">
      <w:pPr>
        <w:pageBreakBefore w:val="0"/>
        <w:wordWrap/>
        <w:topLinePunct w:val="0"/>
        <w:bidi w:val="0"/>
        <w:adjustRightInd w:val="0"/>
        <w:snapToGrid w:val="0"/>
        <w:ind w:left="0" w:leftChars="0" w:right="0"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sj</w:t>
      </w:r>
      <w:r>
        <w:rPr>
          <w:rFonts w:hint="default" w:ascii="Times New Roman" w:hAnsi="Times New Roman" w:cs="Times New Roman"/>
          <w:color w:val="auto"/>
          <w:highlight w:val="none"/>
        </w:rPr>
        <w:t>——i因子的评价标准（mg/L）。</w:t>
      </w:r>
    </w:p>
    <w:p w14:paraId="2E8D6A15">
      <w:pPr>
        <w:pageBreakBefore w:val="0"/>
        <w:wordWrap/>
        <w:topLinePunct w:val="0"/>
        <w:bidi w:val="0"/>
        <w:adjustRightInd w:val="0"/>
        <w:snapToGrid w:val="0"/>
        <w:spacing w:line="500" w:lineRule="atLeast"/>
        <w:ind w:left="0" w:leftChars="0" w:right="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如果某评价因子标准指数＞1，表明该因子超过了评价标准，不能满足使用要求。</w:t>
      </w:r>
    </w:p>
    <w:p w14:paraId="7B5E1766">
      <w:pPr>
        <w:pageBreakBefore w:val="0"/>
        <w:wordWrap/>
        <w:topLinePunct w:val="0"/>
        <w:bidi w:val="0"/>
        <w:adjustRightInd w:val="0"/>
        <w:snapToGrid w:val="0"/>
        <w:spacing w:line="500" w:lineRule="atLeast"/>
        <w:ind w:left="0" w:leftChars="0" w:right="0" w:firstLine="480" w:firstLineChars="0"/>
        <w:rPr>
          <w:rFonts w:hint="default"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lang w:val="en-US" w:eastAsia="zh-CN"/>
        </w:rPr>
        <w:t>6</w:t>
      </w:r>
      <w:r>
        <w:rPr>
          <w:rFonts w:hint="eastAsia"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lang w:val="zh-CN"/>
        </w:rPr>
        <w:t>土壤理化特性调查</w:t>
      </w:r>
    </w:p>
    <w:p w14:paraId="4CDBC2E5">
      <w:pPr>
        <w:pageBreakBefore w:val="0"/>
        <w:widowControl/>
        <w:wordWrap/>
        <w:topLinePunct w:val="0"/>
        <w:bidi w:val="0"/>
        <w:adjustRightInd w:val="0"/>
        <w:snapToGrid w:val="0"/>
        <w:ind w:left="0" w:leftChars="0" w:firstLine="480" w:firstLineChars="200"/>
        <w:rPr>
          <w:rFonts w:hint="default" w:ascii="Times New Roman" w:hAnsi="Times New Roman" w:cs="Times New Roman"/>
          <w:caps w:val="0"/>
          <w:smallCaps w:val="0"/>
          <w:color w:val="auto"/>
          <w:spacing w:val="0"/>
          <w:kern w:val="0"/>
          <w:szCs w:val="22"/>
          <w:highlight w:val="none"/>
        </w:rPr>
      </w:pPr>
      <w:r>
        <w:rPr>
          <w:rFonts w:hint="default" w:ascii="Times New Roman" w:hAnsi="Times New Roman" w:cs="Times New Roman"/>
          <w:caps w:val="0"/>
          <w:smallCaps w:val="0"/>
          <w:color w:val="auto"/>
          <w:spacing w:val="0"/>
          <w:kern w:val="0"/>
          <w:szCs w:val="22"/>
          <w:highlight w:val="none"/>
        </w:rPr>
        <w:t>项目</w:t>
      </w:r>
      <w:r>
        <w:rPr>
          <w:rFonts w:hint="eastAsia" w:ascii="Times New Roman" w:hAnsi="Times New Roman" w:cs="Times New Roman"/>
          <w:caps w:val="0"/>
          <w:smallCaps w:val="0"/>
          <w:color w:val="auto"/>
          <w:spacing w:val="0"/>
          <w:kern w:val="0"/>
          <w:szCs w:val="22"/>
          <w:highlight w:val="none"/>
          <w:lang w:val="en-US" w:eastAsia="zh-CN"/>
        </w:rPr>
        <w:t>土体构型（土壤剖面）</w:t>
      </w:r>
      <w:r>
        <w:rPr>
          <w:rFonts w:hint="default" w:ascii="Times New Roman" w:hAnsi="Times New Roman" w:cs="Times New Roman"/>
          <w:caps w:val="0"/>
          <w:smallCaps w:val="0"/>
          <w:color w:val="auto"/>
          <w:spacing w:val="0"/>
          <w:kern w:val="0"/>
          <w:szCs w:val="22"/>
          <w:highlight w:val="none"/>
        </w:rPr>
        <w:t>调查见表4.2-</w:t>
      </w:r>
      <w:r>
        <w:rPr>
          <w:rFonts w:hint="eastAsia" w:ascii="Times New Roman" w:hAnsi="Times New Roman" w:cs="Times New Roman"/>
          <w:caps w:val="0"/>
          <w:smallCaps w:val="0"/>
          <w:color w:val="auto"/>
          <w:spacing w:val="0"/>
          <w:kern w:val="0"/>
          <w:szCs w:val="22"/>
          <w:highlight w:val="none"/>
          <w:lang w:val="en-US" w:eastAsia="zh-CN"/>
        </w:rPr>
        <w:t>6</w:t>
      </w:r>
      <w:r>
        <w:rPr>
          <w:rFonts w:hint="default" w:ascii="Times New Roman" w:hAnsi="Times New Roman" w:cs="Times New Roman"/>
          <w:caps w:val="0"/>
          <w:smallCaps w:val="0"/>
          <w:color w:val="auto"/>
          <w:spacing w:val="0"/>
          <w:kern w:val="0"/>
          <w:szCs w:val="22"/>
          <w:highlight w:val="none"/>
        </w:rPr>
        <w:t>。</w:t>
      </w:r>
    </w:p>
    <w:p w14:paraId="49C746D1">
      <w:pPr>
        <w:keepNext w:val="0"/>
        <w:keepLines w:val="0"/>
        <w:pageBreakBefore w:val="0"/>
        <w:widowControl/>
        <w:tabs>
          <w:tab w:val="left" w:pos="2488"/>
          <w:tab w:val="center" w:pos="421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aps w:val="0"/>
          <w:smallCaps w:val="0"/>
          <w:snapToGrid w:val="0"/>
          <w:color w:val="auto"/>
          <w:spacing w:val="0"/>
          <w:kern w:val="0"/>
          <w:sz w:val="21"/>
          <w:szCs w:val="21"/>
          <w:highlight w:val="none"/>
        </w:rPr>
      </w:pPr>
    </w:p>
    <w:p w14:paraId="320F9786">
      <w:pPr>
        <w:keepNext w:val="0"/>
        <w:keepLines w:val="0"/>
        <w:pageBreakBefore w:val="0"/>
        <w:widowControl/>
        <w:tabs>
          <w:tab w:val="left" w:pos="2488"/>
          <w:tab w:val="center" w:pos="421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aps w:val="0"/>
          <w:smallCaps w:val="0"/>
          <w:snapToGrid w:val="0"/>
          <w:color w:val="auto"/>
          <w:spacing w:val="0"/>
          <w:kern w:val="0"/>
          <w:sz w:val="21"/>
          <w:szCs w:val="21"/>
          <w:highlight w:val="none"/>
        </w:rPr>
      </w:pPr>
      <w:r>
        <w:rPr>
          <w:rFonts w:hint="default" w:ascii="Times New Roman" w:hAnsi="Times New Roman" w:eastAsia="宋体" w:cs="Times New Roman"/>
          <w:b/>
          <w:bCs w:val="0"/>
          <w:caps w:val="0"/>
          <w:smallCaps w:val="0"/>
          <w:snapToGrid w:val="0"/>
          <w:color w:val="auto"/>
          <w:spacing w:val="0"/>
          <w:kern w:val="0"/>
          <w:sz w:val="21"/>
          <w:szCs w:val="21"/>
          <w:highlight w:val="none"/>
        </w:rPr>
        <w:t>表4.2-</w:t>
      </w:r>
      <w:r>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t>6</w:t>
      </w:r>
      <w:r>
        <w:rPr>
          <w:rFonts w:hint="default" w:ascii="Times New Roman" w:hAnsi="Times New Roman" w:eastAsia="宋体" w:cs="Times New Roman"/>
          <w:b/>
          <w:bCs w:val="0"/>
          <w:caps w:val="0"/>
          <w:smallCaps w:val="0"/>
          <w:snapToGrid w:val="0"/>
          <w:color w:val="auto"/>
          <w:spacing w:val="0"/>
          <w:kern w:val="0"/>
          <w:sz w:val="21"/>
          <w:szCs w:val="21"/>
          <w:highlight w:val="none"/>
          <w:lang w:val="en-US" w:eastAsia="zh-CN"/>
        </w:rPr>
        <w:t xml:space="preserve">   </w:t>
      </w:r>
      <w:r>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t>土体构型（土壤剖面）</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2"/>
        <w:gridCol w:w="4707"/>
        <w:gridCol w:w="2670"/>
      </w:tblGrid>
      <w:tr w14:paraId="1609C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1" w:hRule="atLeast"/>
          <w:tblHeader/>
          <w:jc w:val="center"/>
        </w:trPr>
        <w:tc>
          <w:tcPr>
            <w:tcW w:w="774" w:type="pct"/>
            <w:tcBorders>
              <w:tl2br w:val="nil"/>
              <w:tr2bl w:val="nil"/>
            </w:tcBorders>
            <w:noWrap w:val="0"/>
            <w:vAlign w:val="center"/>
          </w:tcPr>
          <w:p w14:paraId="095F4B6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p>
        </w:tc>
        <w:tc>
          <w:tcPr>
            <w:tcW w:w="2695" w:type="pct"/>
            <w:tcBorders>
              <w:tl2br w:val="nil"/>
              <w:tr2bl w:val="nil"/>
            </w:tcBorders>
            <w:noWrap w:val="0"/>
            <w:vAlign w:val="center"/>
          </w:tcPr>
          <w:p w14:paraId="4391C6E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529" w:type="pct"/>
            <w:tcBorders>
              <w:tl2br w:val="nil"/>
              <w:tr2bl w:val="nil"/>
            </w:tcBorders>
            <w:noWrap w:val="0"/>
            <w:vAlign w:val="center"/>
          </w:tcPr>
          <w:p w14:paraId="6D2E7D9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r>
      <w:tr w14:paraId="395EA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1" w:hRule="atLeast"/>
          <w:tblHeader/>
          <w:jc w:val="center"/>
        </w:trPr>
        <w:tc>
          <w:tcPr>
            <w:tcW w:w="774" w:type="pct"/>
            <w:tcBorders>
              <w:tl2br w:val="nil"/>
              <w:tr2bl w:val="nil"/>
            </w:tcBorders>
            <w:noWrap w:val="0"/>
            <w:vAlign w:val="center"/>
          </w:tcPr>
          <w:p w14:paraId="7F3E8C5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2695" w:type="pct"/>
            <w:tcBorders>
              <w:tl2br w:val="nil"/>
              <w:tr2bl w:val="nil"/>
            </w:tcBorders>
            <w:noWrap w:val="0"/>
            <w:vAlign w:val="center"/>
          </w:tcPr>
          <w:p w14:paraId="2FE47ED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pPr>
          </w:p>
        </w:tc>
        <w:tc>
          <w:tcPr>
            <w:tcW w:w="1529" w:type="pct"/>
            <w:tcBorders>
              <w:tl2br w:val="nil"/>
              <w:tr2bl w:val="nil"/>
            </w:tcBorders>
            <w:noWrap w:val="0"/>
            <w:vAlign w:val="center"/>
          </w:tcPr>
          <w:p w14:paraId="4B08AF0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p>
        </w:tc>
      </w:tr>
      <w:tr w14:paraId="51834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1" w:hRule="atLeast"/>
          <w:tblHeader/>
          <w:jc w:val="center"/>
        </w:trPr>
        <w:tc>
          <w:tcPr>
            <w:tcW w:w="774" w:type="pct"/>
            <w:tcBorders>
              <w:tl2br w:val="nil"/>
              <w:tr2bl w:val="nil"/>
            </w:tcBorders>
            <w:noWrap w:val="0"/>
            <w:vAlign w:val="center"/>
          </w:tcPr>
          <w:p w14:paraId="76AB29F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2695" w:type="pct"/>
            <w:tcBorders>
              <w:tl2br w:val="nil"/>
              <w:tr2bl w:val="nil"/>
            </w:tcBorders>
            <w:noWrap w:val="0"/>
            <w:vAlign w:val="center"/>
          </w:tcPr>
          <w:p w14:paraId="3B9816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pPr>
          </w:p>
        </w:tc>
        <w:tc>
          <w:tcPr>
            <w:tcW w:w="1529" w:type="pct"/>
            <w:tcBorders>
              <w:tl2br w:val="nil"/>
              <w:tr2bl w:val="nil"/>
            </w:tcBorders>
            <w:noWrap w:val="0"/>
            <w:vAlign w:val="center"/>
          </w:tcPr>
          <w:p w14:paraId="07F7403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5CD49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1" w:hRule="atLeast"/>
          <w:tblHeader/>
          <w:jc w:val="center"/>
        </w:trPr>
        <w:tc>
          <w:tcPr>
            <w:tcW w:w="774" w:type="pct"/>
            <w:tcBorders>
              <w:tl2br w:val="nil"/>
              <w:tr2bl w:val="nil"/>
            </w:tcBorders>
            <w:noWrap w:val="0"/>
            <w:vAlign w:val="center"/>
          </w:tcPr>
          <w:p w14:paraId="078AEC7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2695" w:type="pct"/>
            <w:tcBorders>
              <w:tl2br w:val="nil"/>
              <w:tr2bl w:val="nil"/>
            </w:tcBorders>
            <w:noWrap w:val="0"/>
            <w:vAlign w:val="center"/>
          </w:tcPr>
          <w:p w14:paraId="066E638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pPr>
          </w:p>
        </w:tc>
        <w:tc>
          <w:tcPr>
            <w:tcW w:w="1529" w:type="pct"/>
            <w:tcBorders>
              <w:tl2br w:val="nil"/>
              <w:tr2bl w:val="nil"/>
            </w:tcBorders>
            <w:noWrap w:val="0"/>
            <w:vAlign w:val="center"/>
          </w:tcPr>
          <w:p w14:paraId="44F36E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bl>
    <w:p w14:paraId="4D942995">
      <w:pPr>
        <w:pageBreakBefore w:val="0"/>
        <w:widowControl/>
        <w:wordWrap/>
        <w:topLinePunct w:val="0"/>
        <w:bidi w:val="0"/>
        <w:adjustRightInd w:val="0"/>
        <w:snapToGrid w:val="0"/>
        <w:ind w:left="0" w:leftChars="0" w:firstLine="480" w:firstLineChars="200"/>
        <w:rPr>
          <w:rFonts w:hint="default" w:ascii="Times New Roman" w:hAnsi="Times New Roman" w:cs="Times New Roman"/>
          <w:color w:val="auto"/>
          <w:kern w:val="0"/>
          <w:szCs w:val="22"/>
          <w:highlight w:val="none"/>
        </w:rPr>
      </w:pPr>
      <w:r>
        <w:rPr>
          <w:rFonts w:hint="default" w:ascii="Times New Roman" w:hAnsi="Times New Roman" w:cs="Times New Roman"/>
          <w:color w:val="auto"/>
          <w:kern w:val="0"/>
          <w:szCs w:val="22"/>
          <w:highlight w:val="none"/>
        </w:rPr>
        <w:t>项目土壤理化特性调查结果见表4.2-</w:t>
      </w:r>
      <w:r>
        <w:rPr>
          <w:rFonts w:hint="eastAsia" w:ascii="Times New Roman" w:hAnsi="Times New Roman" w:cs="Times New Roman"/>
          <w:color w:val="auto"/>
          <w:kern w:val="0"/>
          <w:szCs w:val="22"/>
          <w:highlight w:val="none"/>
          <w:lang w:val="en-US" w:eastAsia="zh-CN"/>
        </w:rPr>
        <w:t>7</w:t>
      </w:r>
      <w:r>
        <w:rPr>
          <w:rFonts w:hint="default" w:ascii="Times New Roman" w:hAnsi="Times New Roman" w:cs="Times New Roman"/>
          <w:color w:val="auto"/>
          <w:kern w:val="0"/>
          <w:szCs w:val="22"/>
          <w:highlight w:val="none"/>
        </w:rPr>
        <w:t>。</w:t>
      </w:r>
    </w:p>
    <w:p w14:paraId="33AE8040">
      <w:pPr>
        <w:keepNext w:val="0"/>
        <w:keepLines w:val="0"/>
        <w:pageBreakBefore w:val="0"/>
        <w:widowControl/>
        <w:tabs>
          <w:tab w:val="left" w:pos="2488"/>
          <w:tab w:val="center" w:pos="4213"/>
        </w:tabs>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eastAsia="宋体" w:cs="Times New Roman"/>
          <w:b/>
          <w:bCs w:val="0"/>
          <w:snapToGrid w:val="0"/>
          <w:color w:val="auto"/>
          <w:kern w:val="0"/>
          <w:sz w:val="21"/>
          <w:highlight w:val="none"/>
        </w:rPr>
      </w:pPr>
      <w:r>
        <w:rPr>
          <w:rFonts w:hint="default" w:ascii="Times New Roman" w:hAnsi="Times New Roman" w:eastAsia="宋体" w:cs="Times New Roman"/>
          <w:b/>
          <w:bCs w:val="0"/>
          <w:snapToGrid w:val="0"/>
          <w:color w:val="auto"/>
          <w:kern w:val="0"/>
          <w:sz w:val="21"/>
          <w:highlight w:val="none"/>
        </w:rPr>
        <w:t>表4.2-</w:t>
      </w:r>
      <w:r>
        <w:rPr>
          <w:rFonts w:hint="eastAsia" w:ascii="Times New Roman" w:hAnsi="Times New Roman" w:eastAsia="宋体" w:cs="Times New Roman"/>
          <w:b/>
          <w:bCs w:val="0"/>
          <w:snapToGrid w:val="0"/>
          <w:color w:val="auto"/>
          <w:kern w:val="0"/>
          <w:sz w:val="21"/>
          <w:highlight w:val="none"/>
          <w:lang w:val="en-US" w:eastAsia="zh-CN"/>
        </w:rPr>
        <w:t>7</w:t>
      </w:r>
      <w:r>
        <w:rPr>
          <w:rFonts w:hint="default" w:ascii="Times New Roman" w:hAnsi="Times New Roman" w:eastAsia="宋体" w:cs="Times New Roman"/>
          <w:b/>
          <w:bCs w:val="0"/>
          <w:snapToGrid w:val="0"/>
          <w:color w:val="auto"/>
          <w:kern w:val="0"/>
          <w:sz w:val="21"/>
          <w:highlight w:val="none"/>
          <w:lang w:val="en-US" w:eastAsia="zh-CN"/>
        </w:rPr>
        <w:t xml:space="preserve">   </w:t>
      </w:r>
      <w:r>
        <w:rPr>
          <w:rFonts w:hint="default" w:ascii="Times New Roman" w:hAnsi="Times New Roman" w:eastAsia="宋体" w:cs="Times New Roman"/>
          <w:b/>
          <w:bCs w:val="0"/>
          <w:snapToGrid w:val="0"/>
          <w:color w:val="auto"/>
          <w:kern w:val="0"/>
          <w:sz w:val="21"/>
          <w:highlight w:val="none"/>
        </w:rPr>
        <w:t>土壤理化特性调查表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2163"/>
        <w:gridCol w:w="1988"/>
        <w:gridCol w:w="4607"/>
      </w:tblGrid>
      <w:tr w14:paraId="60015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2370" w:type="pct"/>
            <w:gridSpan w:val="2"/>
            <w:tcBorders>
              <w:tl2br w:val="nil"/>
              <w:tr2bl w:val="nil"/>
            </w:tcBorders>
            <w:noWrap w:val="0"/>
            <w:vAlign w:val="center"/>
          </w:tcPr>
          <w:p w14:paraId="2DE1E6B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rPr>
            </w:pPr>
            <w:r>
              <w:rPr>
                <w:rFonts w:hint="default" w:ascii="Times New Roman" w:hAnsi="Times New Roman" w:eastAsia="宋体" w:cs="Times New Roman"/>
                <w:caps w:val="0"/>
                <w:smallCaps w:val="0"/>
                <w:color w:val="auto"/>
                <w:spacing w:val="0"/>
                <w:kern w:val="0"/>
                <w:sz w:val="21"/>
                <w:szCs w:val="21"/>
                <w:highlight w:val="none"/>
                <w:lang w:val="en-US" w:eastAsia="zh-CN"/>
              </w:rPr>
              <w:t>采样地点</w:t>
            </w:r>
          </w:p>
        </w:tc>
        <w:tc>
          <w:tcPr>
            <w:tcW w:w="2629" w:type="pct"/>
            <w:tcBorders>
              <w:tl2br w:val="nil"/>
              <w:tr2bl w:val="nil"/>
            </w:tcBorders>
            <w:noWrap w:val="0"/>
            <w:vAlign w:val="center"/>
          </w:tcPr>
          <w:p w14:paraId="69FFD4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lang w:val="en-US" w:eastAsia="zh-CN"/>
              </w:rPr>
              <w:t>E</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89</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49</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36.57</w:t>
            </w:r>
            <w:r>
              <w:rPr>
                <w:rFonts w:hint="default" w:ascii="Times New Roman" w:hAnsi="Times New Roman" w:eastAsia="宋体" w:cs="Times New Roman"/>
                <w:caps w:val="0"/>
                <w:smallCaps w:val="0"/>
                <w:color w:val="auto"/>
                <w:spacing w:val="0"/>
                <w:kern w:val="0"/>
                <w:sz w:val="21"/>
                <w:szCs w:val="21"/>
                <w:highlight w:val="none"/>
                <w:lang w:val="en-US" w:eastAsia="zh-CN"/>
              </w:rPr>
              <w:t>″</w:t>
            </w:r>
          </w:p>
          <w:p w14:paraId="42E771C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lang w:val="en-US" w:eastAsia="zh-CN"/>
              </w:rPr>
              <w:t>N</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42</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37</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13.68</w:t>
            </w:r>
            <w:r>
              <w:rPr>
                <w:rFonts w:hint="default" w:ascii="Times New Roman" w:hAnsi="Times New Roman" w:eastAsia="宋体" w:cs="Times New Roman"/>
                <w:caps w:val="0"/>
                <w:smallCaps w:val="0"/>
                <w:color w:val="auto"/>
                <w:spacing w:val="0"/>
                <w:kern w:val="0"/>
                <w:sz w:val="21"/>
                <w:szCs w:val="21"/>
                <w:highlight w:val="none"/>
                <w:lang w:val="en-US" w:eastAsia="zh-CN"/>
              </w:rPr>
              <w:t>″</w:t>
            </w:r>
          </w:p>
        </w:tc>
      </w:tr>
      <w:tr w14:paraId="33E06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2370" w:type="pct"/>
            <w:gridSpan w:val="2"/>
            <w:tcBorders>
              <w:tl2br w:val="nil"/>
              <w:tr2bl w:val="nil"/>
            </w:tcBorders>
            <w:noWrap w:val="0"/>
            <w:vAlign w:val="center"/>
          </w:tcPr>
          <w:p w14:paraId="208836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深度（cm）</w:t>
            </w:r>
          </w:p>
        </w:tc>
        <w:tc>
          <w:tcPr>
            <w:tcW w:w="2629" w:type="pct"/>
            <w:tcBorders>
              <w:tl2br w:val="nil"/>
              <w:tr2bl w:val="nil"/>
            </w:tcBorders>
            <w:noWrap w:val="0"/>
            <w:vAlign w:val="center"/>
          </w:tcPr>
          <w:p w14:paraId="62BDAFC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17</w:t>
            </w:r>
          </w:p>
        </w:tc>
      </w:tr>
      <w:tr w14:paraId="60512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5000" w:type="pct"/>
            <w:gridSpan w:val="3"/>
            <w:tcBorders>
              <w:tl2br w:val="nil"/>
              <w:tr2bl w:val="nil"/>
            </w:tcBorders>
            <w:noWrap w:val="0"/>
            <w:vAlign w:val="center"/>
          </w:tcPr>
          <w:p w14:paraId="6F1EB52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rPr>
              <w:t>检测结果</w:t>
            </w:r>
          </w:p>
        </w:tc>
      </w:tr>
      <w:tr w14:paraId="7261F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restart"/>
            <w:tcBorders>
              <w:tl2br w:val="nil"/>
              <w:tr2bl w:val="nil"/>
            </w:tcBorders>
            <w:noWrap w:val="0"/>
            <w:vAlign w:val="center"/>
          </w:tcPr>
          <w:p w14:paraId="78E79F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r>
              <w:rPr>
                <w:rFonts w:hint="eastAsia" w:ascii="Times New Roman" w:hAnsi="Times New Roman" w:eastAsia="宋体" w:cs="Times New Roman"/>
                <w:caps w:val="0"/>
                <w:smallCaps w:val="0"/>
                <w:color w:val="auto"/>
                <w:spacing w:val="0"/>
                <w:kern w:val="0"/>
                <w:sz w:val="21"/>
                <w:szCs w:val="21"/>
                <w:highlight w:val="none"/>
                <w:lang w:eastAsia="zh-CN"/>
              </w:rPr>
              <w:t>现场记录</w:t>
            </w:r>
          </w:p>
        </w:tc>
        <w:tc>
          <w:tcPr>
            <w:tcW w:w="1135" w:type="pct"/>
            <w:tcBorders>
              <w:tl2br w:val="nil"/>
              <w:tr2bl w:val="nil"/>
            </w:tcBorders>
            <w:noWrap w:val="0"/>
            <w:vAlign w:val="center"/>
          </w:tcPr>
          <w:p w14:paraId="24DF10D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r>
              <w:rPr>
                <w:rFonts w:hint="eastAsia" w:ascii="Times New Roman" w:hAnsi="Times New Roman" w:eastAsia="宋体" w:cs="Times New Roman"/>
                <w:caps w:val="0"/>
                <w:smallCaps w:val="0"/>
                <w:color w:val="auto"/>
                <w:spacing w:val="0"/>
                <w:kern w:val="0"/>
                <w:sz w:val="21"/>
                <w:szCs w:val="21"/>
                <w:highlight w:val="none"/>
                <w:lang w:eastAsia="zh-CN"/>
              </w:rPr>
              <w:t>颜色</w:t>
            </w:r>
          </w:p>
        </w:tc>
        <w:tc>
          <w:tcPr>
            <w:tcW w:w="2629" w:type="pct"/>
            <w:tcBorders>
              <w:tl2br w:val="nil"/>
              <w:tr2bl w:val="nil"/>
            </w:tcBorders>
            <w:noWrap w:val="0"/>
            <w:vAlign w:val="center"/>
          </w:tcPr>
          <w:p w14:paraId="5F5ECDE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黄棕</w:t>
            </w:r>
          </w:p>
        </w:tc>
      </w:tr>
      <w:tr w14:paraId="11C71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2640C9C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7A0C145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eastAsia="zh-CN"/>
              </w:rPr>
              <w:t>结构</w:t>
            </w:r>
          </w:p>
        </w:tc>
        <w:tc>
          <w:tcPr>
            <w:tcW w:w="2629" w:type="pct"/>
            <w:tcBorders>
              <w:tl2br w:val="nil"/>
              <w:tr2bl w:val="nil"/>
            </w:tcBorders>
            <w:noWrap w:val="0"/>
            <w:vAlign w:val="center"/>
          </w:tcPr>
          <w:p w14:paraId="405A0CF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粒状</w:t>
            </w:r>
          </w:p>
        </w:tc>
      </w:tr>
      <w:tr w14:paraId="0D42B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1C3A99C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665520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eastAsia="zh-CN"/>
              </w:rPr>
              <w:t>质地</w:t>
            </w:r>
          </w:p>
        </w:tc>
        <w:tc>
          <w:tcPr>
            <w:tcW w:w="2629" w:type="pct"/>
            <w:tcBorders>
              <w:tl2br w:val="nil"/>
              <w:tr2bl w:val="nil"/>
            </w:tcBorders>
            <w:noWrap w:val="0"/>
            <w:vAlign w:val="center"/>
          </w:tcPr>
          <w:p w14:paraId="718E337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砂土</w:t>
            </w:r>
          </w:p>
        </w:tc>
      </w:tr>
      <w:tr w14:paraId="74F25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0DA93BF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5AA43C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eastAsia="zh-CN"/>
              </w:rPr>
              <w:t>砂砾含量（</w:t>
            </w:r>
            <w:r>
              <w:rPr>
                <w:rFonts w:hint="eastAsia"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eastAsia="zh-CN"/>
              </w:rPr>
              <w:t>）</w:t>
            </w:r>
          </w:p>
        </w:tc>
        <w:tc>
          <w:tcPr>
            <w:tcW w:w="2629" w:type="pct"/>
            <w:tcBorders>
              <w:tl2br w:val="nil"/>
              <w:tr2bl w:val="nil"/>
            </w:tcBorders>
            <w:noWrap w:val="0"/>
            <w:vAlign w:val="center"/>
          </w:tcPr>
          <w:p w14:paraId="1F3CBC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30</w:t>
            </w:r>
          </w:p>
        </w:tc>
      </w:tr>
      <w:tr w14:paraId="3B41F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1AE085C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54AD454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其他异物</w:t>
            </w:r>
          </w:p>
        </w:tc>
        <w:tc>
          <w:tcPr>
            <w:tcW w:w="2629" w:type="pct"/>
            <w:tcBorders>
              <w:tl2br w:val="nil"/>
              <w:tr2bl w:val="nil"/>
            </w:tcBorders>
            <w:noWrap w:val="0"/>
            <w:vAlign w:val="center"/>
          </w:tcPr>
          <w:p w14:paraId="1896C6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w:t>
            </w:r>
          </w:p>
        </w:tc>
      </w:tr>
      <w:tr w14:paraId="43EDF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589180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4577694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氧化还原电位</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mv</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7AD09F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487</w:t>
            </w:r>
          </w:p>
        </w:tc>
      </w:tr>
      <w:tr w14:paraId="13DDB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restart"/>
            <w:tcBorders>
              <w:tl2br w:val="nil"/>
              <w:tr2bl w:val="nil"/>
            </w:tcBorders>
            <w:noWrap w:val="0"/>
            <w:vAlign w:val="center"/>
          </w:tcPr>
          <w:p w14:paraId="0FAE2F0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实验室测定</w:t>
            </w:r>
          </w:p>
        </w:tc>
        <w:tc>
          <w:tcPr>
            <w:tcW w:w="1135" w:type="pct"/>
            <w:tcBorders>
              <w:tl2br w:val="nil"/>
              <w:tr2bl w:val="nil"/>
            </w:tcBorders>
            <w:noWrap w:val="0"/>
            <w:vAlign w:val="center"/>
          </w:tcPr>
          <w:p w14:paraId="062DA90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pH（</w:t>
            </w:r>
            <w:r>
              <w:rPr>
                <w:rFonts w:hint="eastAsia" w:ascii="Times New Roman" w:hAnsi="Times New Roman" w:eastAsia="宋体" w:cs="Times New Roman"/>
                <w:caps w:val="0"/>
                <w:smallCaps w:val="0"/>
                <w:color w:val="auto"/>
                <w:spacing w:val="0"/>
                <w:kern w:val="0"/>
                <w:sz w:val="21"/>
                <w:szCs w:val="21"/>
                <w:highlight w:val="none"/>
                <w:lang w:eastAsia="zh-CN"/>
              </w:rPr>
              <w:t>无量纲</w:t>
            </w:r>
            <w:r>
              <w:rPr>
                <w:rFonts w:hint="eastAsia" w:ascii="Times New Roman" w:hAnsi="Times New Roman" w:eastAsia="宋体"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5284494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8.12</w:t>
            </w:r>
          </w:p>
        </w:tc>
      </w:tr>
      <w:tr w14:paraId="19258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76470FA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271FD1F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阳离子交换量</w:t>
            </w:r>
          </w:p>
          <w:p w14:paraId="4A6915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cmol</w:t>
            </w:r>
            <w:r>
              <w:rPr>
                <w:rFonts w:hint="eastAsia" w:ascii="Times New Roman" w:hAnsi="Times New Roman" w:eastAsia="宋体" w:cs="Times New Roman"/>
                <w:caps w:val="0"/>
                <w:smallCaps w:val="0"/>
                <w:color w:val="auto"/>
                <w:spacing w:val="0"/>
                <w:kern w:val="0"/>
                <w:sz w:val="21"/>
                <w:szCs w:val="21"/>
                <w:highlight w:val="none"/>
                <w:vertAlign w:val="superscript"/>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/kg</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6CEE37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10.6</w:t>
            </w:r>
          </w:p>
        </w:tc>
      </w:tr>
      <w:tr w14:paraId="330E2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0AE4787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4572636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渗滤率</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mm/min</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5973A2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0.444</w:t>
            </w:r>
          </w:p>
        </w:tc>
      </w:tr>
      <w:tr w14:paraId="62B6B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118D9C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413E11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土壤容重</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g/cm3</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706C168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1.19</w:t>
            </w:r>
          </w:p>
        </w:tc>
      </w:tr>
      <w:tr w14:paraId="7EBF6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771C20A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6C51308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总孔隙度</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3480070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33.1</w:t>
            </w:r>
          </w:p>
        </w:tc>
      </w:tr>
    </w:tbl>
    <w:p w14:paraId="1D4713D7">
      <w:pPr>
        <w:pageBreakBefore w:val="0"/>
        <w:wordWrap/>
        <w:topLinePunct w:val="0"/>
        <w:bidi w:val="0"/>
        <w:adjustRightInd w:val="0"/>
        <w:snapToGrid w:val="0"/>
        <w:spacing w:line="500" w:lineRule="atLeast"/>
        <w:ind w:left="0" w:leftChars="0" w:right="0" w:firstLine="480" w:firstLineChars="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7</w:t>
      </w:r>
      <w:r>
        <w:rPr>
          <w:rFonts w:hint="default" w:ascii="Times New Roman" w:hAnsi="Times New Roman" w:cs="Times New Roman"/>
          <w:color w:val="auto"/>
          <w:kern w:val="0"/>
          <w:highlight w:val="none"/>
        </w:rPr>
        <w:t>）监测结果</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17E5E3A0">
      <w:pPr>
        <w:pageBreakBefore w:val="0"/>
        <w:wordWrap/>
        <w:topLinePunct w:val="0"/>
        <w:bidi w:val="0"/>
        <w:adjustRightInd w:val="0"/>
        <w:snapToGrid w:val="0"/>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监测结果列于表4.2-</w:t>
      </w:r>
      <w:r>
        <w:rPr>
          <w:rFonts w:hint="eastAsia" w:cs="Times New Roman"/>
          <w:color w:val="auto"/>
          <w:highlight w:val="none"/>
          <w:lang w:val="en-US" w:eastAsia="zh-CN"/>
        </w:rPr>
        <w:t>8~11</w:t>
      </w:r>
      <w:r>
        <w:rPr>
          <w:rFonts w:hint="default" w:ascii="Times New Roman" w:hAnsi="Times New Roman" w:cs="Times New Roman"/>
          <w:color w:val="auto"/>
          <w:highlight w:val="none"/>
        </w:rPr>
        <w:t>。</w:t>
      </w:r>
    </w:p>
    <w:p w14:paraId="38F0E66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表4.2-</w:t>
      </w:r>
      <w:r>
        <w:rPr>
          <w:rFonts w:hint="eastAsia" w:cs="Times New Roman"/>
          <w:b/>
          <w:color w:val="auto"/>
          <w:sz w:val="21"/>
          <w:szCs w:val="21"/>
          <w:highlight w:val="none"/>
          <w:lang w:val="en-US" w:eastAsia="zh-CN"/>
        </w:rPr>
        <w:t xml:space="preserve">8    </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val="en-US" w:eastAsia="zh-CN"/>
        </w:rPr>
        <w:t>T3~7</w:t>
      </w:r>
      <w:r>
        <w:rPr>
          <w:rFonts w:hint="default" w:ascii="Times New Roman" w:hAnsi="Times New Roman" w:cs="Times New Roman"/>
          <w:b/>
          <w:bCs/>
          <w:color w:val="auto"/>
          <w:kern w:val="0"/>
          <w:sz w:val="21"/>
          <w:szCs w:val="21"/>
          <w:highlight w:val="none"/>
        </w:rPr>
        <w:t>监测点监测结果一览表</w:t>
      </w:r>
    </w:p>
    <w:tbl>
      <w:tblPr>
        <w:tblStyle w:val="19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88"/>
        <w:gridCol w:w="681"/>
        <w:gridCol w:w="627"/>
        <w:gridCol w:w="778"/>
        <w:gridCol w:w="641"/>
        <w:gridCol w:w="870"/>
        <w:gridCol w:w="778"/>
        <w:gridCol w:w="641"/>
        <w:gridCol w:w="641"/>
        <w:gridCol w:w="593"/>
        <w:gridCol w:w="780"/>
        <w:gridCol w:w="690"/>
        <w:gridCol w:w="780"/>
      </w:tblGrid>
      <w:tr w14:paraId="202D9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551" w:type="pct"/>
            <w:gridSpan w:val="2"/>
            <w:vAlign w:val="center"/>
          </w:tcPr>
          <w:p w14:paraId="51AFC4A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rPr>
            </w:pPr>
          </w:p>
        </w:tc>
        <w:tc>
          <w:tcPr>
            <w:tcW w:w="356" w:type="pct"/>
            <w:vAlign w:val="center"/>
          </w:tcPr>
          <w:p w14:paraId="7C55857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2" w:type="pct"/>
            <w:vAlign w:val="center"/>
          </w:tcPr>
          <w:p w14:paraId="5147444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56569D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494" w:type="pct"/>
            <w:vAlign w:val="center"/>
          </w:tcPr>
          <w:p w14:paraId="1367822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2" w:type="pct"/>
            <w:vAlign w:val="center"/>
          </w:tcPr>
          <w:p w14:paraId="4A9D03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64" w:type="pct"/>
            <w:vAlign w:val="center"/>
          </w:tcPr>
          <w:p w14:paraId="29F657A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64" w:type="pct"/>
            <w:vAlign w:val="center"/>
          </w:tcPr>
          <w:p w14:paraId="68015BE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37" w:type="pct"/>
            <w:vAlign w:val="center"/>
          </w:tcPr>
          <w:p w14:paraId="3CCEEC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443" w:type="pct"/>
            <w:vAlign w:val="center"/>
          </w:tcPr>
          <w:p w14:paraId="0F8F4EF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392" w:type="pct"/>
            <w:vAlign w:val="center"/>
          </w:tcPr>
          <w:p w14:paraId="6BE6C5A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443" w:type="pct"/>
            <w:vAlign w:val="center"/>
          </w:tcPr>
          <w:p w14:paraId="7BB706A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r>
      <w:tr w14:paraId="04B62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551" w:type="pct"/>
            <w:gridSpan w:val="2"/>
            <w:vAlign w:val="center"/>
          </w:tcPr>
          <w:p w14:paraId="70D794A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p>
        </w:tc>
        <w:tc>
          <w:tcPr>
            <w:tcW w:w="356" w:type="pct"/>
            <w:vAlign w:val="center"/>
          </w:tcPr>
          <w:p w14:paraId="40F6D8F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2" w:type="pct"/>
            <w:vAlign w:val="center"/>
          </w:tcPr>
          <w:p w14:paraId="474B23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52D4471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94" w:type="pct"/>
            <w:vAlign w:val="center"/>
          </w:tcPr>
          <w:p w14:paraId="133D662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vAlign w:val="center"/>
          </w:tcPr>
          <w:p w14:paraId="1434712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0C2DF20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1B3792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37" w:type="pct"/>
            <w:vAlign w:val="center"/>
          </w:tcPr>
          <w:p w14:paraId="04A19DA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70A3CAC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92" w:type="pct"/>
            <w:vAlign w:val="center"/>
          </w:tcPr>
          <w:p w14:paraId="0E1E4B8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7AD38DB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r>
      <w:tr w14:paraId="564D8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551" w:type="pct"/>
            <w:gridSpan w:val="2"/>
            <w:vAlign w:val="center"/>
          </w:tcPr>
          <w:p w14:paraId="7D90F9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rPr>
            </w:pPr>
          </w:p>
        </w:tc>
        <w:tc>
          <w:tcPr>
            <w:tcW w:w="356" w:type="pct"/>
            <w:vAlign w:val="center"/>
          </w:tcPr>
          <w:p w14:paraId="030AE2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442" w:type="pct"/>
            <w:vAlign w:val="center"/>
          </w:tcPr>
          <w:p w14:paraId="438C6FA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5B3E787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94" w:type="pct"/>
            <w:vAlign w:val="center"/>
          </w:tcPr>
          <w:p w14:paraId="00CFEC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2" w:type="pct"/>
            <w:vAlign w:val="center"/>
          </w:tcPr>
          <w:p w14:paraId="5F99505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64" w:type="pct"/>
            <w:vAlign w:val="center"/>
          </w:tcPr>
          <w:p w14:paraId="31272B4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64" w:type="pct"/>
            <w:vAlign w:val="center"/>
          </w:tcPr>
          <w:p w14:paraId="656492C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37" w:type="pct"/>
            <w:vAlign w:val="center"/>
          </w:tcPr>
          <w:p w14:paraId="7D2E7F5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3" w:type="pct"/>
            <w:vAlign w:val="center"/>
          </w:tcPr>
          <w:p w14:paraId="39B0841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92" w:type="pct"/>
            <w:vAlign w:val="center"/>
          </w:tcPr>
          <w:p w14:paraId="7E0E4CE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3" w:type="pct"/>
            <w:vAlign w:val="center"/>
          </w:tcPr>
          <w:p w14:paraId="21105F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r>
      <w:tr w14:paraId="6791A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restart"/>
            <w:vAlign w:val="center"/>
          </w:tcPr>
          <w:p w14:paraId="2FF956F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38F1FEA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2934252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rPr>
            </w:pPr>
          </w:p>
        </w:tc>
        <w:tc>
          <w:tcPr>
            <w:tcW w:w="442" w:type="pct"/>
            <w:shd w:val="clear" w:color="auto" w:fill="auto"/>
            <w:vAlign w:val="center"/>
          </w:tcPr>
          <w:p w14:paraId="4FBE5CB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27F6C69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94" w:type="pct"/>
            <w:shd w:val="clear" w:color="auto" w:fill="auto"/>
            <w:vAlign w:val="center"/>
          </w:tcPr>
          <w:p w14:paraId="294564A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42827F0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2FFD1BA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3745D0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restart"/>
            <w:shd w:val="clear" w:color="auto" w:fill="auto"/>
            <w:vAlign w:val="center"/>
          </w:tcPr>
          <w:p w14:paraId="799813D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shd w:val="clear" w:color="auto" w:fill="auto"/>
            <w:vAlign w:val="center"/>
          </w:tcPr>
          <w:p w14:paraId="2A1CBD8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690AF47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5D8DB17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p>
        </w:tc>
      </w:tr>
      <w:tr w14:paraId="26E76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continue"/>
            <w:vAlign w:val="center"/>
          </w:tcPr>
          <w:p w14:paraId="2465AAF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2D8C60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1432342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vAlign w:val="center"/>
          </w:tcPr>
          <w:p w14:paraId="591E60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3CC429D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94" w:type="pct"/>
            <w:vAlign w:val="center"/>
          </w:tcPr>
          <w:p w14:paraId="31142A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vAlign w:val="top"/>
          </w:tcPr>
          <w:p w14:paraId="2DC10F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57DBCD8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681F761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37" w:type="pct"/>
            <w:vMerge w:val="continue"/>
            <w:vAlign w:val="center"/>
          </w:tcPr>
          <w:p w14:paraId="6AEFE8B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4F59FC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92" w:type="pct"/>
            <w:vAlign w:val="center"/>
          </w:tcPr>
          <w:p w14:paraId="0160ACD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1C1C37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r>
      <w:tr w14:paraId="41D41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8" w:hRule="atLeast"/>
          <w:jc w:val="center"/>
        </w:trPr>
        <w:tc>
          <w:tcPr>
            <w:tcW w:w="164" w:type="pct"/>
            <w:vMerge w:val="continue"/>
            <w:vAlign w:val="center"/>
          </w:tcPr>
          <w:p w14:paraId="36A4189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3E5E1E0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0D72D5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BE06DB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057D14E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2DF34EE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top"/>
          </w:tcPr>
          <w:p w14:paraId="69A94B2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DAF40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57C38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7C6E048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62C2AC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92" w:type="pct"/>
            <w:vAlign w:val="center"/>
          </w:tcPr>
          <w:p w14:paraId="0311985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0C8CC72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r>
      <w:tr w14:paraId="7DD3A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restart"/>
            <w:vAlign w:val="center"/>
          </w:tcPr>
          <w:p w14:paraId="6AC22D6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636262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402058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32C92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06827C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4DF1C0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4394A8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A163AD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036417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3CFD1D7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2E4E628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5432059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12E252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45528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continue"/>
            <w:vAlign w:val="center"/>
          </w:tcPr>
          <w:p w14:paraId="49EF387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5630A9B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2DB977E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057DF3E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69041B6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21F8651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top"/>
          </w:tcPr>
          <w:p w14:paraId="3946884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5F8CF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73D4CF2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3D617F7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63A257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7434D0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5A24EE0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2D6DC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continue"/>
            <w:vAlign w:val="center"/>
          </w:tcPr>
          <w:p w14:paraId="28F5D14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3ECC278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7FE2E10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7215052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48594AE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671F308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top"/>
          </w:tcPr>
          <w:p w14:paraId="149AA2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01C594B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56D17C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765A2C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shd w:val="clear" w:color="auto" w:fill="auto"/>
            <w:vAlign w:val="center"/>
          </w:tcPr>
          <w:p w14:paraId="3D3F06D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59C5F5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150283C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0A0D3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restart"/>
            <w:vAlign w:val="center"/>
          </w:tcPr>
          <w:p w14:paraId="44831BC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20B8AEF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shd w:val="clear" w:color="auto" w:fill="auto"/>
            <w:vAlign w:val="center"/>
          </w:tcPr>
          <w:p w14:paraId="3B59279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2C2285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7C9A6E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185F59F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63F7873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8C67E2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A1BE7D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740FA33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745A9D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7C16E1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2462057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7363F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continue"/>
            <w:vAlign w:val="center"/>
          </w:tcPr>
          <w:p w14:paraId="07C8B5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color w:val="auto"/>
                <w:highlight w:val="none"/>
              </w:rPr>
            </w:pPr>
          </w:p>
        </w:tc>
        <w:tc>
          <w:tcPr>
            <w:tcW w:w="386" w:type="pct"/>
            <w:vAlign w:val="center"/>
          </w:tcPr>
          <w:p w14:paraId="7E92BD2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38BC40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EFF55B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032EF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369608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12ADF5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5C0332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70CD064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5B07A86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110AF22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0811D4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3ADCA8D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3815C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continue"/>
            <w:vAlign w:val="center"/>
          </w:tcPr>
          <w:p w14:paraId="573FB81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45534F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22F27F9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4BF95C5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68AF8C0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0D49FA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BC930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3DF6AC3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3709DA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5E37C02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2B75DBD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200C7B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06F2B6B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32709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restart"/>
            <w:vAlign w:val="center"/>
          </w:tcPr>
          <w:p w14:paraId="38907C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63A86CF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38E3A36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762322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4C074E7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shd w:val="clear" w:color="auto" w:fill="auto"/>
            <w:vAlign w:val="center"/>
          </w:tcPr>
          <w:p w14:paraId="7CBC8D9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7C5D172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6A17E6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1ACAB5E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0F30AFF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4257D8F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41C172E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5829BD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34D35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continue"/>
            <w:vAlign w:val="center"/>
          </w:tcPr>
          <w:p w14:paraId="79E131B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color w:val="auto"/>
                <w:highlight w:val="none"/>
              </w:rPr>
            </w:pPr>
          </w:p>
        </w:tc>
        <w:tc>
          <w:tcPr>
            <w:tcW w:w="386" w:type="pct"/>
            <w:vAlign w:val="center"/>
          </w:tcPr>
          <w:p w14:paraId="23AA14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65AAB53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4E6EA48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4444F45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57DD0AF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C5AC6B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062258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5A49225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5591E4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467ADA3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66FA050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74D8C4A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4B92E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continue"/>
            <w:vAlign w:val="center"/>
          </w:tcPr>
          <w:p w14:paraId="471E9A1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21A4A50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0062E93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4EC506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34FD30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682720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F7317C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6724596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33E08B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39D660E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72E8420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37CE40C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0791CDD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1986F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64" w:type="pct"/>
            <w:vMerge w:val="restart"/>
            <w:vAlign w:val="center"/>
          </w:tcPr>
          <w:p w14:paraId="761697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16F5AD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shd w:val="clear" w:color="auto" w:fill="auto"/>
            <w:vAlign w:val="center"/>
          </w:tcPr>
          <w:p w14:paraId="2E8CE84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4AF084B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38D9835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shd w:val="clear" w:color="auto" w:fill="auto"/>
            <w:vAlign w:val="center"/>
          </w:tcPr>
          <w:p w14:paraId="577FB53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51E250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35B60F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57F39DC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4118A3C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shd w:val="clear" w:color="auto" w:fill="auto"/>
            <w:noWrap/>
            <w:vAlign w:val="center"/>
          </w:tcPr>
          <w:p w14:paraId="523BB11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shd w:val="clear" w:color="auto" w:fill="auto"/>
            <w:vAlign w:val="center"/>
          </w:tcPr>
          <w:p w14:paraId="0FF7B84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shd w:val="clear" w:color="auto" w:fill="auto"/>
            <w:vAlign w:val="center"/>
          </w:tcPr>
          <w:p w14:paraId="06F49C7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4FF4C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64" w:type="pct"/>
            <w:vMerge w:val="continue"/>
            <w:vAlign w:val="center"/>
          </w:tcPr>
          <w:p w14:paraId="62A3CEB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60D7669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3161126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5F25E67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592B534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6BFE03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44B2C0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4E171CE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75FC06F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111BFC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noWrap/>
            <w:vAlign w:val="center"/>
          </w:tcPr>
          <w:p w14:paraId="504B6DB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4029968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5D75241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59636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64" w:type="pct"/>
            <w:vMerge w:val="continue"/>
            <w:vAlign w:val="center"/>
          </w:tcPr>
          <w:p w14:paraId="4F97756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50792C9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6053D59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397D9F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36160D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5267998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2B3A7F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76F3949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3B0E26F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1ECFA08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noWrap/>
            <w:vAlign w:val="center"/>
          </w:tcPr>
          <w:p w14:paraId="49F9AE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0B97743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325A152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2DDFE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164" w:type="pct"/>
            <w:vAlign w:val="center"/>
          </w:tcPr>
          <w:p w14:paraId="470BCC3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750F8D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56" w:type="pct"/>
            <w:noWrap/>
            <w:vAlign w:val="center"/>
          </w:tcPr>
          <w:p w14:paraId="02FE91E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noWrap/>
            <w:vAlign w:val="center"/>
          </w:tcPr>
          <w:p w14:paraId="0443734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noWrap/>
            <w:vAlign w:val="center"/>
          </w:tcPr>
          <w:p w14:paraId="7F5BAC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94" w:type="pct"/>
            <w:noWrap/>
            <w:vAlign w:val="center"/>
          </w:tcPr>
          <w:p w14:paraId="030ED8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noWrap/>
            <w:vAlign w:val="center"/>
          </w:tcPr>
          <w:p w14:paraId="3B8EA9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noWrap/>
            <w:vAlign w:val="center"/>
          </w:tcPr>
          <w:p w14:paraId="711A1E3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noWrap/>
            <w:vAlign w:val="center"/>
          </w:tcPr>
          <w:p w14:paraId="7BD77F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37" w:type="pct"/>
            <w:noWrap/>
            <w:vAlign w:val="center"/>
          </w:tcPr>
          <w:p w14:paraId="2AEB76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noWrap/>
            <w:vAlign w:val="center"/>
          </w:tcPr>
          <w:p w14:paraId="6DB9BF7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92" w:type="pct"/>
            <w:noWrap/>
            <w:vAlign w:val="center"/>
          </w:tcPr>
          <w:p w14:paraId="6CB31B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noWrap/>
            <w:vAlign w:val="center"/>
          </w:tcPr>
          <w:p w14:paraId="571150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r>
    </w:tbl>
    <w:p w14:paraId="152F47D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b/>
          <w:color w:val="auto"/>
          <w:sz w:val="21"/>
          <w:szCs w:val="21"/>
          <w:highlight w:val="none"/>
        </w:rPr>
        <w:t>表4.2-</w:t>
      </w:r>
      <w:r>
        <w:rPr>
          <w:rFonts w:hint="eastAsia" w:cs="Times New Roman"/>
          <w:b/>
          <w:color w:val="auto"/>
          <w:sz w:val="21"/>
          <w:szCs w:val="21"/>
          <w:highlight w:val="none"/>
          <w:lang w:val="en-US" w:eastAsia="zh-CN"/>
        </w:rPr>
        <w:t>9</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val="en-US" w:eastAsia="zh-CN"/>
        </w:rPr>
        <w:t>T1</w:t>
      </w:r>
      <w:r>
        <w:rPr>
          <w:rFonts w:hint="default" w:ascii="Times New Roman" w:hAnsi="Times New Roman" w:cs="Times New Roman"/>
          <w:b/>
          <w:color w:val="auto"/>
          <w:sz w:val="21"/>
          <w:szCs w:val="21"/>
          <w:highlight w:val="none"/>
        </w:rPr>
        <w:t>监测点监测结果一览表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1251"/>
        <w:gridCol w:w="1405"/>
        <w:gridCol w:w="1571"/>
        <w:gridCol w:w="1716"/>
      </w:tblGrid>
      <w:tr w14:paraId="17E90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430EC8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699" w:type="pct"/>
            <w:tcBorders>
              <w:tl2br w:val="nil"/>
              <w:tr2bl w:val="nil"/>
            </w:tcBorders>
            <w:vAlign w:val="center"/>
          </w:tcPr>
          <w:p w14:paraId="7AD2F43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785" w:type="pct"/>
            <w:tcBorders>
              <w:tl2br w:val="nil"/>
              <w:tr2bl w:val="nil"/>
            </w:tcBorders>
            <w:vAlign w:val="center"/>
          </w:tcPr>
          <w:p w14:paraId="5FC9DE2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878" w:type="pct"/>
            <w:tcBorders>
              <w:tl2br w:val="nil"/>
              <w:tr2bl w:val="nil"/>
            </w:tcBorders>
            <w:vAlign w:val="center"/>
          </w:tcPr>
          <w:p w14:paraId="350C767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959" w:type="pct"/>
            <w:tcBorders>
              <w:tl2br w:val="nil"/>
              <w:tr2bl w:val="nil"/>
            </w:tcBorders>
            <w:vAlign w:val="center"/>
          </w:tcPr>
          <w:p w14:paraId="27BA1A8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r>
      <w:tr w14:paraId="42491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CA0AEE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5590CC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A78C96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5932AD4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18CCC8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773C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6A069D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BF04B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0330245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AF58A4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06295C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E491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B30141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D3ABFD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FFDE09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6E3CB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C1859C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756B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775B5C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122D6D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91D5F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9738FF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675BAF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E039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6284450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9181E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118F882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D4F8AB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C82833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5B6A2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259BCB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CE5E5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2DFBA6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4AF27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748610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5CD7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915BBC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7C10D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51925B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CCF138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94656D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1AA3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8DDDD0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24CA53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D3D13A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BEFB2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0BED25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6080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7E5DC4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2F525F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1DA4146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3EB343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954860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0682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055732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5507EDF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24EA70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D8C1E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0E107CE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302A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85AE9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196899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9AA90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528E547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E85067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25ED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6ECA73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568C16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BD9786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7D9F99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052B484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FD70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75B0B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8BC2A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554489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7E4052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BA709D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B6F6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6A99A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17CA31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E066B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2BB491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BE137C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2B8E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6056D92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0F6A2B4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F4E3D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BA3A49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B85BDA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6EA2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2AF73D4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41F69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E11868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54ADCE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9FBE3C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FDA9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677" w:type="pct"/>
            <w:tcBorders>
              <w:tl2br w:val="nil"/>
              <w:tr2bl w:val="nil"/>
            </w:tcBorders>
            <w:vAlign w:val="center"/>
          </w:tcPr>
          <w:p w14:paraId="0EE3B7C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28A75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1F4A05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05387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10C9A9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46C7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2F01A1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194393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6F3AC3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3539FF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6D8649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2BBC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6F9376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D2B5A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C8B7BA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475B44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0CF90E3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7197A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F96976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8E8960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22291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258245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D51A18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A9FA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2E0CB7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14361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B0AB51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E26942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022F10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5396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0F7A0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4878C0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2136D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6FEF156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007EB4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30B6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6BDF3E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05CEC8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01F8BB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613E180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C5C64D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5B02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F1BA1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979BB6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EC9339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6F15E83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1F41E59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CCB7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195DA7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F5F8D3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2C7585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584E5E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CFABCC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B477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DC9D60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AE9184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004F0BE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29964CF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6D836C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5FEA9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120C8D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10067AB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BA8E9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05B8F5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CFA22E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A442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719A2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E9CA1F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A259C7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63BF2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09CF1A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7FAAF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71E9D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B5FD56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812B2D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69629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118B0F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3F57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378797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3DD051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1EB1B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84CBF4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7083BE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B20C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2CE85A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939A57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FAD1E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82DA6A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BE5303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53A9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5C5CF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4D155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3242D8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608F2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5A759B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D7FC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5B2D43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B97CA6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6CC392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2168A66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5C18FE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7D2FA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34573D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FDF739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B3200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C04341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FA32DF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6C5B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E6063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D6074B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0CB83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1926A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06BB99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3A51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AB4715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134281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AB6BD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A1695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939F70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FB6D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ACC52F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112B861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1CF5367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B3920E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13A142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C1E4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A4634B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DFC62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DE0872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EB4ECC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130D470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2619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AC1B4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7AD2F2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23BC7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4743E1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F97139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882D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F902B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9273E2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002CE83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5B5A7E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646B39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1302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221DE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801418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AC1B77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468049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9D33FC4">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A4E0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A7BE3F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1700DF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E06B66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972E55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CD9420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D107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A63DB4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008B017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8A304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6400662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00690F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5A1B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E59895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9755A4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5D5C7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70A248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05383C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625F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F5FBF9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572883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A478C1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3F8FC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72DEA5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5F787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189113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DD99FE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F82033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408A5E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9E8A87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bl>
    <w:p w14:paraId="3DFA607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表4.2-</w:t>
      </w:r>
      <w:r>
        <w:rPr>
          <w:rFonts w:hint="eastAsia" w:ascii="Times New Roman" w:hAnsi="Times New Roman" w:cs="Times New Roman"/>
          <w:b/>
          <w:bCs/>
          <w:color w:val="auto"/>
          <w:kern w:val="0"/>
          <w:sz w:val="21"/>
          <w:szCs w:val="21"/>
          <w:highlight w:val="none"/>
          <w:lang w:val="en-US" w:eastAsia="zh-CN"/>
        </w:rPr>
        <w:t>10</w:t>
      </w:r>
      <w:r>
        <w:rPr>
          <w:rFonts w:hint="default" w:ascii="Times New Roman" w:hAnsi="Times New Roman" w:cs="Times New Roman"/>
          <w:b/>
          <w:bCs/>
          <w:color w:val="auto"/>
          <w:kern w:val="0"/>
          <w:sz w:val="21"/>
          <w:szCs w:val="21"/>
          <w:highlight w:val="none"/>
        </w:rPr>
        <w:t xml:space="preserve">  </w:t>
      </w:r>
      <w:r>
        <w:rPr>
          <w:rFonts w:hint="eastAsia" w:cs="Times New Roman"/>
          <w:b/>
          <w:bCs/>
          <w:color w:val="auto"/>
          <w:kern w:val="0"/>
          <w:sz w:val="21"/>
          <w:szCs w:val="21"/>
          <w:highlight w:val="none"/>
          <w:lang w:val="en-US" w:eastAsia="zh-CN"/>
        </w:rPr>
        <w:t>T2</w:t>
      </w:r>
      <w:r>
        <w:rPr>
          <w:rFonts w:hint="default" w:ascii="Times New Roman" w:hAnsi="Times New Roman" w:cs="Times New Roman"/>
          <w:b/>
          <w:bCs/>
          <w:color w:val="auto"/>
          <w:kern w:val="0"/>
          <w:sz w:val="21"/>
          <w:szCs w:val="21"/>
          <w:highlight w:val="none"/>
        </w:rPr>
        <w:t>监测点监测结果一览表</w:t>
      </w:r>
    </w:p>
    <w:tbl>
      <w:tblPr>
        <w:tblStyle w:val="19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13"/>
        <w:gridCol w:w="1715"/>
        <w:gridCol w:w="1715"/>
        <w:gridCol w:w="2012"/>
        <w:gridCol w:w="2028"/>
      </w:tblGrid>
      <w:tr w14:paraId="27744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7" w:type="pct"/>
            <w:vAlign w:val="center"/>
          </w:tcPr>
          <w:p w14:paraId="39DB3CB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976" w:type="pct"/>
            <w:vAlign w:val="center"/>
          </w:tcPr>
          <w:p w14:paraId="010DED5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p>
        </w:tc>
        <w:tc>
          <w:tcPr>
            <w:tcW w:w="976" w:type="pct"/>
            <w:vAlign w:val="center"/>
          </w:tcPr>
          <w:p w14:paraId="764CE50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1145" w:type="pct"/>
            <w:vAlign w:val="center"/>
          </w:tcPr>
          <w:p w14:paraId="1E566A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154" w:type="pct"/>
            <w:vAlign w:val="center"/>
          </w:tcPr>
          <w:p w14:paraId="2B267B2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p>
        </w:tc>
      </w:tr>
      <w:tr w14:paraId="48417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618D88C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69491A2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152BB8A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3500E55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center"/>
          </w:tcPr>
          <w:p w14:paraId="116AE52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321B8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584022B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0DE3C0C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3AB1587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02684B3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2BCE954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187FE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05C62C5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1B82CC2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6025D1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076D23F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71C3D52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358FF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2EA3C7B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233E6A8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54BCD25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5E1AC47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6A6808F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4ED7B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7B39E93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1347FC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29D3A30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4F40BEF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1004D8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21C86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662EA99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061D36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22194C4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21883EE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3B6285D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45153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jc w:val="center"/>
        </w:trPr>
        <w:tc>
          <w:tcPr>
            <w:tcW w:w="747" w:type="pct"/>
            <w:vAlign w:val="center"/>
          </w:tcPr>
          <w:p w14:paraId="6E3D597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4E23BFC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633433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39E5D0F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3450548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41D46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6FAC73D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0AF3C56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758FB01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44FA19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33DFA97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21192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47" w:type="pct"/>
            <w:vAlign w:val="center"/>
          </w:tcPr>
          <w:p w14:paraId="482D2FF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58BAF7D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3EAC954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014452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7C6100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48F3B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47" w:type="pct"/>
            <w:vAlign w:val="center"/>
          </w:tcPr>
          <w:p w14:paraId="684D466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27F7AE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432C2B8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4212C3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3EFF7A9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02076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47" w:type="pct"/>
            <w:vAlign w:val="center"/>
          </w:tcPr>
          <w:p w14:paraId="275ACE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43D988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74D1D9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1AEC66F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7B3F26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bl>
    <w:p w14:paraId="6EAE41A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表4.2-</w:t>
      </w:r>
      <w:r>
        <w:rPr>
          <w:rFonts w:hint="eastAsia" w:cs="Times New Roman"/>
          <w:b/>
          <w:bCs/>
          <w:color w:val="auto"/>
          <w:kern w:val="0"/>
          <w:sz w:val="21"/>
          <w:szCs w:val="21"/>
          <w:highlight w:val="none"/>
          <w:lang w:val="en-US" w:eastAsia="zh-CN"/>
        </w:rPr>
        <w:t>11</w:t>
      </w:r>
      <w:r>
        <w:rPr>
          <w:rFonts w:hint="default" w:ascii="Times New Roman" w:hAnsi="Times New Roman" w:cs="Times New Roman"/>
          <w:b/>
          <w:bCs/>
          <w:color w:val="auto"/>
          <w:kern w:val="0"/>
          <w:sz w:val="21"/>
          <w:szCs w:val="21"/>
          <w:highlight w:val="none"/>
        </w:rPr>
        <w:t xml:space="preserve">  </w:t>
      </w:r>
      <w:r>
        <w:rPr>
          <w:rFonts w:hint="eastAsia" w:cs="Times New Roman"/>
          <w:b/>
          <w:bCs/>
          <w:color w:val="auto"/>
          <w:kern w:val="0"/>
          <w:sz w:val="21"/>
          <w:szCs w:val="21"/>
          <w:highlight w:val="none"/>
          <w:lang w:val="en-US" w:eastAsia="zh-CN"/>
        </w:rPr>
        <w:t>T8~11</w:t>
      </w:r>
      <w:r>
        <w:rPr>
          <w:rFonts w:hint="default" w:ascii="Times New Roman" w:hAnsi="Times New Roman" w:cs="Times New Roman"/>
          <w:b/>
          <w:bCs/>
          <w:color w:val="auto"/>
          <w:kern w:val="0"/>
          <w:sz w:val="21"/>
          <w:szCs w:val="21"/>
          <w:highlight w:val="none"/>
        </w:rPr>
        <w:t>监测点监测结果一览表</w:t>
      </w:r>
    </w:p>
    <w:tbl>
      <w:tblPr>
        <w:tblStyle w:val="19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99"/>
        <w:gridCol w:w="943"/>
        <w:gridCol w:w="944"/>
        <w:gridCol w:w="1216"/>
        <w:gridCol w:w="1216"/>
        <w:gridCol w:w="1218"/>
        <w:gridCol w:w="1220"/>
        <w:gridCol w:w="1227"/>
      </w:tblGrid>
      <w:tr w14:paraId="4B17F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Merge w:val="restart"/>
            <w:vAlign w:val="center"/>
          </w:tcPr>
          <w:p w14:paraId="4E9B844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537" w:type="pct"/>
            <w:vMerge w:val="restart"/>
            <w:vAlign w:val="center"/>
          </w:tcPr>
          <w:p w14:paraId="2EA5E44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p>
        </w:tc>
        <w:tc>
          <w:tcPr>
            <w:tcW w:w="537" w:type="pct"/>
            <w:vMerge w:val="restart"/>
            <w:vAlign w:val="center"/>
          </w:tcPr>
          <w:p w14:paraId="1A369E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2771" w:type="pct"/>
            <w:gridSpan w:val="4"/>
            <w:vAlign w:val="center"/>
          </w:tcPr>
          <w:p w14:paraId="17D300D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color w:val="auto"/>
                <w:kern w:val="0"/>
                <w:sz w:val="21"/>
                <w:szCs w:val="21"/>
                <w:highlight w:val="none"/>
                <w:lang w:val="en-US" w:eastAsia="zh-CN"/>
              </w:rPr>
            </w:pPr>
          </w:p>
        </w:tc>
        <w:tc>
          <w:tcPr>
            <w:tcW w:w="698" w:type="pct"/>
            <w:vMerge w:val="restart"/>
            <w:vAlign w:val="center"/>
          </w:tcPr>
          <w:p w14:paraId="781207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p>
        </w:tc>
      </w:tr>
      <w:tr w14:paraId="75D97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Merge w:val="continue"/>
            <w:vAlign w:val="center"/>
          </w:tcPr>
          <w:p w14:paraId="696CC2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537" w:type="pct"/>
            <w:vMerge w:val="continue"/>
            <w:vAlign w:val="center"/>
          </w:tcPr>
          <w:p w14:paraId="3F47C63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537" w:type="pct"/>
            <w:vMerge w:val="continue"/>
            <w:vAlign w:val="center"/>
          </w:tcPr>
          <w:p w14:paraId="6114EE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692" w:type="pct"/>
            <w:shd w:val="clear" w:color="auto" w:fill="auto"/>
            <w:vAlign w:val="center"/>
          </w:tcPr>
          <w:p w14:paraId="036568D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92" w:type="pct"/>
            <w:shd w:val="clear" w:color="auto" w:fill="auto"/>
            <w:vAlign w:val="center"/>
          </w:tcPr>
          <w:p w14:paraId="478D88E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93" w:type="pct"/>
            <w:shd w:val="clear" w:color="auto" w:fill="auto"/>
            <w:vAlign w:val="center"/>
          </w:tcPr>
          <w:p w14:paraId="5E0B038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93" w:type="pct"/>
            <w:shd w:val="clear" w:color="auto" w:fill="auto"/>
            <w:vAlign w:val="center"/>
          </w:tcPr>
          <w:p w14:paraId="22066D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98" w:type="pct"/>
            <w:vMerge w:val="continue"/>
            <w:vAlign w:val="center"/>
          </w:tcPr>
          <w:p w14:paraId="2A4C4D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5E151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389EA5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0335FA0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944" w:type="dxa"/>
            <w:vAlign w:val="center"/>
          </w:tcPr>
          <w:p w14:paraId="19A79EA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63F7AD1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4D0B537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2BB7E8F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327F4A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center"/>
          </w:tcPr>
          <w:p w14:paraId="40C709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380BF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3999D46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434A20A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1B63B1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58D3140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34A216B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41C7C9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31334FA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1FEEBF7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14416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054635E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582F852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7D42863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6574006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3376755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7533FD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7BAE86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28E860B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243DF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4BFD67D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656A15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597520F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4685BF0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36221ED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3F10BE6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02B3B0A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65542D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4B076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1EE50A8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2B6D033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35C3344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0F712E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1B0F020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5563802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5F6D561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3C2547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19008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6893434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7161B2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3A09ECD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6C87AB2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31EF8F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5404A1C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40BD227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5DA0241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184AA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7372912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611B6BE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2B1C0F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477D077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79DED5F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6FB733A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6846B30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21013C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0C5A5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32BBEC2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0D0B29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07DA357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0425605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4B8971F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599651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0CEFD56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1540C5E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6B540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455" w:type="pct"/>
            <w:vAlign w:val="center"/>
          </w:tcPr>
          <w:p w14:paraId="5FB9F1E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08DB40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4C0B467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2641524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5DF6EC7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2BD03A3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0FE294A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12F539B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58802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455" w:type="pct"/>
            <w:vAlign w:val="center"/>
          </w:tcPr>
          <w:p w14:paraId="47E4F6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148BD6F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07C938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7B3FE07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647F09E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15B9D04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4616B50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5105607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3C02E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455" w:type="pct"/>
            <w:vAlign w:val="center"/>
          </w:tcPr>
          <w:p w14:paraId="1A82EAF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1C15BB0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1811454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6485115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158CFA7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1DCA532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7E94E21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3DDEE9F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bl>
    <w:p w14:paraId="1058DBC8">
      <w:pPr>
        <w:pageBreakBefore w:val="0"/>
        <w:wordWrap/>
        <w:topLinePunct w:val="0"/>
        <w:bidi w:val="0"/>
        <w:adjustRightInd w:val="0"/>
        <w:snapToGrid w:val="0"/>
        <w:ind w:left="0" w:leftChars="0" w:right="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由上表可见，占地范围内</w:t>
      </w:r>
      <w:r>
        <w:rPr>
          <w:rFonts w:hint="eastAsia" w:cs="Times New Roman"/>
          <w:color w:val="auto"/>
          <w:kern w:val="0"/>
          <w:highlight w:val="none"/>
          <w:lang w:val="en-US" w:eastAsia="zh-CN"/>
        </w:rPr>
        <w:t>及周边</w:t>
      </w:r>
      <w:r>
        <w:rPr>
          <w:rFonts w:hint="default" w:ascii="Times New Roman" w:hAnsi="Times New Roman" w:cs="Times New Roman"/>
          <w:color w:val="auto"/>
          <w:kern w:val="0"/>
          <w:highlight w:val="none"/>
        </w:rPr>
        <w:t>的各</w:t>
      </w:r>
      <w:r>
        <w:rPr>
          <w:rFonts w:hint="eastAsia" w:cs="Times New Roman"/>
          <w:color w:val="auto"/>
          <w:kern w:val="0"/>
          <w:highlight w:val="none"/>
          <w:lang w:eastAsia="zh-CN"/>
        </w:rPr>
        <w:t>监测点位</w:t>
      </w:r>
      <w:r>
        <w:rPr>
          <w:rFonts w:hint="default" w:ascii="Times New Roman" w:hAnsi="Times New Roman" w:cs="Times New Roman"/>
          <w:color w:val="auto"/>
          <w:kern w:val="0"/>
          <w:highlight w:val="none"/>
        </w:rPr>
        <w:t>的监测因子均符合</w:t>
      </w:r>
      <w:r>
        <w:rPr>
          <w:rFonts w:hint="default" w:ascii="Times New Roman" w:hAnsi="Times New Roman" w:cs="Times New Roman"/>
          <w:color w:val="auto"/>
          <w:highlight w:val="none"/>
        </w:rPr>
        <w:t>《土壤环境质量 建设用地土壤污染风险管控标准》（GB36600-2018）相关标准</w:t>
      </w:r>
      <w:r>
        <w:rPr>
          <w:rFonts w:hint="default" w:ascii="Times New Roman" w:hAnsi="Times New Roman" w:cs="Times New Roman"/>
          <w:color w:val="auto"/>
          <w:kern w:val="0"/>
          <w:highlight w:val="none"/>
        </w:rPr>
        <w:t>；占地范围外的</w:t>
      </w:r>
      <w:r>
        <w:rPr>
          <w:rFonts w:hint="eastAsia" w:cs="Times New Roman"/>
          <w:color w:val="auto"/>
          <w:kern w:val="0"/>
          <w:highlight w:val="none"/>
          <w:lang w:val="en-US" w:eastAsia="zh-CN"/>
        </w:rPr>
        <w:t>T8</w:t>
      </w:r>
      <w:r>
        <w:rPr>
          <w:rFonts w:hint="default" w:ascii="Times New Roman" w:hAnsi="Times New Roman" w:cs="Times New Roman"/>
          <w:color w:val="auto"/>
          <w:kern w:val="0"/>
          <w:highlight w:val="none"/>
        </w:rPr>
        <w:t>监测点各监测项目均满足《土壤环境质量  农用地土壤污染风险管控标准》（GB15618-2018）表1其他类中的风险筛选值要求</w:t>
      </w:r>
      <w:r>
        <w:rPr>
          <w:rFonts w:hint="default" w:ascii="Times New Roman" w:hAnsi="Times New Roman" w:cs="Times New Roman"/>
          <w:color w:val="auto"/>
          <w:highlight w:val="none"/>
        </w:rPr>
        <w:t>。</w:t>
      </w:r>
    </w:p>
    <w:p w14:paraId="6F1D39D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bookmarkStart w:id="164" w:name="_Hlk149945435"/>
      <w:r>
        <w:rPr>
          <w:rFonts w:hint="default" w:ascii="Times New Roman" w:hAnsi="Times New Roman" w:cs="Times New Roman"/>
          <w:color w:val="auto"/>
          <w:highlight w:val="none"/>
        </w:rPr>
        <w:t>4.2.4 地下水环境质量现状调查</w:t>
      </w:r>
    </w:p>
    <w:p w14:paraId="22B8EDDD">
      <w:pPr>
        <w:keepNext w:val="0"/>
        <w:keepLines w:val="0"/>
        <w:pageBreakBefore w:val="0"/>
        <w:widowControl w:val="0"/>
        <w:kinsoku/>
        <w:wordWrap/>
        <w:overflowPunct/>
        <w:topLinePunct w:val="0"/>
        <w:autoSpaceDE/>
        <w:autoSpaceDN/>
        <w:bidi w:val="0"/>
        <w:adjustRightInd w:val="0"/>
        <w:snapToGrid w:val="0"/>
        <w:ind w:left="0" w:leftChars="0" w:right="0" w:firstLine="472"/>
        <w:textAlignment w:val="auto"/>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（1）监测点位</w:t>
      </w:r>
    </w:p>
    <w:p w14:paraId="324EB003">
      <w:pPr>
        <w:keepNext w:val="0"/>
        <w:keepLines w:val="0"/>
        <w:pageBreakBefore w:val="0"/>
        <w:widowControl w:val="0"/>
        <w:kinsoku/>
        <w:wordWrap/>
        <w:overflowPunct/>
        <w:topLinePunct w:val="0"/>
        <w:autoSpaceDE/>
        <w:autoSpaceDN/>
        <w:bidi w:val="0"/>
        <w:adjustRightInd w:val="0"/>
        <w:snapToGrid w:val="0"/>
        <w:ind w:left="0" w:leftChars="0" w:right="0" w:firstLine="472"/>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spacing w:val="-2"/>
          <w:highlight w:val="none"/>
        </w:rPr>
        <w:t>本次采用实测法来说明地下水环境质量现状，区域地下水总的流向为由北向南径流，</w:t>
      </w:r>
      <w:r>
        <w:rPr>
          <w:rFonts w:hint="default" w:ascii="Times New Roman" w:hAnsi="Times New Roman" w:cs="Times New Roman"/>
          <w:color w:val="auto"/>
          <w:highlight w:val="none"/>
        </w:rPr>
        <w:t>本次共</w:t>
      </w:r>
      <w:r>
        <w:rPr>
          <w:rFonts w:hint="default" w:ascii="Times New Roman" w:hAnsi="Times New Roman" w:cs="Times New Roman"/>
          <w:color w:val="auto"/>
          <w:spacing w:val="-2"/>
          <w:highlight w:val="none"/>
        </w:rPr>
        <w:t>布设5个地下水监测点，其中项目区上游1个点、下游2个点、两侧各1个点</w:t>
      </w:r>
      <w:r>
        <w:rPr>
          <w:rFonts w:hint="default" w:ascii="Times New Roman" w:hAnsi="Times New Roman" w:cs="Times New Roman"/>
          <w:color w:val="auto"/>
          <w:highlight w:val="none"/>
        </w:rPr>
        <w:t>，采样时间为202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9</w:t>
      </w:r>
      <w:r>
        <w:rPr>
          <w:rFonts w:hint="default" w:ascii="Times New Roman" w:hAnsi="Times New Roman" w:cs="Times New Roman"/>
          <w:color w:val="auto"/>
          <w:highlight w:val="none"/>
        </w:rPr>
        <w:t>月</w:t>
      </w:r>
      <w:r>
        <w:rPr>
          <w:rFonts w:hint="eastAsia" w:cs="Times New Roman"/>
          <w:color w:val="auto"/>
          <w:highlight w:val="none"/>
          <w:lang w:val="en-US" w:eastAsia="zh-CN"/>
        </w:rPr>
        <w:t>14</w:t>
      </w:r>
      <w:r>
        <w:rPr>
          <w:rFonts w:hint="default" w:ascii="Times New Roman" w:hAnsi="Times New Roman" w:cs="Times New Roman"/>
          <w:color w:val="auto"/>
          <w:highlight w:val="none"/>
        </w:rPr>
        <w:t>日。</w:t>
      </w:r>
      <w:r>
        <w:rPr>
          <w:rFonts w:hint="eastAsia" w:cs="Times New Roman"/>
          <w:color w:val="auto"/>
          <w:highlight w:val="none"/>
          <w:lang w:val="en-US" w:eastAsia="zh-CN"/>
        </w:rPr>
        <w:t>6#~10#点位地下水数据引用《鄯善县华顺矿业有限公司危固废综合利用项目》，</w:t>
      </w:r>
      <w:r>
        <w:rPr>
          <w:rFonts w:hint="eastAsia" w:cs="Times New Roman"/>
          <w:color w:val="auto"/>
        </w:rPr>
        <w:t>采样时间</w:t>
      </w:r>
      <w:r>
        <w:rPr>
          <w:rFonts w:cs="Times New Roman"/>
          <w:color w:val="auto"/>
        </w:rPr>
        <w:t>为20</w:t>
      </w:r>
      <w:r>
        <w:rPr>
          <w:rFonts w:hint="eastAsia" w:cs="Times New Roman"/>
          <w:color w:val="auto"/>
        </w:rPr>
        <w:t>23</w:t>
      </w:r>
      <w:r>
        <w:rPr>
          <w:rFonts w:cs="Times New Roman"/>
          <w:color w:val="auto"/>
        </w:rPr>
        <w:t>年</w:t>
      </w:r>
      <w:r>
        <w:rPr>
          <w:rFonts w:hint="eastAsia" w:cs="Times New Roman"/>
          <w:color w:val="auto"/>
        </w:rPr>
        <w:t>3</w:t>
      </w:r>
      <w:r>
        <w:rPr>
          <w:rFonts w:cs="Times New Roman"/>
          <w:color w:val="auto"/>
        </w:rPr>
        <w:t>月</w:t>
      </w:r>
      <w:r>
        <w:rPr>
          <w:rFonts w:hint="eastAsia" w:cs="Times New Roman"/>
          <w:color w:val="auto"/>
        </w:rPr>
        <w:t>3</w:t>
      </w:r>
      <w:r>
        <w:rPr>
          <w:rFonts w:cs="Times New Roman"/>
          <w:color w:val="auto"/>
        </w:rPr>
        <w:t>日</w:t>
      </w:r>
      <w:r>
        <w:rPr>
          <w:rFonts w:hint="eastAsia" w:cs="Times New Roman"/>
          <w:color w:val="auto"/>
        </w:rPr>
        <w:t>和2</w:t>
      </w:r>
      <w:r>
        <w:rPr>
          <w:rFonts w:cs="Times New Roman"/>
          <w:color w:val="auto"/>
        </w:rPr>
        <w:t>023</w:t>
      </w:r>
      <w:r>
        <w:rPr>
          <w:rFonts w:hint="eastAsia" w:cs="Times New Roman"/>
          <w:color w:val="auto"/>
        </w:rPr>
        <w:t>年8月</w:t>
      </w:r>
      <w:r>
        <w:rPr>
          <w:rFonts w:cs="Times New Roman"/>
          <w:color w:val="auto"/>
        </w:rPr>
        <w:t>22</w:t>
      </w:r>
      <w:r>
        <w:rPr>
          <w:rFonts w:hint="eastAsia" w:cs="Times New Roman"/>
          <w:color w:val="auto"/>
        </w:rPr>
        <w:t>日</w:t>
      </w:r>
      <w:r>
        <w:rPr>
          <w:rFonts w:hint="eastAsia" w:cs="Times New Roman"/>
          <w:color w:val="auto"/>
          <w:lang w:eastAsia="zh-CN"/>
        </w:rPr>
        <w:t>，</w:t>
      </w:r>
      <w:r>
        <w:rPr>
          <w:rFonts w:hint="eastAsia" w:cs="Times New Roman"/>
          <w:color w:val="auto"/>
          <w:lang w:val="en-US" w:eastAsia="zh-CN"/>
        </w:rPr>
        <w:t>监测点位见附图6</w:t>
      </w:r>
      <w:r>
        <w:rPr>
          <w:rFonts w:hint="eastAsia" w:cs="Times New Roman"/>
          <w:color w:val="auto"/>
          <w:lang w:eastAsia="zh-CN"/>
        </w:rPr>
        <w:t>。</w:t>
      </w:r>
    </w:p>
    <w:p w14:paraId="739EAD31">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表4.2-</w:t>
      </w:r>
      <w:r>
        <w:rPr>
          <w:rFonts w:hint="eastAsia" w:cs="Times New Roman"/>
          <w:b/>
          <w:bCs/>
          <w:color w:val="auto"/>
          <w:sz w:val="21"/>
          <w:szCs w:val="21"/>
          <w:highlight w:val="none"/>
          <w:lang w:val="en-US" w:eastAsia="zh-CN"/>
        </w:rPr>
        <w:t>12</w:t>
      </w:r>
      <w:r>
        <w:rPr>
          <w:rFonts w:hint="default" w:ascii="Times New Roman" w:hAnsi="Times New Roman" w:cs="Times New Roman"/>
          <w:b/>
          <w:bCs/>
          <w:color w:val="auto"/>
          <w:sz w:val="21"/>
          <w:szCs w:val="21"/>
          <w:highlight w:val="none"/>
        </w:rPr>
        <w:t xml:space="preserve"> 地下水监测点位置</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3024"/>
        <w:gridCol w:w="829"/>
        <w:gridCol w:w="1459"/>
        <w:gridCol w:w="1823"/>
        <w:gridCol w:w="1190"/>
      </w:tblGrid>
      <w:tr w14:paraId="14101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shd w:val="clear" w:color="auto" w:fill="auto"/>
            <w:vAlign w:val="center"/>
          </w:tcPr>
          <w:p w14:paraId="697D6263">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1689" w:type="pct"/>
            <w:shd w:val="clear" w:color="auto" w:fill="auto"/>
            <w:vAlign w:val="center"/>
          </w:tcPr>
          <w:p w14:paraId="741F2E1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监测点坐标</w:t>
            </w:r>
          </w:p>
        </w:tc>
        <w:tc>
          <w:tcPr>
            <w:tcW w:w="463" w:type="pct"/>
            <w:vAlign w:val="center"/>
          </w:tcPr>
          <w:p w14:paraId="4D1B110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水位</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m</w:t>
            </w:r>
            <w:r>
              <w:rPr>
                <w:rFonts w:hint="eastAsia" w:cs="Times New Roman"/>
                <w:color w:val="auto"/>
                <w:sz w:val="21"/>
                <w:szCs w:val="21"/>
                <w:highlight w:val="none"/>
                <w:lang w:eastAsia="zh-CN"/>
              </w:rPr>
              <w:t>）</w:t>
            </w:r>
          </w:p>
        </w:tc>
        <w:tc>
          <w:tcPr>
            <w:tcW w:w="815" w:type="pct"/>
            <w:vAlign w:val="center"/>
          </w:tcPr>
          <w:p w14:paraId="780664E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与项目区的上下游关系</w:t>
            </w:r>
          </w:p>
        </w:tc>
        <w:tc>
          <w:tcPr>
            <w:tcW w:w="1018" w:type="pct"/>
            <w:shd w:val="clear" w:color="auto" w:fill="auto"/>
            <w:vAlign w:val="center"/>
          </w:tcPr>
          <w:p w14:paraId="005B7A5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与本项目相对位置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m</w:t>
            </w:r>
            <w:r>
              <w:rPr>
                <w:rFonts w:hint="eastAsia" w:cs="Times New Roman"/>
                <w:color w:val="auto"/>
                <w:sz w:val="21"/>
                <w:szCs w:val="21"/>
                <w:highlight w:val="none"/>
                <w:lang w:eastAsia="zh-CN"/>
              </w:rPr>
              <w:t>）</w:t>
            </w:r>
          </w:p>
        </w:tc>
        <w:tc>
          <w:tcPr>
            <w:tcW w:w="664" w:type="pct"/>
            <w:shd w:val="clear" w:color="auto" w:fill="auto"/>
            <w:vAlign w:val="center"/>
          </w:tcPr>
          <w:p w14:paraId="38C9D87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监测采样时间</w:t>
            </w:r>
          </w:p>
        </w:tc>
      </w:tr>
      <w:tr w14:paraId="29A54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48" w:type="pct"/>
            <w:shd w:val="clear" w:color="auto" w:fill="auto"/>
            <w:vAlign w:val="center"/>
          </w:tcPr>
          <w:p w14:paraId="39AB6910">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689" w:type="pct"/>
            <w:shd w:val="clear" w:color="auto" w:fill="auto"/>
            <w:vAlign w:val="center"/>
          </w:tcPr>
          <w:p w14:paraId="11AEB63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35.72</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37.22</w:t>
            </w:r>
            <w:r>
              <w:rPr>
                <w:rFonts w:hint="default" w:ascii="Times New Roman" w:hAnsi="Times New Roman" w:eastAsia="宋体"/>
                <w:color w:val="auto"/>
                <w:sz w:val="21"/>
                <w:szCs w:val="21"/>
                <w:highlight w:val="none"/>
                <w:lang w:val="en-US" w:eastAsia="zh-CN"/>
              </w:rPr>
              <w:t>″</w:t>
            </w:r>
          </w:p>
        </w:tc>
        <w:tc>
          <w:tcPr>
            <w:tcW w:w="463" w:type="pct"/>
            <w:vAlign w:val="center"/>
          </w:tcPr>
          <w:p w14:paraId="6DCFE60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815" w:type="pct"/>
            <w:vAlign w:val="center"/>
          </w:tcPr>
          <w:p w14:paraId="39DF7E9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上游</w:t>
            </w:r>
          </w:p>
        </w:tc>
        <w:tc>
          <w:tcPr>
            <w:tcW w:w="1018" w:type="pct"/>
            <w:shd w:val="clear" w:color="auto" w:fill="auto"/>
            <w:vAlign w:val="center"/>
          </w:tcPr>
          <w:p w14:paraId="757BB7B1">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北630</w:t>
            </w:r>
            <w:r>
              <w:rPr>
                <w:rFonts w:hint="default" w:ascii="Times New Roman" w:hAnsi="Times New Roman" w:cs="Times New Roman"/>
                <w:color w:val="auto"/>
                <w:sz w:val="21"/>
                <w:szCs w:val="21"/>
                <w:highlight w:val="none"/>
              </w:rPr>
              <w:t>m</w:t>
            </w:r>
          </w:p>
        </w:tc>
        <w:tc>
          <w:tcPr>
            <w:tcW w:w="664" w:type="pct"/>
            <w:vMerge w:val="restart"/>
            <w:shd w:val="clear" w:color="auto" w:fill="auto"/>
            <w:vAlign w:val="center"/>
          </w:tcPr>
          <w:p w14:paraId="4205E5FE">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月</w:t>
            </w:r>
            <w:r>
              <w:rPr>
                <w:rFonts w:hint="eastAsia" w:cs="Times New Roman"/>
                <w:color w:val="auto"/>
                <w:sz w:val="21"/>
                <w:szCs w:val="21"/>
                <w:highlight w:val="none"/>
                <w:lang w:val="en-US" w:eastAsia="zh-CN"/>
              </w:rPr>
              <w:t>14</w:t>
            </w:r>
            <w:r>
              <w:rPr>
                <w:rFonts w:hint="default" w:ascii="Times New Roman" w:hAnsi="Times New Roman" w:cs="Times New Roman"/>
                <w:color w:val="auto"/>
                <w:sz w:val="21"/>
                <w:szCs w:val="21"/>
                <w:highlight w:val="none"/>
              </w:rPr>
              <w:t>日</w:t>
            </w:r>
          </w:p>
        </w:tc>
      </w:tr>
      <w:tr w14:paraId="504CA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48" w:type="pct"/>
            <w:shd w:val="clear" w:color="auto" w:fill="auto"/>
            <w:vAlign w:val="center"/>
          </w:tcPr>
          <w:p w14:paraId="3CCC0FE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689" w:type="pct"/>
            <w:shd w:val="clear" w:color="auto" w:fill="auto"/>
            <w:vAlign w:val="center"/>
          </w:tcPr>
          <w:p w14:paraId="4B1AD04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48.37</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26.07</w:t>
            </w:r>
            <w:r>
              <w:rPr>
                <w:rFonts w:hint="default" w:ascii="Times New Roman" w:hAnsi="Times New Roman" w:eastAsia="宋体"/>
                <w:color w:val="auto"/>
                <w:sz w:val="21"/>
                <w:szCs w:val="21"/>
                <w:highlight w:val="none"/>
                <w:lang w:val="en-US" w:eastAsia="zh-CN"/>
              </w:rPr>
              <w:t>″</w:t>
            </w:r>
          </w:p>
        </w:tc>
        <w:tc>
          <w:tcPr>
            <w:tcW w:w="463" w:type="pct"/>
            <w:vAlign w:val="center"/>
          </w:tcPr>
          <w:p w14:paraId="2A7FA570">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815" w:type="pct"/>
            <w:vAlign w:val="center"/>
          </w:tcPr>
          <w:p w14:paraId="0311566D">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侧向</w:t>
            </w:r>
          </w:p>
        </w:tc>
        <w:tc>
          <w:tcPr>
            <w:tcW w:w="1018" w:type="pct"/>
            <w:shd w:val="clear" w:color="auto" w:fill="auto"/>
            <w:vAlign w:val="center"/>
          </w:tcPr>
          <w:p w14:paraId="035D2C9D">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东北</w:t>
            </w:r>
            <w:r>
              <w:rPr>
                <w:rFonts w:hint="eastAsia" w:cs="Times New Roman"/>
                <w:color w:val="auto"/>
                <w:sz w:val="21"/>
                <w:szCs w:val="21"/>
                <w:highlight w:val="none"/>
                <w:lang w:val="en-US" w:eastAsia="zh-CN"/>
              </w:rPr>
              <w:t>340</w:t>
            </w:r>
            <w:r>
              <w:rPr>
                <w:rFonts w:hint="default" w:ascii="Times New Roman" w:hAnsi="Times New Roman" w:cs="Times New Roman"/>
                <w:color w:val="auto"/>
                <w:sz w:val="21"/>
                <w:szCs w:val="21"/>
                <w:highlight w:val="none"/>
              </w:rPr>
              <w:t>m</w:t>
            </w:r>
          </w:p>
        </w:tc>
        <w:tc>
          <w:tcPr>
            <w:tcW w:w="664" w:type="pct"/>
            <w:vMerge w:val="continue"/>
            <w:shd w:val="clear" w:color="auto" w:fill="auto"/>
            <w:vAlign w:val="center"/>
          </w:tcPr>
          <w:p w14:paraId="2737F13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43A24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6F995B1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689" w:type="pct"/>
            <w:shd w:val="clear" w:color="auto" w:fill="auto"/>
            <w:vAlign w:val="center"/>
          </w:tcPr>
          <w:p w14:paraId="322DA6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29.23</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19.72</w:t>
            </w:r>
            <w:r>
              <w:rPr>
                <w:rFonts w:hint="default" w:ascii="Times New Roman" w:hAnsi="Times New Roman" w:eastAsia="宋体"/>
                <w:color w:val="auto"/>
                <w:sz w:val="21"/>
                <w:szCs w:val="21"/>
                <w:highlight w:val="none"/>
                <w:lang w:val="en-US" w:eastAsia="zh-CN"/>
              </w:rPr>
              <w:t>″</w:t>
            </w:r>
          </w:p>
        </w:tc>
        <w:tc>
          <w:tcPr>
            <w:tcW w:w="463" w:type="pct"/>
            <w:vAlign w:val="center"/>
          </w:tcPr>
          <w:p w14:paraId="24EA67B8">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815" w:type="pct"/>
            <w:vAlign w:val="center"/>
          </w:tcPr>
          <w:p w14:paraId="3BE67C4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上游</w:t>
            </w:r>
          </w:p>
        </w:tc>
        <w:tc>
          <w:tcPr>
            <w:tcW w:w="1018" w:type="pct"/>
            <w:shd w:val="clear" w:color="auto" w:fill="auto"/>
            <w:vAlign w:val="center"/>
          </w:tcPr>
          <w:p w14:paraId="7711EF3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西北240</w:t>
            </w:r>
            <w:r>
              <w:rPr>
                <w:rFonts w:hint="default" w:ascii="Times New Roman" w:hAnsi="Times New Roman" w:cs="Times New Roman"/>
                <w:color w:val="auto"/>
                <w:sz w:val="21"/>
                <w:szCs w:val="21"/>
                <w:highlight w:val="none"/>
              </w:rPr>
              <w:t>m</w:t>
            </w:r>
          </w:p>
        </w:tc>
        <w:tc>
          <w:tcPr>
            <w:tcW w:w="664" w:type="pct"/>
            <w:vMerge w:val="continue"/>
            <w:shd w:val="clear" w:color="auto" w:fill="auto"/>
            <w:vAlign w:val="center"/>
          </w:tcPr>
          <w:p w14:paraId="79E54F7E">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7E88A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pct"/>
            <w:shd w:val="clear" w:color="auto" w:fill="auto"/>
            <w:vAlign w:val="center"/>
          </w:tcPr>
          <w:p w14:paraId="196BF83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689" w:type="pct"/>
            <w:shd w:val="clear" w:color="auto" w:fill="auto"/>
            <w:vAlign w:val="center"/>
          </w:tcPr>
          <w:p w14:paraId="173BA3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42.02</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03.81</w:t>
            </w:r>
            <w:r>
              <w:rPr>
                <w:rFonts w:hint="default" w:ascii="Times New Roman" w:hAnsi="Times New Roman" w:eastAsia="宋体"/>
                <w:color w:val="auto"/>
                <w:sz w:val="21"/>
                <w:szCs w:val="21"/>
                <w:highlight w:val="none"/>
                <w:lang w:val="en-US" w:eastAsia="zh-CN"/>
              </w:rPr>
              <w:t>″</w:t>
            </w:r>
          </w:p>
        </w:tc>
        <w:tc>
          <w:tcPr>
            <w:tcW w:w="463" w:type="pct"/>
            <w:vAlign w:val="center"/>
          </w:tcPr>
          <w:p w14:paraId="357EFFD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815" w:type="pct"/>
            <w:vAlign w:val="center"/>
          </w:tcPr>
          <w:p w14:paraId="2403423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项目区</w:t>
            </w:r>
          </w:p>
        </w:tc>
        <w:tc>
          <w:tcPr>
            <w:tcW w:w="1018" w:type="pct"/>
            <w:shd w:val="clear" w:color="auto" w:fill="auto"/>
            <w:vAlign w:val="center"/>
          </w:tcPr>
          <w:p w14:paraId="6F514327">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eastAsia="zh-CN" w:bidi="zh-CN"/>
              </w:rPr>
            </w:pPr>
            <w:r>
              <w:rPr>
                <w:rFonts w:hint="eastAsia" w:eastAsia="宋体" w:cs="Times New Roman"/>
                <w:color w:val="auto"/>
                <w:sz w:val="21"/>
                <w:szCs w:val="21"/>
                <w:highlight w:val="none"/>
                <w:lang w:val="en-US" w:eastAsia="zh-CN"/>
              </w:rPr>
              <w:t>-</w:t>
            </w:r>
          </w:p>
        </w:tc>
        <w:tc>
          <w:tcPr>
            <w:tcW w:w="664" w:type="pct"/>
            <w:vMerge w:val="continue"/>
            <w:shd w:val="clear" w:color="auto" w:fill="auto"/>
            <w:vAlign w:val="center"/>
          </w:tcPr>
          <w:p w14:paraId="4C875865">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71EF7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42C4ACB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689" w:type="pct"/>
            <w:shd w:val="clear" w:color="auto" w:fill="auto"/>
            <w:vAlign w:val="center"/>
          </w:tcPr>
          <w:p w14:paraId="151522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50</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06.82</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48.78</w:t>
            </w:r>
            <w:r>
              <w:rPr>
                <w:rFonts w:hint="default" w:ascii="Times New Roman" w:hAnsi="Times New Roman" w:eastAsia="宋体"/>
                <w:color w:val="auto"/>
                <w:sz w:val="21"/>
                <w:szCs w:val="21"/>
                <w:highlight w:val="none"/>
                <w:lang w:val="en-US" w:eastAsia="zh-CN"/>
              </w:rPr>
              <w:t>″</w:t>
            </w:r>
          </w:p>
        </w:tc>
        <w:tc>
          <w:tcPr>
            <w:tcW w:w="463" w:type="pct"/>
            <w:vAlign w:val="center"/>
          </w:tcPr>
          <w:p w14:paraId="221FD56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815" w:type="pct"/>
            <w:vAlign w:val="center"/>
          </w:tcPr>
          <w:p w14:paraId="323D353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下游</w:t>
            </w:r>
          </w:p>
        </w:tc>
        <w:tc>
          <w:tcPr>
            <w:tcW w:w="1018" w:type="pct"/>
            <w:shd w:val="clear" w:color="auto" w:fill="auto"/>
            <w:vAlign w:val="center"/>
          </w:tcPr>
          <w:p w14:paraId="2B1B1D7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Arial" w:cs="Times New Roman"/>
                <w:color w:val="auto"/>
                <w:kern w:val="0"/>
                <w:sz w:val="21"/>
                <w:szCs w:val="21"/>
                <w:highlight w:val="none"/>
                <w:lang w:bidi="zh-CN"/>
              </w:rPr>
            </w:pPr>
            <w:r>
              <w:rPr>
                <w:rFonts w:hint="default" w:ascii="Times New Roman" w:hAnsi="Times New Roman" w:cs="Times New Roman"/>
                <w:color w:val="auto"/>
                <w:sz w:val="21"/>
                <w:szCs w:val="21"/>
                <w:highlight w:val="none"/>
              </w:rPr>
              <w:t>东南</w:t>
            </w:r>
            <w:r>
              <w:rPr>
                <w:rFonts w:hint="eastAsia" w:cs="Times New Roman"/>
                <w:color w:val="auto"/>
                <w:sz w:val="21"/>
                <w:szCs w:val="21"/>
                <w:highlight w:val="none"/>
                <w:lang w:val="en-US" w:eastAsia="zh-CN"/>
              </w:rPr>
              <w:t>880</w:t>
            </w:r>
            <w:r>
              <w:rPr>
                <w:rFonts w:hint="default" w:ascii="Times New Roman" w:hAnsi="Times New Roman" w:cs="Times New Roman"/>
                <w:color w:val="auto"/>
                <w:sz w:val="21"/>
                <w:szCs w:val="21"/>
                <w:highlight w:val="none"/>
              </w:rPr>
              <w:t>m</w:t>
            </w:r>
          </w:p>
        </w:tc>
        <w:tc>
          <w:tcPr>
            <w:tcW w:w="664" w:type="pct"/>
            <w:vMerge w:val="continue"/>
            <w:shd w:val="clear" w:color="auto" w:fill="auto"/>
            <w:vAlign w:val="center"/>
          </w:tcPr>
          <w:p w14:paraId="4823B5E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614B0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54ED01A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689" w:type="pct"/>
            <w:shd w:val="clear" w:color="auto" w:fill="auto"/>
            <w:vAlign w:val="center"/>
          </w:tcPr>
          <w:p w14:paraId="1C76B593">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47</w:t>
            </w:r>
            <w:r>
              <w:rPr>
                <w:rFonts w:cs="Times New Roman"/>
                <w:color w:val="auto"/>
                <w:sz w:val="21"/>
                <w:szCs w:val="21"/>
              </w:rPr>
              <w:t>′4</w:t>
            </w:r>
            <w:r>
              <w:rPr>
                <w:rFonts w:hint="eastAsia" w:cs="Times New Roman"/>
                <w:color w:val="auto"/>
                <w:sz w:val="21"/>
                <w:szCs w:val="21"/>
              </w:rPr>
              <w:t>5.29</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36</w:t>
            </w:r>
            <w:r>
              <w:rPr>
                <w:rFonts w:cs="Times New Roman"/>
                <w:color w:val="auto"/>
                <w:sz w:val="21"/>
                <w:szCs w:val="21"/>
              </w:rPr>
              <w:t>′</w:t>
            </w:r>
            <w:r>
              <w:rPr>
                <w:rFonts w:hint="eastAsia" w:cs="Times New Roman"/>
                <w:color w:val="auto"/>
                <w:sz w:val="21"/>
                <w:szCs w:val="21"/>
              </w:rPr>
              <w:t>35.72</w:t>
            </w:r>
            <w:r>
              <w:rPr>
                <w:rFonts w:cs="Times New Roman"/>
                <w:color w:val="auto"/>
                <w:sz w:val="21"/>
                <w:szCs w:val="21"/>
              </w:rPr>
              <w:t>″</w:t>
            </w:r>
          </w:p>
        </w:tc>
        <w:tc>
          <w:tcPr>
            <w:tcW w:w="463" w:type="pct"/>
            <w:vAlign w:val="center"/>
          </w:tcPr>
          <w:p w14:paraId="04B2DC1A">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3</w:t>
            </w:r>
            <w:r>
              <w:rPr>
                <w:rFonts w:cs="Times New Roman"/>
                <w:color w:val="auto"/>
                <w:sz w:val="21"/>
                <w:szCs w:val="21"/>
              </w:rPr>
              <w:t>5</w:t>
            </w:r>
          </w:p>
        </w:tc>
        <w:tc>
          <w:tcPr>
            <w:tcW w:w="815" w:type="pct"/>
            <w:vAlign w:val="center"/>
          </w:tcPr>
          <w:p w14:paraId="4C49DCF0">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侧向</w:t>
            </w:r>
          </w:p>
        </w:tc>
        <w:tc>
          <w:tcPr>
            <w:tcW w:w="1018" w:type="pct"/>
            <w:shd w:val="clear" w:color="auto" w:fill="auto"/>
            <w:vAlign w:val="center"/>
          </w:tcPr>
          <w:p w14:paraId="5E268C4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西南2300m</w:t>
            </w:r>
          </w:p>
        </w:tc>
        <w:tc>
          <w:tcPr>
            <w:tcW w:w="664" w:type="pct"/>
            <w:vMerge w:val="restart"/>
            <w:shd w:val="clear" w:color="auto" w:fill="auto"/>
            <w:vAlign w:val="center"/>
          </w:tcPr>
          <w:p w14:paraId="4357DBE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2023年3月3日和2023年8月22</w:t>
            </w:r>
          </w:p>
        </w:tc>
      </w:tr>
      <w:tr w14:paraId="0B6F5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480F12D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689" w:type="pct"/>
            <w:shd w:val="clear" w:color="auto" w:fill="auto"/>
            <w:vAlign w:val="center"/>
          </w:tcPr>
          <w:p w14:paraId="1163879B">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47</w:t>
            </w:r>
            <w:r>
              <w:rPr>
                <w:rFonts w:cs="Times New Roman"/>
                <w:color w:val="auto"/>
                <w:sz w:val="21"/>
                <w:szCs w:val="21"/>
              </w:rPr>
              <w:t>′</w:t>
            </w:r>
            <w:r>
              <w:rPr>
                <w:rFonts w:hint="eastAsia" w:cs="Times New Roman"/>
                <w:color w:val="auto"/>
                <w:sz w:val="21"/>
                <w:szCs w:val="21"/>
              </w:rPr>
              <w:t>56.61</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36</w:t>
            </w:r>
            <w:r>
              <w:rPr>
                <w:rFonts w:cs="Times New Roman"/>
                <w:color w:val="auto"/>
                <w:sz w:val="21"/>
                <w:szCs w:val="21"/>
              </w:rPr>
              <w:t>′</w:t>
            </w:r>
            <w:r>
              <w:rPr>
                <w:rFonts w:hint="eastAsia" w:cs="Times New Roman"/>
                <w:color w:val="auto"/>
                <w:sz w:val="21"/>
                <w:szCs w:val="21"/>
              </w:rPr>
              <w:t>40.59</w:t>
            </w:r>
            <w:r>
              <w:rPr>
                <w:rFonts w:cs="Times New Roman"/>
                <w:color w:val="auto"/>
                <w:sz w:val="21"/>
                <w:szCs w:val="21"/>
              </w:rPr>
              <w:t>″</w:t>
            </w:r>
          </w:p>
        </w:tc>
        <w:tc>
          <w:tcPr>
            <w:tcW w:w="463" w:type="pct"/>
            <w:vAlign w:val="center"/>
          </w:tcPr>
          <w:p w14:paraId="218CB31C">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3</w:t>
            </w:r>
            <w:r>
              <w:rPr>
                <w:rFonts w:cs="Times New Roman"/>
                <w:color w:val="auto"/>
                <w:sz w:val="21"/>
                <w:szCs w:val="21"/>
              </w:rPr>
              <w:t>8</w:t>
            </w:r>
          </w:p>
        </w:tc>
        <w:tc>
          <w:tcPr>
            <w:tcW w:w="815" w:type="pct"/>
            <w:vAlign w:val="center"/>
          </w:tcPr>
          <w:p w14:paraId="68A6F42C">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侧向</w:t>
            </w:r>
          </w:p>
        </w:tc>
        <w:tc>
          <w:tcPr>
            <w:tcW w:w="1018" w:type="pct"/>
            <w:shd w:val="clear" w:color="auto" w:fill="auto"/>
            <w:vAlign w:val="center"/>
          </w:tcPr>
          <w:p w14:paraId="3C85FCD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西南2000m</w:t>
            </w:r>
          </w:p>
        </w:tc>
        <w:tc>
          <w:tcPr>
            <w:tcW w:w="664" w:type="pct"/>
            <w:vMerge w:val="continue"/>
            <w:shd w:val="clear" w:color="auto" w:fill="auto"/>
            <w:vAlign w:val="center"/>
          </w:tcPr>
          <w:p w14:paraId="2E05022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21180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25A97EF0">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689" w:type="pct"/>
            <w:shd w:val="clear" w:color="auto" w:fill="auto"/>
            <w:vAlign w:val="center"/>
          </w:tcPr>
          <w:p w14:paraId="20CDB5EC">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46</w:t>
            </w:r>
            <w:r>
              <w:rPr>
                <w:rFonts w:cs="Times New Roman"/>
                <w:color w:val="auto"/>
                <w:sz w:val="21"/>
                <w:szCs w:val="21"/>
              </w:rPr>
              <w:t>′</w:t>
            </w:r>
            <w:r>
              <w:rPr>
                <w:rFonts w:hint="eastAsia" w:cs="Times New Roman"/>
                <w:color w:val="auto"/>
                <w:sz w:val="21"/>
                <w:szCs w:val="21"/>
              </w:rPr>
              <w:t>13.75</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39</w:t>
            </w:r>
            <w:r>
              <w:rPr>
                <w:rFonts w:cs="Times New Roman"/>
                <w:color w:val="auto"/>
                <w:sz w:val="21"/>
                <w:szCs w:val="21"/>
              </w:rPr>
              <w:t>′</w:t>
            </w:r>
            <w:r>
              <w:rPr>
                <w:rFonts w:hint="eastAsia" w:cs="Times New Roman"/>
                <w:color w:val="auto"/>
                <w:sz w:val="21"/>
                <w:szCs w:val="21"/>
              </w:rPr>
              <w:t>59.21</w:t>
            </w:r>
            <w:r>
              <w:rPr>
                <w:rFonts w:cs="Times New Roman"/>
                <w:color w:val="auto"/>
                <w:sz w:val="21"/>
                <w:szCs w:val="21"/>
              </w:rPr>
              <w:t>″</w:t>
            </w:r>
          </w:p>
        </w:tc>
        <w:tc>
          <w:tcPr>
            <w:tcW w:w="463" w:type="pct"/>
            <w:vAlign w:val="center"/>
          </w:tcPr>
          <w:p w14:paraId="2A942F76">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4</w:t>
            </w:r>
            <w:r>
              <w:rPr>
                <w:rFonts w:cs="Times New Roman"/>
                <w:color w:val="auto"/>
                <w:sz w:val="21"/>
                <w:szCs w:val="21"/>
              </w:rPr>
              <w:t>0</w:t>
            </w:r>
          </w:p>
        </w:tc>
        <w:tc>
          <w:tcPr>
            <w:tcW w:w="815" w:type="pct"/>
            <w:vAlign w:val="center"/>
          </w:tcPr>
          <w:p w14:paraId="54ABFFD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上游</w:t>
            </w:r>
          </w:p>
        </w:tc>
        <w:tc>
          <w:tcPr>
            <w:tcW w:w="1018" w:type="pct"/>
            <w:shd w:val="clear" w:color="auto" w:fill="auto"/>
            <w:vAlign w:val="center"/>
          </w:tcPr>
          <w:p w14:paraId="5FF1E7F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东北6850m</w:t>
            </w:r>
          </w:p>
        </w:tc>
        <w:tc>
          <w:tcPr>
            <w:tcW w:w="664" w:type="pct"/>
            <w:vMerge w:val="continue"/>
            <w:shd w:val="clear" w:color="auto" w:fill="auto"/>
            <w:vAlign w:val="center"/>
          </w:tcPr>
          <w:p w14:paraId="693C708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52B80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3E107C9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689" w:type="pct"/>
            <w:shd w:val="clear" w:color="auto" w:fill="auto"/>
            <w:vAlign w:val="center"/>
          </w:tcPr>
          <w:p w14:paraId="4CF4C65A">
            <w:pPr>
              <w:widowControl/>
              <w:autoSpaceDE w:val="0"/>
              <w:autoSpaceDN w:val="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48</w:t>
            </w:r>
            <w:r>
              <w:rPr>
                <w:rFonts w:cs="Times New Roman"/>
                <w:color w:val="auto"/>
                <w:sz w:val="21"/>
                <w:szCs w:val="21"/>
              </w:rPr>
              <w:t>′</w:t>
            </w:r>
            <w:r>
              <w:rPr>
                <w:rFonts w:hint="eastAsia" w:cs="Times New Roman"/>
                <w:color w:val="auto"/>
                <w:sz w:val="21"/>
                <w:szCs w:val="21"/>
              </w:rPr>
              <w:t>0.2</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35</w:t>
            </w:r>
            <w:r>
              <w:rPr>
                <w:rFonts w:cs="Times New Roman"/>
                <w:color w:val="auto"/>
                <w:sz w:val="21"/>
                <w:szCs w:val="21"/>
              </w:rPr>
              <w:t>′</w:t>
            </w:r>
            <w:r>
              <w:rPr>
                <w:rFonts w:hint="eastAsia" w:cs="Times New Roman"/>
                <w:color w:val="auto"/>
                <w:sz w:val="21"/>
                <w:szCs w:val="21"/>
              </w:rPr>
              <w:t>50</w:t>
            </w:r>
            <w:r>
              <w:rPr>
                <w:rFonts w:cs="Times New Roman"/>
                <w:color w:val="auto"/>
                <w:sz w:val="21"/>
                <w:szCs w:val="21"/>
              </w:rPr>
              <w:t>″</w:t>
            </w:r>
          </w:p>
        </w:tc>
        <w:tc>
          <w:tcPr>
            <w:tcW w:w="463" w:type="pct"/>
            <w:vAlign w:val="center"/>
          </w:tcPr>
          <w:p w14:paraId="4F4E9070">
            <w:pPr>
              <w:widowControl/>
              <w:autoSpaceDE w:val="0"/>
              <w:autoSpaceDN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5</w:t>
            </w:r>
            <w:r>
              <w:rPr>
                <w:rFonts w:cs="Times New Roman"/>
                <w:color w:val="auto"/>
                <w:sz w:val="21"/>
                <w:szCs w:val="21"/>
              </w:rPr>
              <w:t>0</w:t>
            </w:r>
          </w:p>
        </w:tc>
        <w:tc>
          <w:tcPr>
            <w:tcW w:w="815" w:type="pct"/>
            <w:vAlign w:val="center"/>
          </w:tcPr>
          <w:p w14:paraId="0FBC6F80">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下游</w:t>
            </w:r>
          </w:p>
        </w:tc>
        <w:tc>
          <w:tcPr>
            <w:tcW w:w="1018" w:type="pct"/>
            <w:shd w:val="clear" w:color="auto" w:fill="auto"/>
            <w:vAlign w:val="center"/>
          </w:tcPr>
          <w:p w14:paraId="5BFD7F9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南1400m</w:t>
            </w:r>
          </w:p>
        </w:tc>
        <w:tc>
          <w:tcPr>
            <w:tcW w:w="664" w:type="pct"/>
            <w:vMerge w:val="continue"/>
            <w:shd w:val="clear" w:color="auto" w:fill="auto"/>
            <w:vAlign w:val="center"/>
          </w:tcPr>
          <w:p w14:paraId="264EE5AD">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44AF5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7AB57B47">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689" w:type="pct"/>
            <w:shd w:val="clear" w:color="auto" w:fill="auto"/>
            <w:vAlign w:val="center"/>
          </w:tcPr>
          <w:p w14:paraId="20C7F40C">
            <w:pPr>
              <w:widowControl/>
              <w:autoSpaceDE w:val="0"/>
              <w:autoSpaceDN w:val="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51</w:t>
            </w:r>
            <w:r>
              <w:rPr>
                <w:rFonts w:cs="Times New Roman"/>
                <w:color w:val="auto"/>
                <w:sz w:val="21"/>
                <w:szCs w:val="21"/>
              </w:rPr>
              <w:t>′</w:t>
            </w:r>
            <w:r>
              <w:rPr>
                <w:rFonts w:hint="eastAsia" w:cs="Times New Roman"/>
                <w:color w:val="auto"/>
                <w:sz w:val="21"/>
                <w:szCs w:val="21"/>
              </w:rPr>
              <w:t>17.77</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36</w:t>
            </w:r>
            <w:r>
              <w:rPr>
                <w:rFonts w:cs="Times New Roman"/>
                <w:color w:val="auto"/>
                <w:sz w:val="21"/>
                <w:szCs w:val="21"/>
              </w:rPr>
              <w:t>′</w:t>
            </w:r>
            <w:r>
              <w:rPr>
                <w:rFonts w:hint="eastAsia" w:cs="Times New Roman"/>
                <w:color w:val="auto"/>
                <w:sz w:val="21"/>
                <w:szCs w:val="21"/>
              </w:rPr>
              <w:t>4.52</w:t>
            </w:r>
            <w:r>
              <w:rPr>
                <w:rFonts w:cs="Times New Roman"/>
                <w:color w:val="auto"/>
                <w:sz w:val="21"/>
                <w:szCs w:val="21"/>
              </w:rPr>
              <w:t>″</w:t>
            </w:r>
          </w:p>
        </w:tc>
        <w:tc>
          <w:tcPr>
            <w:tcW w:w="463" w:type="pct"/>
            <w:vAlign w:val="center"/>
          </w:tcPr>
          <w:p w14:paraId="709CB52A">
            <w:pPr>
              <w:widowControl/>
              <w:autoSpaceDE w:val="0"/>
              <w:autoSpaceDN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5</w:t>
            </w:r>
            <w:r>
              <w:rPr>
                <w:rFonts w:cs="Times New Roman"/>
                <w:color w:val="auto"/>
                <w:sz w:val="21"/>
                <w:szCs w:val="21"/>
              </w:rPr>
              <w:t>6</w:t>
            </w:r>
          </w:p>
        </w:tc>
        <w:tc>
          <w:tcPr>
            <w:tcW w:w="815" w:type="pct"/>
            <w:vAlign w:val="center"/>
          </w:tcPr>
          <w:p w14:paraId="4FDF47C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下游</w:t>
            </w:r>
          </w:p>
        </w:tc>
        <w:tc>
          <w:tcPr>
            <w:tcW w:w="1018" w:type="pct"/>
            <w:shd w:val="clear" w:color="auto" w:fill="auto"/>
            <w:vAlign w:val="center"/>
          </w:tcPr>
          <w:p w14:paraId="58A28F8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东南2465m</w:t>
            </w:r>
          </w:p>
        </w:tc>
        <w:tc>
          <w:tcPr>
            <w:tcW w:w="664" w:type="pct"/>
            <w:vMerge w:val="continue"/>
            <w:shd w:val="clear" w:color="auto" w:fill="auto"/>
            <w:vAlign w:val="center"/>
          </w:tcPr>
          <w:p w14:paraId="28F40F63">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bookmarkEnd w:id="164"/>
    </w:tbl>
    <w:p w14:paraId="361B19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textAlignment w:val="auto"/>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（2）监测因子</w:t>
      </w:r>
    </w:p>
    <w:p w14:paraId="12DCDC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textAlignment w:val="auto"/>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监测因子：</w:t>
      </w:r>
      <w:r>
        <w:rPr>
          <w:rFonts w:hint="default" w:ascii="Times New Roman" w:hAnsi="Times New Roman" w:cs="Times New Roman"/>
          <w:color w:val="auto"/>
          <w:highlight w:val="none"/>
        </w:rPr>
        <w:t>pH值、氨氮、硝酸盐氮、亚硝酸盐氮、挥发酚、氰化物、砷、汞、六价铬、总硬度、氟化物、铅、镉、铁、锰、锌、铜、溶解性总固体、耗氧量（高锰酸盐指数）、硫酸盐、氯化物、总大肠菌群、细菌总数、石油类、硫化物、钾离子、钙离子、钠离子、镁离子、碳酸根离子、碳酸氢根离子、阴离子表面活性剂、镍、钴、钼、总磷</w:t>
      </w:r>
      <w:r>
        <w:rPr>
          <w:rFonts w:hint="eastAsia" w:cs="Times New Roman"/>
          <w:color w:val="auto"/>
          <w:highlight w:val="none"/>
          <w:lang w:eastAsia="zh-CN"/>
        </w:rPr>
        <w:t>，</w:t>
      </w:r>
      <w:r>
        <w:rPr>
          <w:rFonts w:hint="default" w:ascii="Times New Roman" w:hAnsi="Times New Roman" w:cs="Times New Roman"/>
          <w:color w:val="auto"/>
          <w:spacing w:val="-2"/>
          <w:highlight w:val="none"/>
        </w:rPr>
        <w:t>同步记录地下水位，井深。</w:t>
      </w:r>
    </w:p>
    <w:p w14:paraId="3E3AD7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eastAsia="宋体" w:cs="Times New Roman"/>
          <w:color w:val="auto"/>
          <w:highlight w:val="none"/>
          <w:lang w:val="en-US" w:eastAsia="zh-CN" w:bidi="ar"/>
        </w:rPr>
      </w:pPr>
      <w:r>
        <w:rPr>
          <w:rFonts w:hint="eastAsia" w:cs="Times New Roman"/>
          <w:color w:val="auto"/>
          <w:highlight w:val="none"/>
          <w:lang w:val="en-US" w:eastAsia="zh-CN" w:bidi="ar"/>
        </w:rPr>
        <w:t>6#引用点位监测因子：</w:t>
      </w:r>
      <w:r>
        <w:rPr>
          <w:rFonts w:cs="Times New Roman"/>
          <w:color w:val="auto"/>
        </w:rPr>
        <w:t>K</w:t>
      </w:r>
      <w:r>
        <w:rPr>
          <w:rFonts w:cs="Times New Roman"/>
          <w:color w:val="auto"/>
          <w:vertAlign w:val="superscript"/>
        </w:rPr>
        <w:t>+</w:t>
      </w:r>
      <w:r>
        <w:rPr>
          <w:rFonts w:cs="Times New Roman"/>
          <w:color w:val="auto"/>
        </w:rPr>
        <w:t>、Na</w:t>
      </w:r>
      <w:r>
        <w:rPr>
          <w:rFonts w:cs="Times New Roman"/>
          <w:color w:val="auto"/>
          <w:vertAlign w:val="superscript"/>
        </w:rPr>
        <w:t>+</w:t>
      </w:r>
      <w:r>
        <w:rPr>
          <w:rFonts w:cs="Times New Roman"/>
          <w:color w:val="auto"/>
        </w:rPr>
        <w:t>、Ca</w:t>
      </w:r>
      <w:r>
        <w:rPr>
          <w:rFonts w:cs="Times New Roman"/>
          <w:color w:val="auto"/>
          <w:vertAlign w:val="superscript"/>
        </w:rPr>
        <w:t>2+</w:t>
      </w:r>
      <w:r>
        <w:rPr>
          <w:rFonts w:cs="Times New Roman"/>
          <w:color w:val="auto"/>
        </w:rPr>
        <w:t>、Mg</w:t>
      </w:r>
      <w:r>
        <w:rPr>
          <w:rFonts w:cs="Times New Roman"/>
          <w:color w:val="auto"/>
          <w:vertAlign w:val="superscript"/>
        </w:rPr>
        <w:t>2+</w:t>
      </w:r>
      <w:r>
        <w:rPr>
          <w:rFonts w:cs="Times New Roman"/>
          <w:color w:val="auto"/>
        </w:rPr>
        <w:t>、CO</w:t>
      </w:r>
      <w:r>
        <w:rPr>
          <w:rFonts w:cs="Times New Roman"/>
          <w:color w:val="auto"/>
          <w:vertAlign w:val="subscript"/>
        </w:rPr>
        <w:t>3</w:t>
      </w:r>
      <w:r>
        <w:rPr>
          <w:rFonts w:cs="Times New Roman"/>
          <w:color w:val="auto"/>
          <w:vertAlign w:val="superscript"/>
        </w:rPr>
        <w:t>2-</w:t>
      </w:r>
      <w:r>
        <w:rPr>
          <w:rFonts w:cs="Times New Roman"/>
          <w:color w:val="auto"/>
        </w:rPr>
        <w:t>、HCO</w:t>
      </w:r>
      <w:r>
        <w:rPr>
          <w:rFonts w:cs="Times New Roman"/>
          <w:color w:val="auto"/>
          <w:vertAlign w:val="subscript"/>
        </w:rPr>
        <w:t>3</w:t>
      </w:r>
      <w:r>
        <w:rPr>
          <w:rFonts w:cs="Times New Roman"/>
          <w:color w:val="auto"/>
          <w:vertAlign w:val="superscript"/>
        </w:rPr>
        <w:t>-</w:t>
      </w:r>
      <w:r>
        <w:rPr>
          <w:rFonts w:cs="Times New Roman"/>
          <w:color w:val="auto"/>
        </w:rPr>
        <w:t>、</w:t>
      </w:r>
      <w:r>
        <w:rPr>
          <w:rFonts w:cs="Times New Roman"/>
          <w:color w:val="auto"/>
          <w:spacing w:val="-2"/>
        </w:rPr>
        <w:t>pH、总硬度、氟化物、氯化物、硫酸盐、挥发酚、氨氮、溶解性总固体、耗氧量、硝酸盐氮、亚硝酸盐氮、砷、汞、硒、铅、镉、六价铬、氰化物、总大肠菌群、石油类、硫化物、铁、锰、铜、锌、镍、锑、铝、银</w:t>
      </w:r>
      <w:r>
        <w:rPr>
          <w:rFonts w:cs="Times New Roman"/>
          <w:color w:val="auto"/>
        </w:rPr>
        <w:t>。</w:t>
      </w:r>
    </w:p>
    <w:p w14:paraId="627475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（3）监测时间及监测单位</w:t>
      </w:r>
    </w:p>
    <w:p w14:paraId="3CABD5F3">
      <w:pPr>
        <w:pStyle w:val="14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rPr>
        <w:t>采样时间：202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14</w:t>
      </w:r>
      <w:r>
        <w:rPr>
          <w:rFonts w:hint="default" w:ascii="Times New Roman" w:hAnsi="Times New Roman" w:cs="Times New Roman"/>
          <w:color w:val="auto"/>
          <w:highlight w:val="none"/>
        </w:rPr>
        <w:t>日</w:t>
      </w:r>
    </w:p>
    <w:p w14:paraId="2839FE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监测单位：</w:t>
      </w:r>
      <w:r>
        <w:rPr>
          <w:rFonts w:hint="default" w:ascii="Times New Roman" w:hAnsi="Times New Roman" w:cs="Times New Roman"/>
          <w:color w:val="auto"/>
          <w:highlight w:val="none"/>
          <w:lang w:eastAsia="zh-CN"/>
        </w:rPr>
        <w:t>新疆锡水金山环境科技有限公司</w:t>
      </w:r>
    </w:p>
    <w:p w14:paraId="1EC4FB7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（4）评价标准</w:t>
      </w:r>
    </w:p>
    <w:p w14:paraId="1A8591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各监测因子均执行《地下水质量标准》（GB/T14848-2017）Ⅲ类标准，石油类参照《地表水环境质量标准》（GB3838-2002）中的Ⅲ类标准。</w:t>
      </w:r>
    </w:p>
    <w:p w14:paraId="391124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（5）评价方法</w:t>
      </w:r>
    </w:p>
    <w:p w14:paraId="5A1973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bookmarkStart w:id="165" w:name="_Hlk78400630"/>
      <w:r>
        <w:rPr>
          <w:rFonts w:hint="default" w:ascii="Times New Roman" w:hAnsi="Times New Roman" w:cs="Times New Roman"/>
          <w:color w:val="auto"/>
          <w:highlight w:val="none"/>
          <w:lang w:bidi="ar"/>
        </w:rPr>
        <w:t>采用标准指数法对地下水进行评价。</w:t>
      </w:r>
    </w:p>
    <w:p w14:paraId="4D64F1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jc w:val="center"/>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lang w:bidi="ar"/>
        </w:rPr>
        <w:t>P</w:t>
      </w:r>
      <w:r>
        <w:rPr>
          <w:rFonts w:hint="default" w:ascii="Times New Roman" w:hAnsi="Times New Roman" w:cs="Times New Roman"/>
          <w:color w:val="auto"/>
          <w:spacing w:val="4"/>
          <w:highlight w:val="none"/>
          <w:vertAlign w:val="subscript"/>
          <w:lang w:bidi="ar"/>
        </w:rPr>
        <w:t>i</w:t>
      </w:r>
      <w:r>
        <w:rPr>
          <w:rFonts w:hint="default" w:ascii="Times New Roman" w:hAnsi="Times New Roman" w:cs="Times New Roman"/>
          <w:color w:val="auto"/>
          <w:spacing w:val="4"/>
          <w:highlight w:val="none"/>
          <w:lang w:bidi="ar"/>
        </w:rPr>
        <w:t>=C</w:t>
      </w:r>
      <w:r>
        <w:rPr>
          <w:rFonts w:hint="default" w:ascii="Times New Roman" w:hAnsi="Times New Roman" w:cs="Times New Roman"/>
          <w:color w:val="auto"/>
          <w:spacing w:val="4"/>
          <w:highlight w:val="none"/>
          <w:vertAlign w:val="subscript"/>
          <w:lang w:bidi="ar"/>
        </w:rPr>
        <w:t>i</w:t>
      </w:r>
      <w:r>
        <w:rPr>
          <w:rFonts w:hint="default" w:ascii="Times New Roman" w:hAnsi="Times New Roman" w:cs="Times New Roman"/>
          <w:color w:val="auto"/>
          <w:spacing w:val="4"/>
          <w:highlight w:val="none"/>
          <w:lang w:bidi="ar"/>
        </w:rPr>
        <w:t>/C</w:t>
      </w:r>
      <w:r>
        <w:rPr>
          <w:rFonts w:hint="default" w:ascii="Times New Roman" w:hAnsi="Times New Roman" w:cs="Times New Roman"/>
          <w:color w:val="auto"/>
          <w:spacing w:val="4"/>
          <w:highlight w:val="none"/>
          <w:vertAlign w:val="subscript"/>
          <w:lang w:bidi="ar"/>
        </w:rPr>
        <w:t>si</w:t>
      </w:r>
    </w:p>
    <w:p w14:paraId="2B8651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式中：P</w:t>
      </w:r>
      <w:r>
        <w:rPr>
          <w:rFonts w:hint="default" w:ascii="Times New Roman" w:hAnsi="Times New Roman" w:cs="Times New Roman"/>
          <w:color w:val="auto"/>
          <w:highlight w:val="none"/>
          <w:vertAlign w:val="subscript"/>
          <w:lang w:bidi="ar"/>
        </w:rPr>
        <w:t>i</w:t>
      </w:r>
      <w:r>
        <w:rPr>
          <w:rFonts w:hint="default" w:ascii="Times New Roman" w:hAnsi="Times New Roman" w:cs="Times New Roman"/>
          <w:color w:val="auto"/>
          <w:highlight w:val="none"/>
          <w:lang w:bidi="ar"/>
        </w:rPr>
        <w:t>——水质单项标准指数；</w:t>
      </w:r>
    </w:p>
    <w:p w14:paraId="51A087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C</w:t>
      </w:r>
      <w:r>
        <w:rPr>
          <w:rFonts w:hint="default" w:ascii="Times New Roman" w:hAnsi="Times New Roman" w:cs="Times New Roman"/>
          <w:color w:val="auto"/>
          <w:highlight w:val="none"/>
          <w:vertAlign w:val="subscript"/>
          <w:lang w:bidi="ar"/>
        </w:rPr>
        <w:t>i,j</w:t>
      </w:r>
      <w:r>
        <w:rPr>
          <w:rFonts w:hint="default" w:ascii="Times New Roman" w:hAnsi="Times New Roman" w:cs="Times New Roman"/>
          <w:color w:val="auto"/>
          <w:highlight w:val="none"/>
          <w:lang w:bidi="ar"/>
        </w:rPr>
        <w:t>——水质评价因子i在第j取样点的浓度，mg/L；</w:t>
      </w:r>
    </w:p>
    <w:p w14:paraId="5364C9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C</w:t>
      </w:r>
      <w:r>
        <w:rPr>
          <w:rFonts w:hint="default" w:ascii="Times New Roman" w:hAnsi="Times New Roman" w:cs="Times New Roman"/>
          <w:color w:val="auto"/>
          <w:highlight w:val="none"/>
          <w:vertAlign w:val="subscript"/>
          <w:lang w:bidi="ar"/>
        </w:rPr>
        <w:t xml:space="preserve">si </w:t>
      </w:r>
      <w:r>
        <w:rPr>
          <w:rFonts w:hint="default" w:ascii="Times New Roman" w:hAnsi="Times New Roman" w:cs="Times New Roman"/>
          <w:color w:val="auto"/>
          <w:highlight w:val="none"/>
          <w:lang w:bidi="ar"/>
        </w:rPr>
        <w:t>——i因子的评价标准，mg/L；</w:t>
      </w:r>
    </w:p>
    <w:p w14:paraId="2109E2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pH的单项标准指数表达式为：</w:t>
      </w:r>
    </w:p>
    <w:p w14:paraId="77DAD8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lang w:bidi="ar"/>
        </w:rPr>
        <w:t>pH</w:t>
      </w:r>
      <w:r>
        <w:rPr>
          <w:rFonts w:hint="default" w:ascii="Times New Roman" w:hAnsi="Times New Roman" w:cs="Times New Roman"/>
          <w:color w:val="auto"/>
          <w:spacing w:val="4"/>
          <w:highlight w:val="none"/>
          <w:vertAlign w:val="subscript"/>
          <w:lang w:bidi="ar"/>
        </w:rPr>
        <w:t>j</w:t>
      </w:r>
      <w:r>
        <w:rPr>
          <w:rFonts w:hint="default" w:ascii="Times New Roman" w:hAnsi="Times New Roman" w:cs="Times New Roman"/>
          <w:color w:val="auto"/>
          <w:spacing w:val="4"/>
          <w:highlight w:val="none"/>
          <w:lang w:bidi="ar"/>
        </w:rPr>
        <w:t xml:space="preserve">≤7.0时；  </w:t>
      </w:r>
      <w:r>
        <w:rPr>
          <w:rFonts w:hint="default" w:ascii="Times New Roman" w:hAnsi="Times New Roman" w:cs="Times New Roman"/>
          <w:color w:val="auto"/>
          <w:spacing w:val="4"/>
          <w:position w:val="-30"/>
          <w:highlight w:val="none"/>
          <w:lang w:bidi="ar"/>
        </w:rPr>
        <w:drawing>
          <wp:inline distT="0" distB="0" distL="0" distR="0">
            <wp:extent cx="1217295" cy="454660"/>
            <wp:effectExtent l="0" t="0" r="0" b="0"/>
            <wp:docPr id="1177091147" name="图片 117709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91147" name="图片 11770911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17295" cy="454660"/>
                    </a:xfrm>
                    <a:prstGeom prst="rect">
                      <a:avLst/>
                    </a:prstGeom>
                    <a:noFill/>
                    <a:ln>
                      <a:noFill/>
                    </a:ln>
                  </pic:spPr>
                </pic:pic>
              </a:graphicData>
            </a:graphic>
          </wp:inline>
        </w:drawing>
      </w:r>
    </w:p>
    <w:p w14:paraId="5C1081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lang w:bidi="ar"/>
        </w:rPr>
        <w:t>pH</w:t>
      </w:r>
      <w:r>
        <w:rPr>
          <w:rFonts w:hint="default" w:ascii="Times New Roman" w:hAnsi="Times New Roman" w:cs="Times New Roman"/>
          <w:color w:val="auto"/>
          <w:spacing w:val="4"/>
          <w:highlight w:val="none"/>
          <w:vertAlign w:val="subscript"/>
          <w:lang w:bidi="ar"/>
        </w:rPr>
        <w:t>j</w:t>
      </w:r>
      <w:r>
        <w:rPr>
          <w:rFonts w:hint="default" w:ascii="Times New Roman" w:hAnsi="Times New Roman" w:cs="Times New Roman"/>
          <w:color w:val="auto"/>
          <w:spacing w:val="4"/>
          <w:highlight w:val="none"/>
          <w:lang w:bidi="ar"/>
        </w:rPr>
        <w:t xml:space="preserve">＞7.0时；  </w:t>
      </w:r>
      <w:r>
        <w:rPr>
          <w:rFonts w:hint="default" w:ascii="Times New Roman" w:hAnsi="Times New Roman" w:cs="Times New Roman"/>
          <w:color w:val="auto"/>
          <w:spacing w:val="4"/>
          <w:position w:val="-30"/>
          <w:highlight w:val="none"/>
          <w:lang w:bidi="ar"/>
        </w:rPr>
        <w:drawing>
          <wp:inline distT="0" distB="0" distL="0" distR="0">
            <wp:extent cx="1217295" cy="454660"/>
            <wp:effectExtent l="0" t="0" r="0" b="0"/>
            <wp:docPr id="2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217295" cy="454660"/>
                    </a:xfrm>
                    <a:prstGeom prst="rect">
                      <a:avLst/>
                    </a:prstGeom>
                    <a:noFill/>
                    <a:ln>
                      <a:noFill/>
                    </a:ln>
                  </pic:spPr>
                </pic:pic>
              </a:graphicData>
            </a:graphic>
          </wp:inline>
        </w:drawing>
      </w:r>
    </w:p>
    <w:p w14:paraId="2AC555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式中：S</w:t>
      </w:r>
      <w:r>
        <w:rPr>
          <w:rFonts w:hint="default" w:ascii="Times New Roman" w:hAnsi="Times New Roman" w:cs="Times New Roman"/>
          <w:color w:val="auto"/>
          <w:highlight w:val="none"/>
          <w:vertAlign w:val="subscript"/>
          <w:lang w:bidi="ar"/>
        </w:rPr>
        <w:t>pH,j</w:t>
      </w:r>
      <w:r>
        <w:rPr>
          <w:rFonts w:hint="default" w:ascii="Times New Roman" w:hAnsi="Times New Roman" w:cs="Times New Roman"/>
          <w:color w:val="auto"/>
          <w:highlight w:val="none"/>
          <w:lang w:bidi="ar"/>
        </w:rPr>
        <w:t>—pH标准指数；</w:t>
      </w:r>
    </w:p>
    <w:p w14:paraId="3C8EC7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pH</w:t>
      </w:r>
      <w:r>
        <w:rPr>
          <w:rFonts w:hint="default" w:ascii="Times New Roman" w:hAnsi="Times New Roman" w:cs="Times New Roman"/>
          <w:color w:val="auto"/>
          <w:highlight w:val="none"/>
          <w:vertAlign w:val="subscript"/>
          <w:lang w:bidi="ar"/>
        </w:rPr>
        <w:t xml:space="preserve">j </w:t>
      </w:r>
      <w:r>
        <w:rPr>
          <w:rFonts w:hint="default" w:ascii="Times New Roman" w:hAnsi="Times New Roman" w:cs="Times New Roman"/>
          <w:color w:val="auto"/>
          <w:highlight w:val="none"/>
          <w:lang w:bidi="ar"/>
        </w:rPr>
        <w:t>—j点实测pH值；</w:t>
      </w:r>
    </w:p>
    <w:p w14:paraId="452F63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pH</w:t>
      </w:r>
      <w:r>
        <w:rPr>
          <w:rFonts w:hint="default" w:ascii="Times New Roman" w:hAnsi="Times New Roman" w:cs="Times New Roman"/>
          <w:color w:val="auto"/>
          <w:highlight w:val="none"/>
          <w:vertAlign w:val="subscript"/>
          <w:lang w:bidi="ar"/>
        </w:rPr>
        <w:t>sd</w:t>
      </w:r>
      <w:r>
        <w:rPr>
          <w:rFonts w:hint="default" w:ascii="Times New Roman" w:hAnsi="Times New Roman" w:cs="Times New Roman"/>
          <w:color w:val="auto"/>
          <w:highlight w:val="none"/>
          <w:lang w:bidi="ar"/>
        </w:rPr>
        <w:t>—标准中的pH值的下限值；</w:t>
      </w:r>
    </w:p>
    <w:p w14:paraId="16D2EA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pH</w:t>
      </w:r>
      <w:r>
        <w:rPr>
          <w:rFonts w:hint="default" w:ascii="Times New Roman" w:hAnsi="Times New Roman" w:cs="Times New Roman"/>
          <w:color w:val="auto"/>
          <w:highlight w:val="none"/>
          <w:vertAlign w:val="subscript"/>
          <w:lang w:bidi="ar"/>
        </w:rPr>
        <w:t>SU</w:t>
      </w:r>
      <w:r>
        <w:rPr>
          <w:rFonts w:hint="default" w:ascii="Times New Roman" w:hAnsi="Times New Roman" w:cs="Times New Roman"/>
          <w:color w:val="auto"/>
          <w:highlight w:val="none"/>
          <w:lang w:bidi="ar"/>
        </w:rPr>
        <w:t>—标准中的pH值的上限值。</w:t>
      </w:r>
    </w:p>
    <w:bookmarkEnd w:id="165"/>
    <w:p w14:paraId="37100F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Style w:val="153"/>
          <w:rFonts w:hint="default" w:ascii="Times New Roman" w:hAnsi="Times New Roman" w:eastAsia="宋体" w:cs="Times New Roman"/>
          <w:color w:val="auto"/>
          <w:highlight w:val="none"/>
        </w:rPr>
      </w:pPr>
      <w:r>
        <w:rPr>
          <w:rStyle w:val="153"/>
          <w:rFonts w:hint="default" w:ascii="Times New Roman" w:hAnsi="Times New Roman" w:eastAsia="宋体" w:cs="Times New Roman"/>
          <w:color w:val="auto"/>
          <w:highlight w:val="none"/>
        </w:rPr>
        <w:t>（6）评价结果</w:t>
      </w:r>
    </w:p>
    <w:p w14:paraId="30F193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Style w:val="153"/>
          <w:rFonts w:hint="default" w:ascii="Times New Roman" w:hAnsi="Times New Roman" w:eastAsia="宋体" w:cs="Times New Roman"/>
          <w:color w:val="auto"/>
          <w:highlight w:val="none"/>
        </w:rPr>
      </w:pPr>
      <w:r>
        <w:rPr>
          <w:rStyle w:val="153"/>
          <w:rFonts w:hint="default" w:ascii="Times New Roman" w:hAnsi="Times New Roman" w:eastAsia="宋体" w:cs="Times New Roman"/>
          <w:color w:val="auto"/>
          <w:highlight w:val="none"/>
        </w:rPr>
        <w:t>监测及评价结果见表4.2-1</w:t>
      </w:r>
      <w:r>
        <w:rPr>
          <w:rStyle w:val="153"/>
          <w:rFonts w:hint="default" w:ascii="Times New Roman" w:hAnsi="Times New Roman" w:eastAsia="宋体" w:cs="Times New Roman"/>
          <w:color w:val="auto"/>
          <w:highlight w:val="none"/>
          <w:lang w:val="en-US" w:eastAsia="zh-CN"/>
        </w:rPr>
        <w:t>3~14</w:t>
      </w:r>
      <w:r>
        <w:rPr>
          <w:rStyle w:val="153"/>
          <w:rFonts w:hint="default" w:ascii="Times New Roman" w:hAnsi="Times New Roman" w:eastAsia="宋体" w:cs="Times New Roman"/>
          <w:color w:val="auto"/>
          <w:highlight w:val="none"/>
        </w:rPr>
        <w:t>。</w:t>
      </w:r>
    </w:p>
    <w:p w14:paraId="4B4AB9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Style w:val="153"/>
          <w:rFonts w:hint="default" w:ascii="Times New Roman" w:hAnsi="Times New Roman" w:eastAsia="宋体" w:cs="Times New Roman"/>
          <w:b/>
          <w:bCs/>
          <w:color w:val="auto"/>
          <w:sz w:val="21"/>
          <w:szCs w:val="21"/>
          <w:highlight w:val="none"/>
          <w:lang w:val="en-US" w:eastAsia="zh-CN"/>
        </w:rPr>
      </w:pPr>
      <w:r>
        <w:rPr>
          <w:rStyle w:val="153"/>
          <w:rFonts w:hint="default" w:ascii="Times New Roman" w:hAnsi="Times New Roman" w:eastAsia="宋体" w:cs="Times New Roman"/>
          <w:b/>
          <w:bCs/>
          <w:color w:val="auto"/>
          <w:sz w:val="21"/>
          <w:szCs w:val="21"/>
          <w:highlight w:val="none"/>
          <w:lang w:val="en-US" w:eastAsia="zh-CN"/>
        </w:rPr>
        <w:t xml:space="preserve">表4.2-13 </w:t>
      </w:r>
      <w:r>
        <w:rPr>
          <w:rStyle w:val="153"/>
          <w:rFonts w:hint="eastAsia" w:ascii="Times New Roman" w:hAnsi="Times New Roman" w:eastAsia="宋体" w:cs="Times New Roman"/>
          <w:b/>
          <w:bCs/>
          <w:color w:val="auto"/>
          <w:sz w:val="21"/>
          <w:szCs w:val="21"/>
          <w:highlight w:val="none"/>
          <w:lang w:val="en-US" w:eastAsia="zh-CN"/>
        </w:rPr>
        <w:t xml:space="preserve">   6</w:t>
      </w:r>
      <w:r>
        <w:rPr>
          <w:rStyle w:val="153"/>
          <w:rFonts w:hint="default" w:ascii="Times New Roman" w:hAnsi="Times New Roman" w:eastAsia="宋体" w:cs="Times New Roman"/>
          <w:b/>
          <w:bCs/>
          <w:color w:val="auto"/>
          <w:sz w:val="21"/>
          <w:szCs w:val="21"/>
          <w:highlight w:val="none"/>
          <w:lang w:val="en-US" w:eastAsia="zh-CN"/>
        </w:rPr>
        <w:t>#引用点位地下水监测情况一览表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3215"/>
        <w:gridCol w:w="1526"/>
        <w:gridCol w:w="1357"/>
        <w:gridCol w:w="1442"/>
        <w:gridCol w:w="1189"/>
      </w:tblGrid>
      <w:tr w14:paraId="404CA9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tblHeader/>
        </w:trPr>
        <w:tc>
          <w:tcPr>
            <w:tcW w:w="1841" w:type="pct"/>
            <w:vMerge w:val="restart"/>
            <w:vAlign w:val="center"/>
          </w:tcPr>
          <w:p w14:paraId="56F25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874" w:type="pct"/>
            <w:vMerge w:val="restart"/>
            <w:vAlign w:val="center"/>
          </w:tcPr>
          <w:p w14:paraId="2911ED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2284" w:type="pct"/>
            <w:gridSpan w:val="3"/>
            <w:vAlign w:val="center"/>
          </w:tcPr>
          <w:p w14:paraId="018D5D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r>
      <w:tr w14:paraId="294FEC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tblHeader/>
        </w:trPr>
        <w:tc>
          <w:tcPr>
            <w:tcW w:w="1841" w:type="pct"/>
            <w:vMerge w:val="continue"/>
            <w:vAlign w:val="center"/>
          </w:tcPr>
          <w:p w14:paraId="581569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874" w:type="pct"/>
            <w:vMerge w:val="continue"/>
            <w:vAlign w:val="center"/>
          </w:tcPr>
          <w:p w14:paraId="48834F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kern w:val="0"/>
                <w:sz w:val="21"/>
                <w:szCs w:val="21"/>
              </w:rPr>
            </w:pPr>
          </w:p>
        </w:tc>
        <w:tc>
          <w:tcPr>
            <w:tcW w:w="777" w:type="pct"/>
            <w:vAlign w:val="center"/>
          </w:tcPr>
          <w:p w14:paraId="32A8C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826" w:type="pct"/>
            <w:vAlign w:val="center"/>
          </w:tcPr>
          <w:p w14:paraId="320B86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680" w:type="pct"/>
            <w:vAlign w:val="center"/>
          </w:tcPr>
          <w:p w14:paraId="5F8FA2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r>
      <w:tr w14:paraId="3CF63C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A2C7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1738D8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5F4A68B9">
            <w:pPr>
              <w:spacing w:line="240" w:lineRule="auto"/>
              <w:ind w:firstLine="0" w:firstLineChars="0"/>
              <w:jc w:val="center"/>
              <w:rPr>
                <w:rFonts w:cs="Times New Roman"/>
                <w:color w:val="auto"/>
                <w:sz w:val="21"/>
                <w:szCs w:val="21"/>
              </w:rPr>
            </w:pPr>
          </w:p>
        </w:tc>
        <w:tc>
          <w:tcPr>
            <w:tcW w:w="1443" w:type="dxa"/>
            <w:vAlign w:val="center"/>
          </w:tcPr>
          <w:p w14:paraId="44A07678">
            <w:pPr>
              <w:spacing w:line="240" w:lineRule="auto"/>
              <w:ind w:firstLine="0" w:firstLineChars="0"/>
              <w:jc w:val="center"/>
              <w:rPr>
                <w:rFonts w:cs="Times New Roman"/>
                <w:color w:val="auto"/>
                <w:sz w:val="21"/>
                <w:szCs w:val="21"/>
              </w:rPr>
            </w:pPr>
          </w:p>
        </w:tc>
        <w:tc>
          <w:tcPr>
            <w:tcW w:w="1189" w:type="dxa"/>
            <w:vAlign w:val="center"/>
          </w:tcPr>
          <w:p w14:paraId="5AEDBDB2">
            <w:pPr>
              <w:spacing w:line="240" w:lineRule="auto"/>
              <w:ind w:firstLine="0" w:firstLineChars="0"/>
              <w:jc w:val="center"/>
              <w:rPr>
                <w:rFonts w:cs="Times New Roman"/>
                <w:color w:val="auto"/>
                <w:sz w:val="21"/>
                <w:szCs w:val="21"/>
              </w:rPr>
            </w:pPr>
          </w:p>
        </w:tc>
      </w:tr>
      <w:tr w14:paraId="66DA6B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4D6A9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0E7412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17B4FDB6">
            <w:pPr>
              <w:spacing w:line="240" w:lineRule="auto"/>
              <w:ind w:firstLine="0" w:firstLineChars="0"/>
              <w:jc w:val="center"/>
              <w:rPr>
                <w:rFonts w:cs="Times New Roman"/>
                <w:color w:val="auto"/>
                <w:sz w:val="21"/>
                <w:szCs w:val="21"/>
              </w:rPr>
            </w:pPr>
          </w:p>
        </w:tc>
        <w:tc>
          <w:tcPr>
            <w:tcW w:w="1443" w:type="dxa"/>
            <w:vAlign w:val="center"/>
          </w:tcPr>
          <w:p w14:paraId="1575FCAC">
            <w:pPr>
              <w:spacing w:line="240" w:lineRule="auto"/>
              <w:ind w:firstLine="0" w:firstLineChars="0"/>
              <w:jc w:val="center"/>
              <w:rPr>
                <w:rFonts w:cs="Times New Roman"/>
                <w:color w:val="auto"/>
                <w:sz w:val="21"/>
                <w:szCs w:val="21"/>
              </w:rPr>
            </w:pPr>
          </w:p>
        </w:tc>
        <w:tc>
          <w:tcPr>
            <w:tcW w:w="1189" w:type="dxa"/>
            <w:vAlign w:val="center"/>
          </w:tcPr>
          <w:p w14:paraId="6A6B05E2">
            <w:pPr>
              <w:spacing w:line="240" w:lineRule="auto"/>
              <w:ind w:firstLine="0" w:firstLineChars="0"/>
              <w:jc w:val="center"/>
              <w:rPr>
                <w:rFonts w:cs="Times New Roman"/>
                <w:b/>
                <w:bCs/>
                <w:color w:val="auto"/>
                <w:sz w:val="21"/>
                <w:szCs w:val="21"/>
              </w:rPr>
            </w:pPr>
          </w:p>
        </w:tc>
      </w:tr>
      <w:tr w14:paraId="1B4985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645F6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3A102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E0F534F">
            <w:pPr>
              <w:spacing w:line="240" w:lineRule="auto"/>
              <w:ind w:firstLine="0" w:firstLineChars="0"/>
              <w:jc w:val="center"/>
              <w:rPr>
                <w:rFonts w:cs="Times New Roman"/>
                <w:color w:val="auto"/>
                <w:sz w:val="21"/>
                <w:szCs w:val="21"/>
              </w:rPr>
            </w:pPr>
          </w:p>
        </w:tc>
        <w:tc>
          <w:tcPr>
            <w:tcW w:w="1443" w:type="dxa"/>
            <w:vAlign w:val="center"/>
          </w:tcPr>
          <w:p w14:paraId="1CFBC8EE">
            <w:pPr>
              <w:spacing w:line="240" w:lineRule="auto"/>
              <w:ind w:firstLine="0" w:firstLineChars="0"/>
              <w:jc w:val="center"/>
              <w:rPr>
                <w:rFonts w:cs="Times New Roman"/>
                <w:color w:val="auto"/>
                <w:sz w:val="21"/>
                <w:szCs w:val="21"/>
              </w:rPr>
            </w:pPr>
          </w:p>
        </w:tc>
        <w:tc>
          <w:tcPr>
            <w:tcW w:w="1189" w:type="dxa"/>
            <w:vAlign w:val="center"/>
          </w:tcPr>
          <w:p w14:paraId="02581407">
            <w:pPr>
              <w:spacing w:line="240" w:lineRule="auto"/>
              <w:ind w:firstLine="0" w:firstLineChars="0"/>
              <w:jc w:val="center"/>
              <w:rPr>
                <w:rFonts w:cs="Times New Roman"/>
                <w:color w:val="auto"/>
                <w:sz w:val="21"/>
                <w:szCs w:val="21"/>
              </w:rPr>
            </w:pPr>
          </w:p>
        </w:tc>
      </w:tr>
      <w:tr w14:paraId="44C3CF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6E967B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1E04E8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30372263">
            <w:pPr>
              <w:spacing w:line="240" w:lineRule="auto"/>
              <w:ind w:firstLine="0" w:firstLineChars="0"/>
              <w:jc w:val="center"/>
              <w:rPr>
                <w:rFonts w:cs="Times New Roman"/>
                <w:color w:val="auto"/>
                <w:sz w:val="21"/>
                <w:szCs w:val="21"/>
              </w:rPr>
            </w:pPr>
          </w:p>
        </w:tc>
        <w:tc>
          <w:tcPr>
            <w:tcW w:w="1443" w:type="dxa"/>
            <w:vAlign w:val="center"/>
          </w:tcPr>
          <w:p w14:paraId="4E2EFE44">
            <w:pPr>
              <w:spacing w:line="240" w:lineRule="auto"/>
              <w:ind w:firstLine="0" w:firstLineChars="0"/>
              <w:jc w:val="center"/>
              <w:rPr>
                <w:rFonts w:cs="Times New Roman"/>
                <w:color w:val="auto"/>
                <w:sz w:val="21"/>
                <w:szCs w:val="21"/>
              </w:rPr>
            </w:pPr>
          </w:p>
        </w:tc>
        <w:tc>
          <w:tcPr>
            <w:tcW w:w="1189" w:type="dxa"/>
            <w:vAlign w:val="center"/>
          </w:tcPr>
          <w:p w14:paraId="7BDD496C">
            <w:pPr>
              <w:spacing w:line="240" w:lineRule="auto"/>
              <w:ind w:firstLine="0" w:firstLineChars="0"/>
              <w:jc w:val="center"/>
              <w:rPr>
                <w:rFonts w:cs="Times New Roman"/>
                <w:color w:val="auto"/>
                <w:sz w:val="21"/>
                <w:szCs w:val="21"/>
              </w:rPr>
            </w:pPr>
          </w:p>
        </w:tc>
      </w:tr>
      <w:tr w14:paraId="754C7E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270EDD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00572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5DB7B5B">
            <w:pPr>
              <w:spacing w:line="240" w:lineRule="auto"/>
              <w:ind w:firstLine="0" w:firstLineChars="0"/>
              <w:jc w:val="center"/>
              <w:rPr>
                <w:rFonts w:cs="Times New Roman"/>
                <w:color w:val="auto"/>
                <w:sz w:val="21"/>
                <w:szCs w:val="21"/>
              </w:rPr>
            </w:pPr>
          </w:p>
        </w:tc>
        <w:tc>
          <w:tcPr>
            <w:tcW w:w="1443" w:type="dxa"/>
            <w:vAlign w:val="center"/>
          </w:tcPr>
          <w:p w14:paraId="0018581C">
            <w:pPr>
              <w:spacing w:line="240" w:lineRule="auto"/>
              <w:ind w:firstLine="0" w:firstLineChars="0"/>
              <w:jc w:val="center"/>
              <w:rPr>
                <w:rFonts w:cs="Times New Roman"/>
                <w:color w:val="auto"/>
                <w:sz w:val="21"/>
                <w:szCs w:val="21"/>
              </w:rPr>
            </w:pPr>
          </w:p>
        </w:tc>
        <w:tc>
          <w:tcPr>
            <w:tcW w:w="1189" w:type="dxa"/>
            <w:vAlign w:val="center"/>
          </w:tcPr>
          <w:p w14:paraId="40F8DC00">
            <w:pPr>
              <w:spacing w:line="240" w:lineRule="auto"/>
              <w:ind w:firstLine="0" w:firstLineChars="0"/>
              <w:jc w:val="center"/>
              <w:rPr>
                <w:rFonts w:cs="Times New Roman"/>
                <w:color w:val="auto"/>
                <w:sz w:val="21"/>
                <w:szCs w:val="21"/>
              </w:rPr>
            </w:pPr>
          </w:p>
        </w:tc>
      </w:tr>
      <w:tr w14:paraId="64D67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12B0AF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1F587A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3C78323">
            <w:pPr>
              <w:spacing w:line="240" w:lineRule="auto"/>
              <w:ind w:firstLine="0" w:firstLineChars="0"/>
              <w:jc w:val="center"/>
              <w:rPr>
                <w:rFonts w:cs="Times New Roman"/>
                <w:color w:val="auto"/>
                <w:spacing w:val="-20"/>
                <w:sz w:val="21"/>
                <w:szCs w:val="21"/>
              </w:rPr>
            </w:pPr>
          </w:p>
        </w:tc>
        <w:tc>
          <w:tcPr>
            <w:tcW w:w="1443" w:type="dxa"/>
            <w:vAlign w:val="center"/>
          </w:tcPr>
          <w:p w14:paraId="37FE8A9D">
            <w:pPr>
              <w:spacing w:line="240" w:lineRule="auto"/>
              <w:ind w:firstLine="0" w:firstLineChars="0"/>
              <w:jc w:val="center"/>
              <w:rPr>
                <w:rFonts w:cs="Times New Roman"/>
                <w:color w:val="auto"/>
                <w:sz w:val="21"/>
                <w:szCs w:val="21"/>
              </w:rPr>
            </w:pPr>
          </w:p>
        </w:tc>
        <w:tc>
          <w:tcPr>
            <w:tcW w:w="1189" w:type="dxa"/>
            <w:vAlign w:val="center"/>
          </w:tcPr>
          <w:p w14:paraId="3B188C04">
            <w:pPr>
              <w:spacing w:line="240" w:lineRule="auto"/>
              <w:ind w:firstLine="0" w:firstLineChars="0"/>
              <w:jc w:val="center"/>
              <w:rPr>
                <w:rFonts w:cs="Times New Roman"/>
                <w:color w:val="auto"/>
                <w:sz w:val="21"/>
                <w:szCs w:val="21"/>
              </w:rPr>
            </w:pPr>
          </w:p>
        </w:tc>
      </w:tr>
      <w:tr w14:paraId="241DAC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1356B1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7FF27D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D70B99C">
            <w:pPr>
              <w:spacing w:line="240" w:lineRule="auto"/>
              <w:ind w:firstLine="0" w:firstLineChars="0"/>
              <w:jc w:val="center"/>
              <w:rPr>
                <w:rFonts w:cs="Times New Roman"/>
                <w:color w:val="auto"/>
                <w:sz w:val="21"/>
                <w:szCs w:val="21"/>
              </w:rPr>
            </w:pPr>
          </w:p>
        </w:tc>
        <w:tc>
          <w:tcPr>
            <w:tcW w:w="1443" w:type="dxa"/>
            <w:vAlign w:val="center"/>
          </w:tcPr>
          <w:p w14:paraId="688D920D">
            <w:pPr>
              <w:spacing w:line="240" w:lineRule="auto"/>
              <w:ind w:firstLine="0" w:firstLineChars="0"/>
              <w:jc w:val="center"/>
              <w:rPr>
                <w:rFonts w:cs="Times New Roman"/>
                <w:color w:val="auto"/>
                <w:sz w:val="21"/>
                <w:szCs w:val="21"/>
              </w:rPr>
            </w:pPr>
          </w:p>
        </w:tc>
        <w:tc>
          <w:tcPr>
            <w:tcW w:w="1189" w:type="dxa"/>
            <w:vAlign w:val="center"/>
          </w:tcPr>
          <w:p w14:paraId="1A28EAA5">
            <w:pPr>
              <w:spacing w:line="240" w:lineRule="auto"/>
              <w:ind w:firstLine="0" w:firstLineChars="0"/>
              <w:jc w:val="center"/>
              <w:rPr>
                <w:rFonts w:cs="Times New Roman"/>
                <w:color w:val="auto"/>
                <w:sz w:val="21"/>
                <w:szCs w:val="21"/>
              </w:rPr>
            </w:pPr>
          </w:p>
        </w:tc>
      </w:tr>
      <w:tr w14:paraId="7A160D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215EC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CFDE8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15728659">
            <w:pPr>
              <w:spacing w:line="240" w:lineRule="auto"/>
              <w:ind w:firstLine="0" w:firstLineChars="0"/>
              <w:jc w:val="center"/>
              <w:rPr>
                <w:rFonts w:cs="Times New Roman"/>
                <w:b/>
                <w:bCs/>
                <w:color w:val="auto"/>
                <w:sz w:val="21"/>
                <w:szCs w:val="21"/>
              </w:rPr>
            </w:pPr>
          </w:p>
        </w:tc>
        <w:tc>
          <w:tcPr>
            <w:tcW w:w="1443" w:type="dxa"/>
            <w:vAlign w:val="center"/>
          </w:tcPr>
          <w:p w14:paraId="6598B050">
            <w:pPr>
              <w:spacing w:line="240" w:lineRule="auto"/>
              <w:ind w:firstLine="0" w:firstLineChars="0"/>
              <w:jc w:val="center"/>
              <w:rPr>
                <w:rFonts w:cs="Times New Roman"/>
                <w:b/>
                <w:bCs/>
                <w:color w:val="auto"/>
                <w:sz w:val="21"/>
                <w:szCs w:val="21"/>
              </w:rPr>
            </w:pPr>
          </w:p>
        </w:tc>
        <w:tc>
          <w:tcPr>
            <w:tcW w:w="1189" w:type="dxa"/>
            <w:vAlign w:val="center"/>
          </w:tcPr>
          <w:p w14:paraId="2DB0DECE">
            <w:pPr>
              <w:spacing w:line="240" w:lineRule="auto"/>
              <w:ind w:firstLine="0" w:firstLineChars="0"/>
              <w:jc w:val="center"/>
              <w:rPr>
                <w:rFonts w:cs="Times New Roman"/>
                <w:b/>
                <w:bCs/>
                <w:color w:val="auto"/>
                <w:sz w:val="21"/>
                <w:szCs w:val="21"/>
              </w:rPr>
            </w:pPr>
          </w:p>
        </w:tc>
      </w:tr>
      <w:tr w14:paraId="493A06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3B125B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A5E33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DA5E537">
            <w:pPr>
              <w:spacing w:line="240" w:lineRule="auto"/>
              <w:ind w:firstLine="0" w:firstLineChars="0"/>
              <w:jc w:val="center"/>
              <w:rPr>
                <w:rFonts w:cs="Times New Roman"/>
                <w:color w:val="auto"/>
                <w:sz w:val="21"/>
                <w:szCs w:val="21"/>
              </w:rPr>
            </w:pPr>
          </w:p>
        </w:tc>
        <w:tc>
          <w:tcPr>
            <w:tcW w:w="1443" w:type="dxa"/>
            <w:vAlign w:val="center"/>
          </w:tcPr>
          <w:p w14:paraId="50572B26">
            <w:pPr>
              <w:spacing w:line="240" w:lineRule="auto"/>
              <w:ind w:firstLine="0" w:firstLineChars="0"/>
              <w:jc w:val="center"/>
              <w:rPr>
                <w:rFonts w:cs="Times New Roman"/>
                <w:color w:val="auto"/>
                <w:sz w:val="21"/>
                <w:szCs w:val="21"/>
              </w:rPr>
            </w:pPr>
          </w:p>
        </w:tc>
        <w:tc>
          <w:tcPr>
            <w:tcW w:w="1189" w:type="dxa"/>
            <w:vAlign w:val="center"/>
          </w:tcPr>
          <w:p w14:paraId="3B1F252D">
            <w:pPr>
              <w:spacing w:line="240" w:lineRule="auto"/>
              <w:ind w:firstLine="0" w:firstLineChars="0"/>
              <w:jc w:val="center"/>
              <w:rPr>
                <w:rFonts w:cs="Times New Roman"/>
                <w:color w:val="auto"/>
                <w:sz w:val="21"/>
                <w:szCs w:val="21"/>
              </w:rPr>
            </w:pPr>
          </w:p>
        </w:tc>
      </w:tr>
      <w:tr w14:paraId="659D3B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52077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042E58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DF75642">
            <w:pPr>
              <w:spacing w:line="240" w:lineRule="auto"/>
              <w:ind w:firstLine="0" w:firstLineChars="0"/>
              <w:jc w:val="center"/>
              <w:rPr>
                <w:rFonts w:cs="Times New Roman"/>
                <w:color w:val="auto"/>
                <w:sz w:val="21"/>
                <w:szCs w:val="21"/>
              </w:rPr>
            </w:pPr>
          </w:p>
        </w:tc>
        <w:tc>
          <w:tcPr>
            <w:tcW w:w="1443" w:type="dxa"/>
            <w:vAlign w:val="center"/>
          </w:tcPr>
          <w:p w14:paraId="14B5172B">
            <w:pPr>
              <w:spacing w:line="240" w:lineRule="auto"/>
              <w:ind w:firstLine="0" w:firstLineChars="0"/>
              <w:jc w:val="center"/>
              <w:rPr>
                <w:rFonts w:cs="Times New Roman"/>
                <w:color w:val="auto"/>
                <w:sz w:val="21"/>
                <w:szCs w:val="21"/>
              </w:rPr>
            </w:pPr>
          </w:p>
        </w:tc>
        <w:tc>
          <w:tcPr>
            <w:tcW w:w="1189" w:type="dxa"/>
            <w:vAlign w:val="center"/>
          </w:tcPr>
          <w:p w14:paraId="02468366">
            <w:pPr>
              <w:spacing w:line="240" w:lineRule="auto"/>
              <w:ind w:firstLine="0" w:firstLineChars="0"/>
              <w:jc w:val="center"/>
              <w:rPr>
                <w:rFonts w:cs="Times New Roman"/>
                <w:color w:val="auto"/>
                <w:sz w:val="21"/>
                <w:szCs w:val="21"/>
              </w:rPr>
            </w:pPr>
          </w:p>
        </w:tc>
      </w:tr>
      <w:tr w14:paraId="65975E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C0A2F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0DDACF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48606542">
            <w:pPr>
              <w:spacing w:line="240" w:lineRule="auto"/>
              <w:ind w:firstLine="0" w:firstLineChars="0"/>
              <w:jc w:val="center"/>
              <w:rPr>
                <w:rFonts w:cs="Times New Roman"/>
                <w:color w:val="auto"/>
                <w:sz w:val="21"/>
                <w:szCs w:val="21"/>
              </w:rPr>
            </w:pPr>
          </w:p>
        </w:tc>
        <w:tc>
          <w:tcPr>
            <w:tcW w:w="1443" w:type="dxa"/>
            <w:vAlign w:val="center"/>
          </w:tcPr>
          <w:p w14:paraId="35196992">
            <w:pPr>
              <w:spacing w:line="240" w:lineRule="auto"/>
              <w:ind w:firstLine="0" w:firstLineChars="0"/>
              <w:jc w:val="center"/>
              <w:rPr>
                <w:rFonts w:cs="Times New Roman"/>
                <w:color w:val="auto"/>
                <w:sz w:val="21"/>
                <w:szCs w:val="21"/>
              </w:rPr>
            </w:pPr>
          </w:p>
        </w:tc>
        <w:tc>
          <w:tcPr>
            <w:tcW w:w="1189" w:type="dxa"/>
            <w:vAlign w:val="center"/>
          </w:tcPr>
          <w:p w14:paraId="2AF3E2A7">
            <w:pPr>
              <w:spacing w:line="240" w:lineRule="auto"/>
              <w:ind w:firstLine="0" w:firstLineChars="0"/>
              <w:jc w:val="center"/>
              <w:rPr>
                <w:rFonts w:cs="Times New Roman"/>
                <w:color w:val="auto"/>
                <w:sz w:val="21"/>
                <w:szCs w:val="21"/>
              </w:rPr>
            </w:pPr>
          </w:p>
        </w:tc>
      </w:tr>
      <w:tr w14:paraId="389F41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B0F2A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874" w:type="pct"/>
            <w:vAlign w:val="center"/>
          </w:tcPr>
          <w:p w14:paraId="0FEB0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4AC043A4">
            <w:pPr>
              <w:spacing w:line="240" w:lineRule="auto"/>
              <w:ind w:firstLine="0" w:firstLineChars="0"/>
              <w:jc w:val="center"/>
              <w:rPr>
                <w:rFonts w:cs="Times New Roman"/>
                <w:color w:val="auto"/>
                <w:sz w:val="21"/>
                <w:szCs w:val="21"/>
              </w:rPr>
            </w:pPr>
          </w:p>
        </w:tc>
        <w:tc>
          <w:tcPr>
            <w:tcW w:w="1443" w:type="dxa"/>
            <w:vAlign w:val="center"/>
          </w:tcPr>
          <w:p w14:paraId="4CEFC6D0">
            <w:pPr>
              <w:spacing w:line="240" w:lineRule="auto"/>
              <w:ind w:firstLine="0" w:firstLineChars="0"/>
              <w:jc w:val="center"/>
              <w:rPr>
                <w:rFonts w:cs="Times New Roman"/>
                <w:color w:val="auto"/>
                <w:sz w:val="21"/>
                <w:szCs w:val="21"/>
              </w:rPr>
            </w:pPr>
          </w:p>
        </w:tc>
        <w:tc>
          <w:tcPr>
            <w:tcW w:w="1189" w:type="dxa"/>
            <w:vAlign w:val="center"/>
          </w:tcPr>
          <w:p w14:paraId="25AB0A68">
            <w:pPr>
              <w:spacing w:line="240" w:lineRule="auto"/>
              <w:ind w:firstLine="0" w:firstLineChars="0"/>
              <w:jc w:val="center"/>
              <w:rPr>
                <w:rFonts w:cs="Times New Roman"/>
                <w:color w:val="auto"/>
                <w:sz w:val="21"/>
                <w:szCs w:val="21"/>
              </w:rPr>
            </w:pPr>
          </w:p>
        </w:tc>
      </w:tr>
      <w:tr w14:paraId="252781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0B39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874" w:type="pct"/>
            <w:vAlign w:val="center"/>
          </w:tcPr>
          <w:p w14:paraId="13DFE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49F67F1">
            <w:pPr>
              <w:spacing w:line="240" w:lineRule="auto"/>
              <w:ind w:firstLine="0" w:firstLineChars="0"/>
              <w:jc w:val="center"/>
              <w:rPr>
                <w:rFonts w:cs="Times New Roman"/>
                <w:color w:val="auto"/>
                <w:sz w:val="21"/>
                <w:szCs w:val="21"/>
              </w:rPr>
            </w:pPr>
          </w:p>
        </w:tc>
        <w:tc>
          <w:tcPr>
            <w:tcW w:w="1443" w:type="dxa"/>
            <w:vAlign w:val="center"/>
          </w:tcPr>
          <w:p w14:paraId="12635F65">
            <w:pPr>
              <w:spacing w:line="240" w:lineRule="auto"/>
              <w:ind w:firstLine="0" w:firstLineChars="0"/>
              <w:jc w:val="center"/>
              <w:rPr>
                <w:rFonts w:cs="Times New Roman"/>
                <w:color w:val="auto"/>
                <w:sz w:val="21"/>
                <w:szCs w:val="21"/>
              </w:rPr>
            </w:pPr>
          </w:p>
        </w:tc>
        <w:tc>
          <w:tcPr>
            <w:tcW w:w="1189" w:type="dxa"/>
            <w:vAlign w:val="center"/>
          </w:tcPr>
          <w:p w14:paraId="094F6D2D">
            <w:pPr>
              <w:spacing w:line="240" w:lineRule="auto"/>
              <w:ind w:firstLine="0" w:firstLineChars="0"/>
              <w:jc w:val="center"/>
              <w:rPr>
                <w:rFonts w:cs="Times New Roman"/>
                <w:color w:val="auto"/>
                <w:sz w:val="21"/>
                <w:szCs w:val="21"/>
              </w:rPr>
            </w:pPr>
          </w:p>
        </w:tc>
      </w:tr>
      <w:tr w14:paraId="6B71BF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79544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345F45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04F63BB">
            <w:pPr>
              <w:spacing w:line="240" w:lineRule="auto"/>
              <w:ind w:firstLine="0" w:firstLineChars="0"/>
              <w:jc w:val="center"/>
              <w:rPr>
                <w:rFonts w:cs="Times New Roman"/>
                <w:color w:val="auto"/>
                <w:sz w:val="21"/>
                <w:szCs w:val="21"/>
              </w:rPr>
            </w:pPr>
          </w:p>
        </w:tc>
        <w:tc>
          <w:tcPr>
            <w:tcW w:w="1443" w:type="dxa"/>
            <w:vAlign w:val="center"/>
          </w:tcPr>
          <w:p w14:paraId="20B1CB63">
            <w:pPr>
              <w:spacing w:line="240" w:lineRule="auto"/>
              <w:ind w:firstLine="0" w:firstLineChars="0"/>
              <w:jc w:val="center"/>
              <w:rPr>
                <w:rFonts w:cs="Times New Roman"/>
                <w:color w:val="auto"/>
                <w:sz w:val="21"/>
                <w:szCs w:val="21"/>
              </w:rPr>
            </w:pPr>
          </w:p>
        </w:tc>
        <w:tc>
          <w:tcPr>
            <w:tcW w:w="1189" w:type="dxa"/>
            <w:vAlign w:val="center"/>
          </w:tcPr>
          <w:p w14:paraId="5FD44F42">
            <w:pPr>
              <w:spacing w:line="240" w:lineRule="auto"/>
              <w:ind w:firstLine="0" w:firstLineChars="0"/>
              <w:jc w:val="center"/>
              <w:rPr>
                <w:rFonts w:cs="Times New Roman"/>
                <w:color w:val="auto"/>
                <w:sz w:val="21"/>
                <w:szCs w:val="21"/>
              </w:rPr>
            </w:pPr>
          </w:p>
        </w:tc>
      </w:tr>
      <w:tr w14:paraId="51F32A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05BD8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534F4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574E30C1">
            <w:pPr>
              <w:spacing w:line="240" w:lineRule="auto"/>
              <w:ind w:firstLine="0" w:firstLineChars="0"/>
              <w:jc w:val="center"/>
              <w:rPr>
                <w:rFonts w:cs="Times New Roman"/>
                <w:color w:val="auto"/>
                <w:spacing w:val="-20"/>
                <w:sz w:val="21"/>
                <w:szCs w:val="21"/>
              </w:rPr>
            </w:pPr>
          </w:p>
        </w:tc>
        <w:tc>
          <w:tcPr>
            <w:tcW w:w="1443" w:type="dxa"/>
            <w:vAlign w:val="center"/>
          </w:tcPr>
          <w:p w14:paraId="6DB1460F">
            <w:pPr>
              <w:spacing w:line="240" w:lineRule="auto"/>
              <w:ind w:firstLine="0" w:firstLineChars="0"/>
              <w:jc w:val="center"/>
              <w:rPr>
                <w:rFonts w:cs="Times New Roman"/>
                <w:color w:val="auto"/>
                <w:sz w:val="21"/>
                <w:szCs w:val="21"/>
              </w:rPr>
            </w:pPr>
          </w:p>
        </w:tc>
        <w:tc>
          <w:tcPr>
            <w:tcW w:w="1189" w:type="dxa"/>
            <w:vAlign w:val="center"/>
          </w:tcPr>
          <w:p w14:paraId="44D9A782">
            <w:pPr>
              <w:spacing w:line="240" w:lineRule="auto"/>
              <w:ind w:firstLine="0" w:firstLineChars="0"/>
              <w:jc w:val="center"/>
              <w:rPr>
                <w:rFonts w:cs="Times New Roman"/>
                <w:color w:val="auto"/>
                <w:sz w:val="21"/>
                <w:szCs w:val="21"/>
              </w:rPr>
            </w:pPr>
          </w:p>
        </w:tc>
      </w:tr>
      <w:tr w14:paraId="7FD07D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8B8F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6A1121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9BB483E">
            <w:pPr>
              <w:spacing w:line="240" w:lineRule="auto"/>
              <w:ind w:firstLine="0" w:firstLineChars="0"/>
              <w:jc w:val="center"/>
              <w:rPr>
                <w:rFonts w:cs="Times New Roman"/>
                <w:color w:val="auto"/>
                <w:spacing w:val="-20"/>
                <w:sz w:val="21"/>
                <w:szCs w:val="21"/>
              </w:rPr>
            </w:pPr>
          </w:p>
        </w:tc>
        <w:tc>
          <w:tcPr>
            <w:tcW w:w="1443" w:type="dxa"/>
            <w:vAlign w:val="center"/>
          </w:tcPr>
          <w:p w14:paraId="10CF48C5">
            <w:pPr>
              <w:spacing w:line="240" w:lineRule="auto"/>
              <w:ind w:firstLine="0" w:firstLineChars="0"/>
              <w:jc w:val="center"/>
              <w:rPr>
                <w:rFonts w:cs="Times New Roman"/>
                <w:color w:val="auto"/>
                <w:sz w:val="21"/>
                <w:szCs w:val="21"/>
              </w:rPr>
            </w:pPr>
          </w:p>
        </w:tc>
        <w:tc>
          <w:tcPr>
            <w:tcW w:w="1189" w:type="dxa"/>
            <w:vAlign w:val="center"/>
          </w:tcPr>
          <w:p w14:paraId="7B2763A9">
            <w:pPr>
              <w:spacing w:line="240" w:lineRule="auto"/>
              <w:ind w:firstLine="0" w:firstLineChars="0"/>
              <w:jc w:val="center"/>
              <w:rPr>
                <w:rFonts w:cs="Times New Roman"/>
                <w:color w:val="auto"/>
                <w:sz w:val="21"/>
                <w:szCs w:val="21"/>
              </w:rPr>
            </w:pPr>
          </w:p>
        </w:tc>
      </w:tr>
      <w:tr w14:paraId="687EE9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C721F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413F2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0CDEEA65">
            <w:pPr>
              <w:spacing w:line="240" w:lineRule="auto"/>
              <w:ind w:firstLine="0" w:firstLineChars="0"/>
              <w:jc w:val="center"/>
              <w:rPr>
                <w:rFonts w:cs="Times New Roman"/>
                <w:color w:val="auto"/>
                <w:sz w:val="21"/>
                <w:szCs w:val="21"/>
              </w:rPr>
            </w:pPr>
          </w:p>
        </w:tc>
        <w:tc>
          <w:tcPr>
            <w:tcW w:w="1443" w:type="dxa"/>
            <w:vAlign w:val="center"/>
          </w:tcPr>
          <w:p w14:paraId="5ED2EBA6">
            <w:pPr>
              <w:spacing w:line="240" w:lineRule="auto"/>
              <w:ind w:firstLine="0" w:firstLineChars="0"/>
              <w:jc w:val="center"/>
              <w:rPr>
                <w:rFonts w:cs="Times New Roman"/>
                <w:color w:val="auto"/>
                <w:sz w:val="21"/>
                <w:szCs w:val="21"/>
              </w:rPr>
            </w:pPr>
          </w:p>
        </w:tc>
        <w:tc>
          <w:tcPr>
            <w:tcW w:w="1189" w:type="dxa"/>
            <w:vAlign w:val="center"/>
          </w:tcPr>
          <w:p w14:paraId="5CA719AB">
            <w:pPr>
              <w:spacing w:line="240" w:lineRule="auto"/>
              <w:ind w:firstLine="0" w:firstLineChars="0"/>
              <w:jc w:val="center"/>
              <w:rPr>
                <w:rFonts w:cs="Times New Roman"/>
                <w:color w:val="auto"/>
                <w:sz w:val="21"/>
                <w:szCs w:val="21"/>
              </w:rPr>
            </w:pPr>
          </w:p>
        </w:tc>
      </w:tr>
      <w:tr w14:paraId="2AD182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67C58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206C4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C6488B2">
            <w:pPr>
              <w:spacing w:line="240" w:lineRule="auto"/>
              <w:ind w:firstLine="0" w:firstLineChars="0"/>
              <w:jc w:val="center"/>
              <w:rPr>
                <w:rFonts w:cs="Times New Roman"/>
                <w:color w:val="auto"/>
                <w:sz w:val="21"/>
                <w:szCs w:val="21"/>
              </w:rPr>
            </w:pPr>
          </w:p>
        </w:tc>
        <w:tc>
          <w:tcPr>
            <w:tcW w:w="1443" w:type="dxa"/>
            <w:vAlign w:val="center"/>
          </w:tcPr>
          <w:p w14:paraId="27DCDB9F">
            <w:pPr>
              <w:spacing w:line="240" w:lineRule="auto"/>
              <w:ind w:firstLine="0" w:firstLineChars="0"/>
              <w:jc w:val="center"/>
              <w:rPr>
                <w:rFonts w:cs="Times New Roman"/>
                <w:color w:val="auto"/>
                <w:sz w:val="21"/>
                <w:szCs w:val="21"/>
              </w:rPr>
            </w:pPr>
          </w:p>
        </w:tc>
        <w:tc>
          <w:tcPr>
            <w:tcW w:w="1189" w:type="dxa"/>
            <w:vAlign w:val="center"/>
          </w:tcPr>
          <w:p w14:paraId="5EE23D20">
            <w:pPr>
              <w:spacing w:line="240" w:lineRule="auto"/>
              <w:ind w:firstLine="0" w:firstLineChars="0"/>
              <w:jc w:val="center"/>
              <w:rPr>
                <w:rFonts w:cs="Times New Roman"/>
                <w:color w:val="auto"/>
                <w:sz w:val="21"/>
                <w:szCs w:val="21"/>
              </w:rPr>
            </w:pPr>
          </w:p>
        </w:tc>
      </w:tr>
      <w:tr w14:paraId="5C2709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429330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23BCB7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0A87C390">
            <w:pPr>
              <w:spacing w:line="240" w:lineRule="auto"/>
              <w:ind w:firstLine="0" w:firstLineChars="0"/>
              <w:jc w:val="center"/>
              <w:rPr>
                <w:rFonts w:cs="Times New Roman"/>
                <w:color w:val="auto"/>
                <w:sz w:val="21"/>
                <w:szCs w:val="21"/>
              </w:rPr>
            </w:pPr>
          </w:p>
        </w:tc>
        <w:tc>
          <w:tcPr>
            <w:tcW w:w="1443" w:type="dxa"/>
            <w:vAlign w:val="center"/>
          </w:tcPr>
          <w:p w14:paraId="15661AF8">
            <w:pPr>
              <w:spacing w:line="240" w:lineRule="auto"/>
              <w:ind w:firstLine="0" w:firstLineChars="0"/>
              <w:jc w:val="center"/>
              <w:rPr>
                <w:rFonts w:cs="Times New Roman"/>
                <w:color w:val="auto"/>
                <w:sz w:val="21"/>
                <w:szCs w:val="21"/>
              </w:rPr>
            </w:pPr>
          </w:p>
        </w:tc>
        <w:tc>
          <w:tcPr>
            <w:tcW w:w="1189" w:type="dxa"/>
            <w:vAlign w:val="center"/>
          </w:tcPr>
          <w:p w14:paraId="092563A7">
            <w:pPr>
              <w:spacing w:line="240" w:lineRule="auto"/>
              <w:ind w:firstLine="0" w:firstLineChars="0"/>
              <w:jc w:val="center"/>
              <w:rPr>
                <w:rFonts w:cs="Times New Roman"/>
                <w:color w:val="auto"/>
                <w:sz w:val="21"/>
                <w:szCs w:val="21"/>
              </w:rPr>
            </w:pPr>
          </w:p>
        </w:tc>
      </w:tr>
      <w:tr w14:paraId="7CCF49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60A1F3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400DA2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EBEC7E8">
            <w:pPr>
              <w:spacing w:line="240" w:lineRule="auto"/>
              <w:ind w:firstLine="0" w:firstLineChars="0"/>
              <w:jc w:val="center"/>
              <w:rPr>
                <w:rFonts w:cs="Times New Roman"/>
                <w:color w:val="auto"/>
                <w:sz w:val="21"/>
                <w:szCs w:val="21"/>
              </w:rPr>
            </w:pPr>
          </w:p>
        </w:tc>
        <w:tc>
          <w:tcPr>
            <w:tcW w:w="1443" w:type="dxa"/>
            <w:vAlign w:val="center"/>
          </w:tcPr>
          <w:p w14:paraId="6807CD52">
            <w:pPr>
              <w:spacing w:line="240" w:lineRule="auto"/>
              <w:ind w:firstLine="0" w:firstLineChars="0"/>
              <w:jc w:val="center"/>
              <w:rPr>
                <w:rFonts w:cs="Times New Roman"/>
                <w:color w:val="auto"/>
                <w:sz w:val="21"/>
                <w:szCs w:val="21"/>
              </w:rPr>
            </w:pPr>
          </w:p>
        </w:tc>
        <w:tc>
          <w:tcPr>
            <w:tcW w:w="1189" w:type="dxa"/>
            <w:vAlign w:val="center"/>
          </w:tcPr>
          <w:p w14:paraId="0E5CABEB">
            <w:pPr>
              <w:spacing w:line="240" w:lineRule="auto"/>
              <w:ind w:firstLine="0" w:firstLineChars="0"/>
              <w:jc w:val="center"/>
              <w:rPr>
                <w:rFonts w:cs="Times New Roman"/>
                <w:color w:val="auto"/>
                <w:sz w:val="21"/>
                <w:szCs w:val="21"/>
              </w:rPr>
            </w:pPr>
          </w:p>
        </w:tc>
      </w:tr>
      <w:tr w14:paraId="285C3D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373AE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6999A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0E18785E">
            <w:pPr>
              <w:spacing w:line="240" w:lineRule="auto"/>
              <w:ind w:firstLine="0" w:firstLineChars="0"/>
              <w:jc w:val="center"/>
              <w:rPr>
                <w:rFonts w:cs="Times New Roman"/>
                <w:color w:val="auto"/>
                <w:sz w:val="21"/>
                <w:szCs w:val="21"/>
              </w:rPr>
            </w:pPr>
          </w:p>
        </w:tc>
        <w:tc>
          <w:tcPr>
            <w:tcW w:w="1443" w:type="dxa"/>
            <w:vAlign w:val="center"/>
          </w:tcPr>
          <w:p w14:paraId="5BCE751B">
            <w:pPr>
              <w:spacing w:line="240" w:lineRule="auto"/>
              <w:ind w:firstLine="0" w:firstLineChars="0"/>
              <w:jc w:val="center"/>
              <w:rPr>
                <w:rFonts w:cs="Times New Roman"/>
                <w:color w:val="auto"/>
                <w:sz w:val="21"/>
                <w:szCs w:val="21"/>
              </w:rPr>
            </w:pPr>
          </w:p>
        </w:tc>
        <w:tc>
          <w:tcPr>
            <w:tcW w:w="1189" w:type="dxa"/>
            <w:vAlign w:val="center"/>
          </w:tcPr>
          <w:p w14:paraId="1A6F672D">
            <w:pPr>
              <w:spacing w:line="240" w:lineRule="auto"/>
              <w:ind w:firstLine="0" w:firstLineChars="0"/>
              <w:jc w:val="center"/>
              <w:rPr>
                <w:rFonts w:cs="Times New Roman"/>
                <w:color w:val="auto"/>
                <w:sz w:val="21"/>
                <w:szCs w:val="21"/>
              </w:rPr>
            </w:pPr>
          </w:p>
        </w:tc>
      </w:tr>
      <w:tr w14:paraId="4AE1F4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5AF9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6C48D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09BAA619">
            <w:pPr>
              <w:spacing w:line="240" w:lineRule="auto"/>
              <w:ind w:firstLine="0" w:firstLineChars="0"/>
              <w:jc w:val="center"/>
              <w:rPr>
                <w:rFonts w:cs="Times New Roman"/>
                <w:color w:val="auto"/>
                <w:sz w:val="21"/>
                <w:szCs w:val="21"/>
              </w:rPr>
            </w:pPr>
          </w:p>
        </w:tc>
        <w:tc>
          <w:tcPr>
            <w:tcW w:w="1443" w:type="dxa"/>
            <w:vAlign w:val="center"/>
          </w:tcPr>
          <w:p w14:paraId="5882B398">
            <w:pPr>
              <w:spacing w:line="240" w:lineRule="auto"/>
              <w:ind w:firstLine="0" w:firstLineChars="0"/>
              <w:jc w:val="center"/>
              <w:rPr>
                <w:rFonts w:cs="Times New Roman"/>
                <w:color w:val="auto"/>
                <w:sz w:val="21"/>
                <w:szCs w:val="21"/>
              </w:rPr>
            </w:pPr>
          </w:p>
        </w:tc>
        <w:tc>
          <w:tcPr>
            <w:tcW w:w="1189" w:type="dxa"/>
            <w:vAlign w:val="center"/>
          </w:tcPr>
          <w:p w14:paraId="2930B5FF">
            <w:pPr>
              <w:spacing w:line="240" w:lineRule="auto"/>
              <w:ind w:firstLine="0" w:firstLineChars="0"/>
              <w:jc w:val="center"/>
              <w:rPr>
                <w:rFonts w:cs="Times New Roman"/>
                <w:color w:val="auto"/>
                <w:sz w:val="21"/>
                <w:szCs w:val="21"/>
              </w:rPr>
            </w:pPr>
          </w:p>
        </w:tc>
      </w:tr>
      <w:tr w14:paraId="41135E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97D7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3EA1E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54808D84">
            <w:pPr>
              <w:spacing w:line="240" w:lineRule="auto"/>
              <w:ind w:firstLine="0" w:firstLineChars="0"/>
              <w:jc w:val="center"/>
              <w:rPr>
                <w:rFonts w:cs="Times New Roman"/>
                <w:color w:val="auto"/>
                <w:sz w:val="21"/>
                <w:szCs w:val="21"/>
              </w:rPr>
            </w:pPr>
          </w:p>
        </w:tc>
        <w:tc>
          <w:tcPr>
            <w:tcW w:w="1443" w:type="dxa"/>
            <w:vAlign w:val="center"/>
          </w:tcPr>
          <w:p w14:paraId="62C1ECB3">
            <w:pPr>
              <w:spacing w:line="240" w:lineRule="auto"/>
              <w:ind w:firstLine="0" w:firstLineChars="0"/>
              <w:jc w:val="center"/>
              <w:rPr>
                <w:rFonts w:cs="Times New Roman"/>
                <w:color w:val="auto"/>
                <w:sz w:val="21"/>
                <w:szCs w:val="21"/>
              </w:rPr>
            </w:pPr>
          </w:p>
        </w:tc>
        <w:tc>
          <w:tcPr>
            <w:tcW w:w="1189" w:type="dxa"/>
            <w:vAlign w:val="center"/>
          </w:tcPr>
          <w:p w14:paraId="44A27082">
            <w:pPr>
              <w:spacing w:line="240" w:lineRule="auto"/>
              <w:ind w:firstLine="0" w:firstLineChars="0"/>
              <w:jc w:val="center"/>
              <w:rPr>
                <w:rFonts w:cs="Times New Roman"/>
                <w:color w:val="auto"/>
                <w:sz w:val="21"/>
                <w:szCs w:val="21"/>
              </w:rPr>
            </w:pPr>
          </w:p>
        </w:tc>
      </w:tr>
      <w:tr w14:paraId="491239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1F18E5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193076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91094F4">
            <w:pPr>
              <w:spacing w:line="240" w:lineRule="auto"/>
              <w:ind w:firstLine="0" w:firstLineChars="0"/>
              <w:jc w:val="center"/>
              <w:rPr>
                <w:rFonts w:cs="Times New Roman"/>
                <w:color w:val="auto"/>
                <w:sz w:val="21"/>
                <w:szCs w:val="21"/>
              </w:rPr>
            </w:pPr>
          </w:p>
        </w:tc>
        <w:tc>
          <w:tcPr>
            <w:tcW w:w="1443" w:type="dxa"/>
            <w:vAlign w:val="center"/>
          </w:tcPr>
          <w:p w14:paraId="0C2F4A0F">
            <w:pPr>
              <w:spacing w:line="240" w:lineRule="auto"/>
              <w:ind w:firstLine="0" w:firstLineChars="0"/>
              <w:jc w:val="center"/>
              <w:rPr>
                <w:rFonts w:cs="Times New Roman"/>
                <w:color w:val="auto"/>
                <w:sz w:val="21"/>
                <w:szCs w:val="21"/>
              </w:rPr>
            </w:pPr>
          </w:p>
        </w:tc>
        <w:tc>
          <w:tcPr>
            <w:tcW w:w="1189" w:type="dxa"/>
            <w:vAlign w:val="center"/>
          </w:tcPr>
          <w:p w14:paraId="0D38C6D8">
            <w:pPr>
              <w:spacing w:line="240" w:lineRule="auto"/>
              <w:ind w:firstLine="0" w:firstLineChars="0"/>
              <w:jc w:val="center"/>
              <w:rPr>
                <w:rFonts w:cs="Times New Roman"/>
                <w:color w:val="auto"/>
                <w:sz w:val="21"/>
                <w:szCs w:val="21"/>
              </w:rPr>
            </w:pPr>
          </w:p>
        </w:tc>
      </w:tr>
      <w:tr w14:paraId="17DB2E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B43A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4DB5A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38E242E">
            <w:pPr>
              <w:spacing w:line="240" w:lineRule="auto"/>
              <w:ind w:firstLine="0" w:firstLineChars="0"/>
              <w:jc w:val="center"/>
              <w:rPr>
                <w:rFonts w:cs="Times New Roman"/>
                <w:color w:val="auto"/>
                <w:sz w:val="21"/>
                <w:szCs w:val="21"/>
              </w:rPr>
            </w:pPr>
          </w:p>
        </w:tc>
        <w:tc>
          <w:tcPr>
            <w:tcW w:w="1443" w:type="dxa"/>
            <w:vAlign w:val="center"/>
          </w:tcPr>
          <w:p w14:paraId="1F0EB781">
            <w:pPr>
              <w:spacing w:line="240" w:lineRule="auto"/>
              <w:ind w:firstLine="0" w:firstLineChars="0"/>
              <w:jc w:val="center"/>
              <w:rPr>
                <w:rFonts w:cs="Times New Roman"/>
                <w:color w:val="auto"/>
                <w:sz w:val="21"/>
                <w:szCs w:val="21"/>
              </w:rPr>
            </w:pPr>
          </w:p>
        </w:tc>
        <w:tc>
          <w:tcPr>
            <w:tcW w:w="1189" w:type="dxa"/>
            <w:vAlign w:val="center"/>
          </w:tcPr>
          <w:p w14:paraId="12A28B96">
            <w:pPr>
              <w:spacing w:line="240" w:lineRule="auto"/>
              <w:ind w:firstLine="0" w:firstLineChars="0"/>
              <w:jc w:val="center"/>
              <w:rPr>
                <w:rFonts w:cs="Times New Roman"/>
                <w:color w:val="auto"/>
                <w:sz w:val="21"/>
                <w:szCs w:val="21"/>
              </w:rPr>
            </w:pPr>
          </w:p>
        </w:tc>
      </w:tr>
      <w:tr w14:paraId="65A9CF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4E80CD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3E4A52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5E6CC98">
            <w:pPr>
              <w:spacing w:line="240" w:lineRule="auto"/>
              <w:ind w:firstLine="0" w:firstLineChars="0"/>
              <w:jc w:val="center"/>
              <w:rPr>
                <w:rFonts w:cs="Times New Roman"/>
                <w:color w:val="auto"/>
                <w:sz w:val="21"/>
                <w:szCs w:val="21"/>
              </w:rPr>
            </w:pPr>
          </w:p>
        </w:tc>
        <w:tc>
          <w:tcPr>
            <w:tcW w:w="1443" w:type="dxa"/>
            <w:vAlign w:val="center"/>
          </w:tcPr>
          <w:p w14:paraId="2243A276">
            <w:pPr>
              <w:spacing w:line="240" w:lineRule="auto"/>
              <w:ind w:firstLine="0" w:firstLineChars="0"/>
              <w:jc w:val="center"/>
              <w:rPr>
                <w:rFonts w:cs="Times New Roman"/>
                <w:color w:val="auto"/>
                <w:sz w:val="21"/>
                <w:szCs w:val="21"/>
              </w:rPr>
            </w:pPr>
          </w:p>
        </w:tc>
        <w:tc>
          <w:tcPr>
            <w:tcW w:w="1189" w:type="dxa"/>
            <w:vAlign w:val="center"/>
          </w:tcPr>
          <w:p w14:paraId="17BC4809">
            <w:pPr>
              <w:spacing w:line="240" w:lineRule="auto"/>
              <w:ind w:firstLine="0" w:firstLineChars="0"/>
              <w:jc w:val="center"/>
              <w:rPr>
                <w:rFonts w:cs="Times New Roman"/>
                <w:color w:val="auto"/>
                <w:sz w:val="21"/>
                <w:szCs w:val="21"/>
              </w:rPr>
            </w:pPr>
          </w:p>
        </w:tc>
      </w:tr>
      <w:tr w14:paraId="0B92A2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3E992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13A972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978F8EA">
            <w:pPr>
              <w:spacing w:line="240" w:lineRule="auto"/>
              <w:ind w:firstLine="0" w:firstLineChars="0"/>
              <w:jc w:val="center"/>
              <w:rPr>
                <w:rFonts w:cs="Times New Roman"/>
                <w:color w:val="auto"/>
                <w:sz w:val="21"/>
                <w:szCs w:val="21"/>
              </w:rPr>
            </w:pPr>
          </w:p>
        </w:tc>
        <w:tc>
          <w:tcPr>
            <w:tcW w:w="1443" w:type="dxa"/>
            <w:vAlign w:val="center"/>
          </w:tcPr>
          <w:p w14:paraId="20F1FA62">
            <w:pPr>
              <w:spacing w:line="240" w:lineRule="auto"/>
              <w:ind w:firstLine="0" w:firstLineChars="0"/>
              <w:jc w:val="center"/>
              <w:rPr>
                <w:rFonts w:cs="Times New Roman"/>
                <w:color w:val="auto"/>
                <w:sz w:val="21"/>
                <w:szCs w:val="21"/>
              </w:rPr>
            </w:pPr>
          </w:p>
        </w:tc>
        <w:tc>
          <w:tcPr>
            <w:tcW w:w="1189" w:type="dxa"/>
            <w:vAlign w:val="center"/>
          </w:tcPr>
          <w:p w14:paraId="7E1F3F1D">
            <w:pPr>
              <w:spacing w:line="240" w:lineRule="auto"/>
              <w:ind w:firstLine="0" w:firstLineChars="0"/>
              <w:jc w:val="center"/>
              <w:rPr>
                <w:rFonts w:cs="Times New Roman"/>
                <w:color w:val="auto"/>
                <w:sz w:val="21"/>
                <w:szCs w:val="21"/>
              </w:rPr>
            </w:pPr>
          </w:p>
        </w:tc>
      </w:tr>
      <w:tr w14:paraId="143871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137ECB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025B9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7523DE0">
            <w:pPr>
              <w:spacing w:line="240" w:lineRule="auto"/>
              <w:ind w:firstLine="0" w:firstLineChars="0"/>
              <w:jc w:val="center"/>
              <w:rPr>
                <w:rFonts w:cs="Times New Roman"/>
                <w:color w:val="auto"/>
                <w:sz w:val="21"/>
                <w:szCs w:val="21"/>
              </w:rPr>
            </w:pPr>
          </w:p>
        </w:tc>
        <w:tc>
          <w:tcPr>
            <w:tcW w:w="1443" w:type="dxa"/>
            <w:vAlign w:val="center"/>
          </w:tcPr>
          <w:p w14:paraId="291CBCAD">
            <w:pPr>
              <w:spacing w:line="240" w:lineRule="auto"/>
              <w:ind w:firstLine="0" w:firstLineChars="0"/>
              <w:jc w:val="center"/>
              <w:rPr>
                <w:rFonts w:cs="Times New Roman"/>
                <w:color w:val="auto"/>
                <w:sz w:val="21"/>
                <w:szCs w:val="21"/>
              </w:rPr>
            </w:pPr>
          </w:p>
        </w:tc>
        <w:tc>
          <w:tcPr>
            <w:tcW w:w="1189" w:type="dxa"/>
            <w:vAlign w:val="center"/>
          </w:tcPr>
          <w:p w14:paraId="4E7F0DE4">
            <w:pPr>
              <w:spacing w:line="240" w:lineRule="auto"/>
              <w:ind w:firstLine="0" w:firstLineChars="0"/>
              <w:jc w:val="center"/>
              <w:rPr>
                <w:rFonts w:cs="Times New Roman"/>
                <w:color w:val="auto"/>
                <w:sz w:val="21"/>
                <w:szCs w:val="21"/>
              </w:rPr>
            </w:pPr>
          </w:p>
        </w:tc>
      </w:tr>
      <w:tr w14:paraId="0BF246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4692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6140E7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5BF51366">
            <w:pPr>
              <w:spacing w:line="240" w:lineRule="auto"/>
              <w:ind w:firstLine="0" w:firstLineChars="0"/>
              <w:jc w:val="center"/>
              <w:rPr>
                <w:rFonts w:cs="Times New Roman"/>
                <w:color w:val="auto"/>
                <w:sz w:val="21"/>
                <w:szCs w:val="21"/>
              </w:rPr>
            </w:pPr>
          </w:p>
        </w:tc>
        <w:tc>
          <w:tcPr>
            <w:tcW w:w="1443" w:type="dxa"/>
            <w:vAlign w:val="center"/>
          </w:tcPr>
          <w:p w14:paraId="63F62007">
            <w:pPr>
              <w:spacing w:line="240" w:lineRule="auto"/>
              <w:ind w:firstLine="0" w:firstLineChars="0"/>
              <w:jc w:val="center"/>
              <w:rPr>
                <w:rFonts w:cs="Times New Roman"/>
                <w:color w:val="auto"/>
                <w:sz w:val="21"/>
                <w:szCs w:val="21"/>
              </w:rPr>
            </w:pPr>
          </w:p>
        </w:tc>
        <w:tc>
          <w:tcPr>
            <w:tcW w:w="1189" w:type="dxa"/>
            <w:vAlign w:val="center"/>
          </w:tcPr>
          <w:p w14:paraId="7437A3AD">
            <w:pPr>
              <w:spacing w:line="240" w:lineRule="auto"/>
              <w:ind w:firstLine="0" w:firstLineChars="0"/>
              <w:jc w:val="center"/>
              <w:rPr>
                <w:rFonts w:cs="Times New Roman"/>
                <w:color w:val="auto"/>
                <w:sz w:val="21"/>
                <w:szCs w:val="21"/>
              </w:rPr>
            </w:pPr>
          </w:p>
        </w:tc>
      </w:tr>
      <w:tr w14:paraId="606128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687D2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2402E8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4A7F709B">
            <w:pPr>
              <w:spacing w:line="240" w:lineRule="auto"/>
              <w:ind w:firstLine="0" w:firstLineChars="0"/>
              <w:jc w:val="center"/>
              <w:rPr>
                <w:rFonts w:cs="Times New Roman"/>
                <w:color w:val="auto"/>
                <w:sz w:val="21"/>
                <w:szCs w:val="21"/>
              </w:rPr>
            </w:pPr>
          </w:p>
        </w:tc>
        <w:tc>
          <w:tcPr>
            <w:tcW w:w="1443" w:type="dxa"/>
            <w:vAlign w:val="center"/>
          </w:tcPr>
          <w:p w14:paraId="160FC1FA">
            <w:pPr>
              <w:spacing w:line="240" w:lineRule="auto"/>
              <w:ind w:firstLine="0" w:firstLineChars="0"/>
              <w:jc w:val="center"/>
              <w:rPr>
                <w:rFonts w:cs="Times New Roman"/>
                <w:color w:val="auto"/>
                <w:sz w:val="21"/>
                <w:szCs w:val="21"/>
              </w:rPr>
            </w:pPr>
          </w:p>
        </w:tc>
        <w:tc>
          <w:tcPr>
            <w:tcW w:w="1189" w:type="dxa"/>
            <w:vAlign w:val="center"/>
          </w:tcPr>
          <w:p w14:paraId="75915B39">
            <w:pPr>
              <w:spacing w:line="240" w:lineRule="auto"/>
              <w:ind w:firstLine="0" w:firstLineChars="0"/>
              <w:jc w:val="center"/>
              <w:rPr>
                <w:rFonts w:cs="Times New Roman"/>
                <w:color w:val="auto"/>
                <w:sz w:val="21"/>
                <w:szCs w:val="21"/>
              </w:rPr>
            </w:pPr>
          </w:p>
        </w:tc>
      </w:tr>
      <w:tr w14:paraId="22ABB2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0A610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6D8E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B5FA832">
            <w:pPr>
              <w:spacing w:line="240" w:lineRule="auto"/>
              <w:ind w:firstLine="0" w:firstLineChars="0"/>
              <w:jc w:val="center"/>
              <w:rPr>
                <w:rFonts w:cs="Times New Roman"/>
                <w:color w:val="auto"/>
                <w:sz w:val="21"/>
                <w:szCs w:val="21"/>
              </w:rPr>
            </w:pPr>
          </w:p>
        </w:tc>
        <w:tc>
          <w:tcPr>
            <w:tcW w:w="1443" w:type="dxa"/>
            <w:vAlign w:val="center"/>
          </w:tcPr>
          <w:p w14:paraId="0FC44D46">
            <w:pPr>
              <w:spacing w:line="240" w:lineRule="auto"/>
              <w:ind w:firstLine="0" w:firstLineChars="0"/>
              <w:jc w:val="center"/>
              <w:rPr>
                <w:rFonts w:cs="Times New Roman"/>
                <w:color w:val="auto"/>
                <w:sz w:val="21"/>
                <w:szCs w:val="21"/>
              </w:rPr>
            </w:pPr>
          </w:p>
        </w:tc>
        <w:tc>
          <w:tcPr>
            <w:tcW w:w="1189" w:type="dxa"/>
            <w:vAlign w:val="center"/>
          </w:tcPr>
          <w:p w14:paraId="78D5385D">
            <w:pPr>
              <w:spacing w:line="240" w:lineRule="auto"/>
              <w:ind w:firstLine="0" w:firstLineChars="0"/>
              <w:jc w:val="center"/>
              <w:rPr>
                <w:rFonts w:cs="Times New Roman"/>
                <w:color w:val="auto"/>
                <w:sz w:val="21"/>
                <w:szCs w:val="21"/>
              </w:rPr>
            </w:pPr>
          </w:p>
        </w:tc>
      </w:tr>
      <w:tr w14:paraId="3A124F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2FFDF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3CA001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77A36F2">
            <w:pPr>
              <w:spacing w:line="240" w:lineRule="auto"/>
              <w:ind w:firstLine="0" w:firstLineChars="0"/>
              <w:jc w:val="center"/>
              <w:rPr>
                <w:rFonts w:cs="Times New Roman"/>
                <w:color w:val="auto"/>
                <w:sz w:val="21"/>
                <w:szCs w:val="21"/>
              </w:rPr>
            </w:pPr>
          </w:p>
        </w:tc>
        <w:tc>
          <w:tcPr>
            <w:tcW w:w="1443" w:type="dxa"/>
            <w:vAlign w:val="center"/>
          </w:tcPr>
          <w:p w14:paraId="269AC68B">
            <w:pPr>
              <w:spacing w:line="240" w:lineRule="auto"/>
              <w:ind w:firstLine="0" w:firstLineChars="0"/>
              <w:jc w:val="center"/>
              <w:rPr>
                <w:rFonts w:cs="Times New Roman"/>
                <w:color w:val="auto"/>
                <w:sz w:val="21"/>
                <w:szCs w:val="21"/>
              </w:rPr>
            </w:pPr>
          </w:p>
        </w:tc>
        <w:tc>
          <w:tcPr>
            <w:tcW w:w="1189" w:type="dxa"/>
            <w:vAlign w:val="center"/>
          </w:tcPr>
          <w:p w14:paraId="1ABF9A3D">
            <w:pPr>
              <w:spacing w:line="240" w:lineRule="auto"/>
              <w:ind w:firstLine="0" w:firstLineChars="0"/>
              <w:jc w:val="center"/>
              <w:rPr>
                <w:rFonts w:cs="Times New Roman"/>
                <w:color w:val="auto"/>
                <w:sz w:val="21"/>
                <w:szCs w:val="21"/>
              </w:rPr>
            </w:pPr>
          </w:p>
        </w:tc>
      </w:tr>
      <w:tr w14:paraId="625301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6B9188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93DA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390DA09B">
            <w:pPr>
              <w:spacing w:line="240" w:lineRule="auto"/>
              <w:ind w:firstLine="0" w:firstLineChars="0"/>
              <w:jc w:val="center"/>
              <w:rPr>
                <w:rFonts w:cs="Times New Roman"/>
                <w:color w:val="auto"/>
                <w:sz w:val="21"/>
                <w:szCs w:val="21"/>
              </w:rPr>
            </w:pPr>
          </w:p>
        </w:tc>
        <w:tc>
          <w:tcPr>
            <w:tcW w:w="1443" w:type="dxa"/>
            <w:vAlign w:val="center"/>
          </w:tcPr>
          <w:p w14:paraId="5AD73E56">
            <w:pPr>
              <w:spacing w:line="240" w:lineRule="auto"/>
              <w:ind w:firstLine="0" w:firstLineChars="0"/>
              <w:jc w:val="center"/>
              <w:rPr>
                <w:rFonts w:cs="Times New Roman"/>
                <w:color w:val="auto"/>
                <w:sz w:val="21"/>
                <w:szCs w:val="21"/>
              </w:rPr>
            </w:pPr>
          </w:p>
        </w:tc>
        <w:tc>
          <w:tcPr>
            <w:tcW w:w="1189" w:type="dxa"/>
            <w:vAlign w:val="center"/>
          </w:tcPr>
          <w:p w14:paraId="0E7F55E4">
            <w:pPr>
              <w:spacing w:line="240" w:lineRule="auto"/>
              <w:ind w:firstLine="0" w:firstLineChars="0"/>
              <w:jc w:val="center"/>
              <w:rPr>
                <w:rFonts w:cs="Times New Roman"/>
                <w:color w:val="auto"/>
                <w:sz w:val="21"/>
                <w:szCs w:val="21"/>
              </w:rPr>
            </w:pPr>
          </w:p>
        </w:tc>
      </w:tr>
      <w:tr w14:paraId="7251E5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25803F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3FE8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0E8DCF4">
            <w:pPr>
              <w:spacing w:line="240" w:lineRule="auto"/>
              <w:ind w:firstLine="0" w:firstLineChars="0"/>
              <w:jc w:val="center"/>
              <w:rPr>
                <w:rFonts w:cs="Times New Roman"/>
                <w:color w:val="auto"/>
                <w:sz w:val="21"/>
                <w:szCs w:val="21"/>
              </w:rPr>
            </w:pPr>
          </w:p>
        </w:tc>
        <w:tc>
          <w:tcPr>
            <w:tcW w:w="1443" w:type="dxa"/>
            <w:vAlign w:val="center"/>
          </w:tcPr>
          <w:p w14:paraId="30717966">
            <w:pPr>
              <w:spacing w:line="240" w:lineRule="auto"/>
              <w:ind w:firstLine="0" w:firstLineChars="0"/>
              <w:jc w:val="center"/>
              <w:rPr>
                <w:rFonts w:cs="Times New Roman"/>
                <w:color w:val="auto"/>
                <w:sz w:val="21"/>
                <w:szCs w:val="21"/>
              </w:rPr>
            </w:pPr>
          </w:p>
        </w:tc>
        <w:tc>
          <w:tcPr>
            <w:tcW w:w="1189" w:type="dxa"/>
            <w:vAlign w:val="center"/>
          </w:tcPr>
          <w:p w14:paraId="0C4B022B">
            <w:pPr>
              <w:spacing w:line="240" w:lineRule="auto"/>
              <w:ind w:firstLine="0" w:firstLineChars="0"/>
              <w:jc w:val="center"/>
              <w:rPr>
                <w:rFonts w:cs="Times New Roman"/>
                <w:color w:val="auto"/>
                <w:sz w:val="21"/>
                <w:szCs w:val="21"/>
              </w:rPr>
            </w:pPr>
          </w:p>
        </w:tc>
      </w:tr>
      <w:tr w14:paraId="67865F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4AEFF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731BC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03E648C">
            <w:pPr>
              <w:spacing w:line="240" w:lineRule="auto"/>
              <w:ind w:firstLine="0" w:firstLineChars="0"/>
              <w:jc w:val="center"/>
              <w:rPr>
                <w:rFonts w:cs="Times New Roman"/>
                <w:color w:val="auto"/>
                <w:sz w:val="21"/>
                <w:szCs w:val="21"/>
              </w:rPr>
            </w:pPr>
          </w:p>
        </w:tc>
        <w:tc>
          <w:tcPr>
            <w:tcW w:w="1443" w:type="dxa"/>
            <w:vAlign w:val="center"/>
          </w:tcPr>
          <w:p w14:paraId="24A44759">
            <w:pPr>
              <w:spacing w:line="240" w:lineRule="auto"/>
              <w:ind w:firstLine="0" w:firstLineChars="0"/>
              <w:jc w:val="center"/>
              <w:rPr>
                <w:rFonts w:cs="Times New Roman"/>
                <w:color w:val="auto"/>
                <w:sz w:val="21"/>
                <w:szCs w:val="21"/>
              </w:rPr>
            </w:pPr>
          </w:p>
        </w:tc>
        <w:tc>
          <w:tcPr>
            <w:tcW w:w="1189" w:type="dxa"/>
            <w:vAlign w:val="center"/>
          </w:tcPr>
          <w:p w14:paraId="4D51D7CE">
            <w:pPr>
              <w:spacing w:line="240" w:lineRule="auto"/>
              <w:ind w:firstLine="0" w:firstLineChars="0"/>
              <w:jc w:val="center"/>
              <w:rPr>
                <w:rFonts w:cs="Times New Roman"/>
                <w:color w:val="auto"/>
                <w:sz w:val="21"/>
                <w:szCs w:val="21"/>
              </w:rPr>
            </w:pPr>
          </w:p>
        </w:tc>
      </w:tr>
      <w:tr w14:paraId="0B34D1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trPr>
        <w:tc>
          <w:tcPr>
            <w:tcW w:w="1841" w:type="pct"/>
            <w:vAlign w:val="center"/>
          </w:tcPr>
          <w:p w14:paraId="290CDE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6DCED6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1BC07ED5">
            <w:pPr>
              <w:spacing w:line="240" w:lineRule="auto"/>
              <w:ind w:firstLine="0" w:firstLineChars="0"/>
              <w:jc w:val="center"/>
              <w:rPr>
                <w:rFonts w:cs="Times New Roman"/>
                <w:color w:val="auto"/>
                <w:sz w:val="21"/>
                <w:szCs w:val="21"/>
              </w:rPr>
            </w:pPr>
          </w:p>
        </w:tc>
        <w:tc>
          <w:tcPr>
            <w:tcW w:w="1443" w:type="dxa"/>
            <w:vAlign w:val="center"/>
          </w:tcPr>
          <w:p w14:paraId="42CE6F92">
            <w:pPr>
              <w:spacing w:line="240" w:lineRule="auto"/>
              <w:ind w:firstLine="0" w:firstLineChars="0"/>
              <w:jc w:val="center"/>
              <w:rPr>
                <w:rFonts w:cs="Times New Roman"/>
                <w:color w:val="auto"/>
                <w:sz w:val="21"/>
                <w:szCs w:val="21"/>
              </w:rPr>
            </w:pPr>
          </w:p>
        </w:tc>
        <w:tc>
          <w:tcPr>
            <w:tcW w:w="1189" w:type="dxa"/>
            <w:vAlign w:val="center"/>
          </w:tcPr>
          <w:p w14:paraId="049B04BE">
            <w:pPr>
              <w:spacing w:line="240" w:lineRule="auto"/>
              <w:ind w:firstLine="0" w:firstLineChars="0"/>
              <w:jc w:val="center"/>
              <w:rPr>
                <w:rFonts w:cs="Times New Roman"/>
                <w:color w:val="auto"/>
                <w:sz w:val="21"/>
                <w:szCs w:val="21"/>
              </w:rPr>
            </w:pPr>
          </w:p>
        </w:tc>
      </w:tr>
    </w:tbl>
    <w:p w14:paraId="1DEB5781">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pPr>
    </w:p>
    <w:p w14:paraId="1272C9C7">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sectPr>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1214E7D8">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表4.2-1</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 xml:space="preserve">  地下水监测结果一览表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32"/>
        <w:gridCol w:w="1550"/>
        <w:gridCol w:w="1137"/>
        <w:gridCol w:w="984"/>
        <w:gridCol w:w="990"/>
        <w:gridCol w:w="957"/>
        <w:gridCol w:w="1001"/>
        <w:gridCol w:w="932"/>
        <w:gridCol w:w="962"/>
        <w:gridCol w:w="919"/>
        <w:gridCol w:w="919"/>
        <w:gridCol w:w="891"/>
        <w:gridCol w:w="839"/>
        <w:gridCol w:w="446"/>
      </w:tblGrid>
      <w:tr w14:paraId="1F134D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30" w:hRule="atLeast"/>
          <w:tblHeader/>
          <w:jc w:val="center"/>
        </w:trPr>
        <w:tc>
          <w:tcPr>
            <w:tcW w:w="414" w:type="pct"/>
            <w:vMerge w:val="restart"/>
            <w:vAlign w:val="center"/>
          </w:tcPr>
          <w:p w14:paraId="040015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567" w:type="pct"/>
            <w:vMerge w:val="restart"/>
            <w:vAlign w:val="center"/>
          </w:tcPr>
          <w:p w14:paraId="39E56C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416" w:type="pct"/>
            <w:vMerge w:val="restart"/>
            <w:vAlign w:val="center"/>
          </w:tcPr>
          <w:p w14:paraId="66F28D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p>
        </w:tc>
        <w:tc>
          <w:tcPr>
            <w:tcW w:w="722" w:type="pct"/>
            <w:gridSpan w:val="2"/>
            <w:vAlign w:val="center"/>
          </w:tcPr>
          <w:p w14:paraId="0335C1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716" w:type="pct"/>
            <w:gridSpan w:val="2"/>
            <w:vAlign w:val="center"/>
          </w:tcPr>
          <w:p w14:paraId="02644C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693" w:type="pct"/>
            <w:gridSpan w:val="2"/>
            <w:vAlign w:val="center"/>
          </w:tcPr>
          <w:p w14:paraId="69DA9F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672" w:type="pct"/>
            <w:gridSpan w:val="2"/>
            <w:vAlign w:val="center"/>
          </w:tcPr>
          <w:p w14:paraId="3D79992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633" w:type="pct"/>
            <w:gridSpan w:val="2"/>
            <w:vAlign w:val="center"/>
          </w:tcPr>
          <w:p w14:paraId="16CE75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163" w:type="pct"/>
            <w:vMerge w:val="restart"/>
            <w:vAlign w:val="center"/>
          </w:tcPr>
          <w:p w14:paraId="6B292E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p>
        </w:tc>
      </w:tr>
      <w:tr w14:paraId="1CD2BC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30" w:hRule="atLeast"/>
          <w:tblHeader/>
          <w:jc w:val="center"/>
        </w:trPr>
        <w:tc>
          <w:tcPr>
            <w:tcW w:w="414" w:type="pct"/>
            <w:vMerge w:val="continue"/>
            <w:vAlign w:val="center"/>
          </w:tcPr>
          <w:p w14:paraId="267EA8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567" w:type="pct"/>
            <w:vMerge w:val="continue"/>
            <w:vAlign w:val="center"/>
          </w:tcPr>
          <w:p w14:paraId="09E159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16" w:type="pct"/>
            <w:vMerge w:val="continue"/>
            <w:vAlign w:val="center"/>
          </w:tcPr>
          <w:p w14:paraId="525129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60" w:type="pct"/>
            <w:vAlign w:val="center"/>
          </w:tcPr>
          <w:p w14:paraId="44F28E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61" w:type="pct"/>
            <w:vAlign w:val="center"/>
          </w:tcPr>
          <w:p w14:paraId="6C88F3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50" w:type="pct"/>
            <w:vAlign w:val="center"/>
          </w:tcPr>
          <w:p w14:paraId="05B0AE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66" w:type="pct"/>
            <w:vAlign w:val="center"/>
          </w:tcPr>
          <w:p w14:paraId="2DDC29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41" w:type="pct"/>
            <w:vAlign w:val="center"/>
          </w:tcPr>
          <w:p w14:paraId="19FBFF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52" w:type="pct"/>
            <w:vAlign w:val="center"/>
          </w:tcPr>
          <w:p w14:paraId="509F82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36" w:type="pct"/>
            <w:vAlign w:val="center"/>
          </w:tcPr>
          <w:p w14:paraId="5018C2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36" w:type="pct"/>
            <w:vAlign w:val="center"/>
          </w:tcPr>
          <w:p w14:paraId="167C52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26" w:type="pct"/>
            <w:vAlign w:val="center"/>
          </w:tcPr>
          <w:p w14:paraId="551BBC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07" w:type="pct"/>
            <w:vAlign w:val="center"/>
          </w:tcPr>
          <w:p w14:paraId="798608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163" w:type="pct"/>
            <w:vMerge w:val="continue"/>
            <w:vAlign w:val="center"/>
          </w:tcPr>
          <w:p w14:paraId="1DE3F1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r>
      <w:tr w14:paraId="55F455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657F5F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C021F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E3F74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7B89A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EE06D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469962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E0FE0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1DEC1A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1F787F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E206C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33804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326" w:type="pct"/>
            <w:vAlign w:val="center"/>
          </w:tcPr>
          <w:p w14:paraId="6D8903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07" w:type="pct"/>
            <w:vAlign w:val="center"/>
          </w:tcPr>
          <w:p w14:paraId="74E24A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391705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val="0"/>
                <w:bCs w:val="0"/>
                <w:color w:val="auto"/>
                <w:kern w:val="0"/>
                <w:sz w:val="21"/>
                <w:szCs w:val="21"/>
                <w:highlight w:val="none"/>
                <w:lang w:val="en-US" w:eastAsia="zh-CN"/>
              </w:rPr>
            </w:pPr>
          </w:p>
        </w:tc>
      </w:tr>
      <w:tr w14:paraId="09A251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54516B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7CF181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9E4EB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6B89B6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1C477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4BE9D2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69006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7DE5A3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5D54E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42684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76FA8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056D57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38DDD6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33B11F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77D35D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01011C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B1C17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178688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FECDF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C46AA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4E2CA4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C9490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240AA7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18AEFB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6B4543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E1A47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1E373B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376ED4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01EE6C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3938A7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229233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ABEE3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1659D2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342F6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F8036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6B501D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CF1FA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736729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1E891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336" w:type="pct"/>
            <w:vAlign w:val="center"/>
          </w:tcPr>
          <w:p w14:paraId="530EF2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36" w:type="pct"/>
            <w:vAlign w:val="center"/>
          </w:tcPr>
          <w:p w14:paraId="0C71A0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326" w:type="pct"/>
            <w:vAlign w:val="center"/>
          </w:tcPr>
          <w:p w14:paraId="44BF0B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07" w:type="pct"/>
            <w:vAlign w:val="center"/>
          </w:tcPr>
          <w:p w14:paraId="327C3D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06F3EC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7D6CAE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278D8C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066FC8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514D7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70821B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4A7545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4242E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34486C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2EC296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4E3E56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75D1C0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7AF3CE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5A67DB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502451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250F83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0152C8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6FCE20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C1676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8D738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1D333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4619DC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0CCC4E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66" w:type="pct"/>
            <w:vAlign w:val="center"/>
          </w:tcPr>
          <w:p w14:paraId="7C8B61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1A13C9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D8E64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EBE52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0082F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1C56A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0784BA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21E835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7C7413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2AC244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587458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FE697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CC0C9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06F494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040DE3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1D129A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618E95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78A665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059FA0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714CBA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3FF052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54D009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3BD50A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07555E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13A8B0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72F05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FA423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A5E8B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29BFB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03F528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B02FB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020EDB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F3970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4500BE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AC2F2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3D29E9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79E42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204305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51DBD3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4D5D1E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C7431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A87D4E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648F2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28868D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0C7F8C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78502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652F34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1FBC39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3F50D3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7545E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3F0564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B23B3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479F6E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4E44D0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97" w:hRule="atLeast"/>
          <w:jc w:val="center"/>
        </w:trPr>
        <w:tc>
          <w:tcPr>
            <w:tcW w:w="414" w:type="pct"/>
            <w:vAlign w:val="center"/>
          </w:tcPr>
          <w:p w14:paraId="1A1E13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48CB2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738AB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84297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23542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37419E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D4196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76585E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9A22E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07F2C7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411D4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14A931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A9F88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56FC20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355FB0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38" w:hRule="atLeast"/>
          <w:jc w:val="center"/>
        </w:trPr>
        <w:tc>
          <w:tcPr>
            <w:tcW w:w="414" w:type="pct"/>
            <w:vAlign w:val="center"/>
          </w:tcPr>
          <w:p w14:paraId="39CE23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F60C1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13C58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7FD7B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7F8F1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95F15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2FF19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47A67B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7BEE21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13A1C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131E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154BE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E1757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64A9B2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0EE078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257AD6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0855FC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567E9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6CC80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B6C9C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4BFBE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4B2874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23510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426BF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36" w:type="pct"/>
            <w:vAlign w:val="center"/>
          </w:tcPr>
          <w:p w14:paraId="6A3D08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36" w:type="pct"/>
            <w:vAlign w:val="center"/>
          </w:tcPr>
          <w:p w14:paraId="5CCE33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26" w:type="pct"/>
            <w:vAlign w:val="center"/>
          </w:tcPr>
          <w:p w14:paraId="6919C3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07" w:type="pct"/>
            <w:vAlign w:val="center"/>
          </w:tcPr>
          <w:p w14:paraId="398912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4A5B46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1276E7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4" w:hRule="atLeast"/>
          <w:jc w:val="center"/>
        </w:trPr>
        <w:tc>
          <w:tcPr>
            <w:tcW w:w="414" w:type="pct"/>
            <w:vAlign w:val="center"/>
          </w:tcPr>
          <w:p w14:paraId="31C89B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43F55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330B6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CA503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A8068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0D0374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5BA0C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5628B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3AA34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0ABA5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36" w:type="pct"/>
            <w:vAlign w:val="center"/>
          </w:tcPr>
          <w:p w14:paraId="12D0F1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47F366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07" w:type="pct"/>
            <w:vAlign w:val="center"/>
          </w:tcPr>
          <w:p w14:paraId="7FE808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01339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DFFF9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718A04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49D64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4181A5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DD773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EBB15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67520F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4A444F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86340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6BC8E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DC505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97250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1D6F45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3B11DC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64D70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C2412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6C57AC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CFFD2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0E0A3F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43C2A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46987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62003F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66" w:type="pct"/>
            <w:vAlign w:val="center"/>
          </w:tcPr>
          <w:p w14:paraId="370904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40A73A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3F4A5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F1787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36" w:type="pct"/>
            <w:vAlign w:val="center"/>
          </w:tcPr>
          <w:p w14:paraId="54DC8B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34106D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07" w:type="pct"/>
            <w:vAlign w:val="center"/>
          </w:tcPr>
          <w:p w14:paraId="64D55F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17A914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13E36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341B8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1A94F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83CCF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5B35E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0950C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0228D1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66" w:type="pct"/>
            <w:vAlign w:val="center"/>
          </w:tcPr>
          <w:p w14:paraId="2989FA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3EC22D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382EE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236E8F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36" w:type="pct"/>
            <w:vAlign w:val="center"/>
          </w:tcPr>
          <w:p w14:paraId="60BCAA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5E8E20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07" w:type="pct"/>
            <w:vAlign w:val="center"/>
          </w:tcPr>
          <w:p w14:paraId="11655E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302381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232791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7A99A8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5E282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182792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9873F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2090D5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721FFB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167A23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4FDFE7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656F6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3B157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81B3F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59FB8A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FF88B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1DCB4E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30900A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040D47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0CA457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9B8A6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2E1DF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A33C0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7B64A5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3C4590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7F2063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DADF1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708543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F1D83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336C8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2DB01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7DE389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CFDD1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4BD7B0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02654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ABFE5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6A045C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3724F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629A9A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3A2AA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130B32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14927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6E2EB3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7B833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74B23A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464535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545BFC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50E245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77C41D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346AE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0913B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CCAE9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8D0D7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5B7C34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07AF29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7C554D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044E3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53161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D8136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3A2849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D5D95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68CE52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86FAA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065C5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FA846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BBF4F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069F6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A61FE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6EDE88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45D146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1EB0C1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70FEBE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573408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A173A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0F3D9E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0C88B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2909D6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21A98E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36057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517CF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EEADF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EDB6D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7F5938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6E4054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0B48E1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222116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5DF16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ED4F9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23636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D1185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04D1E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5BA749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4E73BC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541B73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5AAEAD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362E0E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27B142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0B5B17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76E402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50353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186AC7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26189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6265F4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E31E9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04B559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30CA2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6D6D82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68AE3F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85512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075123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4930EC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308CD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F6CEA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4C5BF4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4FCBB6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BDE56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D8AF9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6C3B98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605B17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5601EB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0F92AA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D126F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1D2421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43" w:hRule="atLeast"/>
          <w:jc w:val="center"/>
        </w:trPr>
        <w:tc>
          <w:tcPr>
            <w:tcW w:w="414" w:type="pct"/>
            <w:vAlign w:val="center"/>
          </w:tcPr>
          <w:p w14:paraId="781035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E1CF6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0DE631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4DF05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6983D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5E6A63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D85E8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7C5947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39F8F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5FD4D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35E0C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2382D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30965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756D11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7C6F8A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4EEA23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7FA0D1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46FE3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20781B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22756B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50" w:type="pct"/>
            <w:vAlign w:val="center"/>
          </w:tcPr>
          <w:p w14:paraId="74C1D4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05E603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41" w:type="pct"/>
            <w:vAlign w:val="center"/>
          </w:tcPr>
          <w:p w14:paraId="770BE1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1F0EB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36" w:type="pct"/>
            <w:vAlign w:val="center"/>
          </w:tcPr>
          <w:p w14:paraId="7B3C79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8ABB2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44BF3F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5217C3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47033F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73D684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730B2F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F77B3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12B014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8FEE4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A621E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15C009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57B8E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04FBC8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48BCC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12860D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6A2186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3E1137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2DB28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435CF9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73F2CE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4F40A7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3A9F2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6507A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B859B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90B69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1663C6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3A7377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41" w:type="pct"/>
            <w:vAlign w:val="center"/>
          </w:tcPr>
          <w:p w14:paraId="1344EF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AB563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36" w:type="pct"/>
            <w:vAlign w:val="center"/>
          </w:tcPr>
          <w:p w14:paraId="5C17BB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C40B4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14C5ED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E4E5F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02EF35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30F3A4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358BD3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50798C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0E6962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68D3E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4E9E24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50" w:type="pct"/>
            <w:vAlign w:val="center"/>
          </w:tcPr>
          <w:p w14:paraId="18399A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9B8FC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41" w:type="pct"/>
            <w:vAlign w:val="center"/>
          </w:tcPr>
          <w:p w14:paraId="37E14F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4BD038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36" w:type="pct"/>
            <w:vAlign w:val="center"/>
          </w:tcPr>
          <w:p w14:paraId="41C13A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836E8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2C63A6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07" w:type="pct"/>
            <w:vAlign w:val="center"/>
          </w:tcPr>
          <w:p w14:paraId="15A1A3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5E2BA6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lang w:val="en-US"/>
              </w:rPr>
            </w:pPr>
          </w:p>
        </w:tc>
      </w:tr>
      <w:tr w14:paraId="08872E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062854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473D2E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D1252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679AD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79D3AF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23D892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04279B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BEC27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1CC123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E1FAB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8748C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430963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4055D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0913E0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ED005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D1E41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1679E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E3847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9B398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8AA06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7F2F4A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B7CA4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7A2CE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7AEA89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9CE9B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30D96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F14BD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616F3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571467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017DD5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6DC06D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0A592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46A89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6D4E9B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4363C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50" w:type="pct"/>
            <w:vAlign w:val="center"/>
          </w:tcPr>
          <w:p w14:paraId="1C0EE6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31977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41" w:type="pct"/>
            <w:vAlign w:val="center"/>
          </w:tcPr>
          <w:p w14:paraId="4582D6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1604C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36" w:type="pct"/>
            <w:vAlign w:val="center"/>
          </w:tcPr>
          <w:p w14:paraId="3A1009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FAD48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54B8B6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94FB5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2A5082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356831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79D61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F5A43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9E1D9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4C55D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40F107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FDFFB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2E91B4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5BECBF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89C70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E8FF4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AC4AA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26BB09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4CEA79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65263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33CB15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080667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8FC64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4745E7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2E583B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CD83A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6FBAA7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232F12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39D36A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CFCCD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31381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D994A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41322D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1C88E9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7EADFF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7CF8EC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2B0FD4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32272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55428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1A8D9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2913C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911A9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0AF86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571EDE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33F34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84659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F36B2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29B899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09F1DB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2A0BC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178827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jc w:val="center"/>
        </w:trPr>
        <w:tc>
          <w:tcPr>
            <w:tcW w:w="414" w:type="pct"/>
            <w:vAlign w:val="center"/>
          </w:tcPr>
          <w:p w14:paraId="5E720F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4D2894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B3570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61BBFB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6358A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24101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1D260F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6B0BA1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2E7EED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6AF79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2D58E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249383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45790F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10C67F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bl>
    <w:p w14:paraId="0F07A92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pgSz w:w="16838" w:h="11906" w:orient="landscape"/>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26" w:charSpace="0"/>
        </w:sectPr>
      </w:pPr>
    </w:p>
    <w:p w14:paraId="24872CF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由表4.2-1</w:t>
      </w:r>
      <w:r>
        <w:rPr>
          <w:rFonts w:hint="eastAsia" w:cs="Times New Roman"/>
          <w:color w:val="auto"/>
          <w:highlight w:val="none"/>
          <w:lang w:val="en-US" w:eastAsia="zh-CN"/>
        </w:rPr>
        <w:t>3~14</w:t>
      </w:r>
      <w:r>
        <w:rPr>
          <w:rFonts w:hint="default" w:ascii="Times New Roman" w:hAnsi="Times New Roman" w:cs="Times New Roman"/>
          <w:color w:val="auto"/>
          <w:highlight w:val="none"/>
        </w:rPr>
        <w:t>可知，监测点位的监测因子均满足《地下水质量标准》（GB/T14848-2017）中的Ⅲ类水质标准要求。</w:t>
      </w:r>
    </w:p>
    <w:p w14:paraId="592DC1F1">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4.2.5 生态环境质量现状调查</w:t>
      </w:r>
    </w:p>
    <w:p w14:paraId="453480D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1.</w:t>
      </w:r>
      <w:r>
        <w:rPr>
          <w:rFonts w:hint="default" w:ascii="Times New Roman" w:hAnsi="Times New Roman" w:cs="Times New Roman"/>
          <w:color w:val="auto"/>
          <w:highlight w:val="none"/>
        </w:rPr>
        <w:t>生态功能区划</w:t>
      </w:r>
    </w:p>
    <w:p w14:paraId="7AA8113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根据《新疆生态功能区划</w:t>
      </w:r>
      <w:r>
        <w:rPr>
          <w:rFonts w:hint="default" w:ascii="Times New Roman" w:hAnsi="Times New Roman" w:cs="Times New Roman"/>
          <w:color w:val="auto"/>
          <w:sz w:val="24"/>
          <w:szCs w:val="24"/>
          <w:highlight w:val="none"/>
        </w:rPr>
        <w:t>》，本次工程所在地区属Ⅲ天山</w:t>
      </w:r>
      <w:r>
        <w:rPr>
          <w:rFonts w:hint="eastAsia" w:ascii="Times New Roman" w:hAnsi="Times New Roman" w:cs="Times New Roman"/>
          <w:color w:val="auto"/>
          <w:sz w:val="24"/>
          <w:szCs w:val="24"/>
          <w:highlight w:val="none"/>
          <w:lang w:val="en-US" w:eastAsia="zh-CN"/>
        </w:rPr>
        <w:t>山</w:t>
      </w:r>
      <w:r>
        <w:rPr>
          <w:rFonts w:hint="default" w:ascii="Times New Roman" w:hAnsi="Times New Roman" w:cs="Times New Roman"/>
          <w:color w:val="auto"/>
          <w:sz w:val="24"/>
          <w:szCs w:val="24"/>
          <w:highlight w:val="none"/>
        </w:rPr>
        <w:t>地温性草原、森林生态区</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Ⅲ</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天山南坡吐鲁番</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哈密盆地戈壁荒漠、绿洲农业生态亚区</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51吐鲁番盆地绿洲外围防风固沙、油气开发生态功能区。该</w:t>
      </w:r>
      <w:r>
        <w:rPr>
          <w:rFonts w:hint="default" w:ascii="Times New Roman" w:hAnsi="Times New Roman" w:cs="Times New Roman"/>
          <w:color w:val="auto"/>
          <w:highlight w:val="none"/>
        </w:rPr>
        <w:t>生态功能区详细情况见表4.2-1</w:t>
      </w:r>
      <w:r>
        <w:rPr>
          <w:rFonts w:hint="eastAsia" w:cs="Times New Roman"/>
          <w:color w:val="auto"/>
          <w:highlight w:val="none"/>
          <w:lang w:val="en-US" w:eastAsia="zh-CN"/>
        </w:rPr>
        <w:t>5</w:t>
      </w:r>
      <w:r>
        <w:rPr>
          <w:rFonts w:hint="default" w:ascii="Times New Roman" w:hAnsi="Times New Roman" w:cs="Times New Roman"/>
          <w:color w:val="auto"/>
          <w:highlight w:val="none"/>
        </w:rPr>
        <w:t>。</w:t>
      </w:r>
    </w:p>
    <w:p w14:paraId="212D75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表4.2-1</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生态功能区划</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278"/>
        <w:gridCol w:w="1278"/>
        <w:gridCol w:w="1278"/>
        <w:gridCol w:w="1037"/>
        <w:gridCol w:w="241"/>
        <w:gridCol w:w="1279"/>
        <w:gridCol w:w="1279"/>
      </w:tblGrid>
      <w:tr w14:paraId="067CE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tcBorders>
              <w:tl2br w:val="nil"/>
              <w:tr2bl w:val="nil"/>
            </w:tcBorders>
            <w:vAlign w:val="center"/>
          </w:tcPr>
          <w:p w14:paraId="416061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生态功能区</w:t>
            </w:r>
          </w:p>
        </w:tc>
        <w:tc>
          <w:tcPr>
            <w:tcW w:w="1278" w:type="dxa"/>
            <w:tcBorders>
              <w:tl2br w:val="nil"/>
              <w:tr2bl w:val="nil"/>
            </w:tcBorders>
            <w:vAlign w:val="center"/>
          </w:tcPr>
          <w:p w14:paraId="6DFB82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主要生态服务功能</w:t>
            </w:r>
          </w:p>
        </w:tc>
        <w:tc>
          <w:tcPr>
            <w:tcW w:w="1278" w:type="dxa"/>
            <w:tcBorders>
              <w:tl2br w:val="nil"/>
              <w:tr2bl w:val="nil"/>
            </w:tcBorders>
            <w:vAlign w:val="center"/>
          </w:tcPr>
          <w:p w14:paraId="07923B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主要生态环境问题</w:t>
            </w:r>
          </w:p>
        </w:tc>
        <w:tc>
          <w:tcPr>
            <w:tcW w:w="1278" w:type="dxa"/>
            <w:tcBorders>
              <w:tl2br w:val="nil"/>
              <w:tr2bl w:val="nil"/>
            </w:tcBorders>
            <w:vAlign w:val="center"/>
          </w:tcPr>
          <w:p w14:paraId="2FFBD0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主要生态敏感因子、敏感程度</w:t>
            </w:r>
          </w:p>
        </w:tc>
        <w:tc>
          <w:tcPr>
            <w:tcW w:w="1278" w:type="dxa"/>
            <w:gridSpan w:val="2"/>
            <w:tcBorders>
              <w:tl2br w:val="nil"/>
              <w:tr2bl w:val="nil"/>
            </w:tcBorders>
            <w:vAlign w:val="center"/>
          </w:tcPr>
          <w:p w14:paraId="0A8CD4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主要保护</w:t>
            </w:r>
          </w:p>
          <w:p w14:paraId="6687F2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目标</w:t>
            </w:r>
          </w:p>
        </w:tc>
        <w:tc>
          <w:tcPr>
            <w:tcW w:w="1279" w:type="dxa"/>
            <w:tcBorders>
              <w:tl2br w:val="nil"/>
              <w:tr2bl w:val="nil"/>
            </w:tcBorders>
            <w:vAlign w:val="center"/>
          </w:tcPr>
          <w:p w14:paraId="721D97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主要保护</w:t>
            </w:r>
          </w:p>
          <w:p w14:paraId="65AFAC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措施</w:t>
            </w:r>
          </w:p>
        </w:tc>
        <w:tc>
          <w:tcPr>
            <w:tcW w:w="1279" w:type="dxa"/>
            <w:tcBorders>
              <w:tl2br w:val="nil"/>
              <w:tr2bl w:val="nil"/>
            </w:tcBorders>
            <w:vAlign w:val="center"/>
          </w:tcPr>
          <w:p w14:paraId="4163A1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适宜</w:t>
            </w:r>
            <w:r>
              <w:rPr>
                <w:rFonts w:hint="default" w:ascii="Times New Roman" w:hAnsi="Times New Roman" w:cs="Times New Roman"/>
                <w:b/>
                <w:bCs/>
                <w:color w:val="auto"/>
                <w:sz w:val="21"/>
                <w:szCs w:val="21"/>
                <w:highlight w:val="none"/>
              </w:rPr>
              <w:t>发展</w:t>
            </w:r>
          </w:p>
          <w:p w14:paraId="757DDF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方向</w:t>
            </w:r>
          </w:p>
        </w:tc>
      </w:tr>
      <w:tr w14:paraId="3CD78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tcBorders>
              <w:tl2br w:val="nil"/>
              <w:tr2bl w:val="nil"/>
            </w:tcBorders>
            <w:vAlign w:val="center"/>
          </w:tcPr>
          <w:p w14:paraId="26B092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吐鲁番盆地绿洲外围防风固沙、油气开发生态功能区</w:t>
            </w:r>
          </w:p>
        </w:tc>
        <w:tc>
          <w:tcPr>
            <w:tcW w:w="1278" w:type="dxa"/>
            <w:tcBorders>
              <w:tl2br w:val="nil"/>
              <w:tr2bl w:val="nil"/>
            </w:tcBorders>
            <w:vAlign w:val="center"/>
          </w:tcPr>
          <w:p w14:paraId="739065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油气资源、荒漠化控制</w:t>
            </w:r>
          </w:p>
        </w:tc>
        <w:tc>
          <w:tcPr>
            <w:tcW w:w="1278" w:type="dxa"/>
            <w:tcBorders>
              <w:tl2br w:val="nil"/>
              <w:tr2bl w:val="nil"/>
            </w:tcBorders>
            <w:vAlign w:val="center"/>
          </w:tcPr>
          <w:p w14:paraId="2CCBD8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油气污染、风沙危害、土壤风蚀</w:t>
            </w:r>
          </w:p>
        </w:tc>
        <w:tc>
          <w:tcPr>
            <w:tcW w:w="1278" w:type="dxa"/>
            <w:tcBorders>
              <w:tl2br w:val="nil"/>
              <w:tr2bl w:val="nil"/>
            </w:tcBorders>
            <w:vAlign w:val="center"/>
          </w:tcPr>
          <w:p w14:paraId="785DCC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土壤侵蚀极度敏感，土地沙漠化轻度敏感</w:t>
            </w:r>
          </w:p>
        </w:tc>
        <w:tc>
          <w:tcPr>
            <w:tcW w:w="1037" w:type="dxa"/>
            <w:tcBorders>
              <w:tl2br w:val="nil"/>
              <w:tr2bl w:val="nil"/>
            </w:tcBorders>
            <w:vAlign w:val="center"/>
          </w:tcPr>
          <w:p w14:paraId="10CCFD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保护地下水、保护荒漠植被和砾幕</w:t>
            </w:r>
          </w:p>
        </w:tc>
        <w:tc>
          <w:tcPr>
            <w:tcW w:w="1520" w:type="dxa"/>
            <w:gridSpan w:val="2"/>
            <w:tcBorders>
              <w:tl2br w:val="nil"/>
              <w:tr2bl w:val="nil"/>
            </w:tcBorders>
            <w:vAlign w:val="center"/>
          </w:tcPr>
          <w:p w14:paraId="68A2A6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规范油气勘探开采作业、废弃物无害化处理、铁路公路沿线采用机械和生物措施防风防洪、节约用水</w:t>
            </w:r>
          </w:p>
        </w:tc>
        <w:tc>
          <w:tcPr>
            <w:tcW w:w="1279" w:type="dxa"/>
            <w:tcBorders>
              <w:tl2br w:val="nil"/>
              <w:tr2bl w:val="nil"/>
            </w:tcBorders>
            <w:vAlign w:val="center"/>
          </w:tcPr>
          <w:p w14:paraId="169C54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在保护生态、控制污染的前提下，合理开发油气资源</w:t>
            </w:r>
          </w:p>
        </w:tc>
      </w:tr>
    </w:tbl>
    <w:p w14:paraId="3B8C760E">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eastAsia" w:cs="Times New Roman"/>
          <w:color w:val="auto"/>
          <w:kern w:val="0"/>
          <w:highlight w:val="none"/>
          <w:lang w:eastAsia="zh-CN" w:bidi="ar"/>
        </w:rPr>
        <w:t>2.</w:t>
      </w:r>
      <w:r>
        <w:rPr>
          <w:rFonts w:hint="default" w:ascii="Times New Roman" w:hAnsi="Times New Roman" w:cs="Times New Roman"/>
          <w:color w:val="auto"/>
          <w:kern w:val="0"/>
          <w:highlight w:val="none"/>
          <w:lang w:bidi="ar"/>
        </w:rPr>
        <w:t xml:space="preserve">土地利用现状 </w:t>
      </w:r>
    </w:p>
    <w:p w14:paraId="0A1AA8AD">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本</w:t>
      </w:r>
      <w:r>
        <w:rPr>
          <w:rFonts w:hint="default" w:ascii="Times New Roman" w:hAnsi="Times New Roman" w:cs="Times New Roman"/>
          <w:color w:val="auto"/>
          <w:highlight w:val="none"/>
        </w:rPr>
        <w:t>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内</w:t>
      </w:r>
      <w:r>
        <w:rPr>
          <w:rFonts w:hint="default" w:ascii="Times New Roman" w:hAnsi="Times New Roman" w:cs="Times New Roman"/>
          <w:color w:val="auto"/>
          <w:highlight w:val="none"/>
          <w:lang w:eastAsia="zh-CN"/>
        </w:rPr>
        <w:t>鄯善县厚旺铜矿有限责任公司</w:t>
      </w:r>
      <w:r>
        <w:rPr>
          <w:rFonts w:hint="default" w:ascii="Times New Roman" w:hAnsi="Times New Roman" w:cs="Times New Roman"/>
          <w:color w:val="auto"/>
          <w:highlight w:val="none"/>
        </w:rPr>
        <w:t>现有厂区内，根据</w:t>
      </w:r>
      <w:bookmarkStart w:id="166" w:name="OLE_LINK41"/>
      <w:r>
        <w:rPr>
          <w:rFonts w:hint="default" w:ascii="Times New Roman" w:hAnsi="Times New Roman" w:cs="Times New Roman"/>
          <w:color w:val="auto"/>
          <w:highlight w:val="none"/>
        </w:rPr>
        <w:t>《土地利用现状分类》（GB/T21010</w:t>
      </w:r>
      <w:bookmarkEnd w:id="166"/>
      <w:r>
        <w:rPr>
          <w:rFonts w:hint="default" w:ascii="Times New Roman" w:hAnsi="Times New Roman" w:cs="Times New Roman"/>
          <w:color w:val="auto"/>
          <w:highlight w:val="none"/>
        </w:rPr>
        <w:t>-2017）分类可知，项目区的土地利用现状为工业用地</w:t>
      </w:r>
      <w:r>
        <w:rPr>
          <w:rFonts w:hint="default" w:ascii="Times New Roman" w:hAnsi="Times New Roman" w:cs="Times New Roman"/>
          <w:color w:val="auto"/>
          <w:kern w:val="0"/>
          <w:highlight w:val="none"/>
          <w:lang w:bidi="ar"/>
        </w:rPr>
        <w:t>。</w:t>
      </w:r>
    </w:p>
    <w:p w14:paraId="715321D7">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eastAsia" w:cs="Times New Roman"/>
          <w:color w:val="auto"/>
          <w:kern w:val="0"/>
          <w:highlight w:val="none"/>
          <w:lang w:eastAsia="zh-CN" w:bidi="ar"/>
        </w:rPr>
        <w:t>3.</w:t>
      </w:r>
      <w:r>
        <w:rPr>
          <w:rFonts w:hint="default" w:ascii="Times New Roman" w:hAnsi="Times New Roman" w:cs="Times New Roman"/>
          <w:color w:val="auto"/>
          <w:kern w:val="0"/>
          <w:highlight w:val="none"/>
          <w:lang w:bidi="ar"/>
        </w:rPr>
        <w:t xml:space="preserve">植被类型 </w:t>
      </w:r>
    </w:p>
    <w:p w14:paraId="5606B9D1">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 xml:space="preserve">根据资料查询及现场调查，项目区所在区域受气候影响，十分干燥，地表水与地下水均极度缺乏，区内的荒漠植物群落以旱生和超旱生的灌木为主，群落的分层结构简单，多数群落属于单层结构，类短命植物和短命植物仅在春季形成季节性的层片。而评价区植物群落较为单一，表现为无植被的砾漠或有稀疏柽柳、骆驼刺、白刺等旱生荒漠植被为主的群落。由于常年人为扰动，植被生长十分稀疏、覆盖度低于 5%。 </w:t>
      </w:r>
    </w:p>
    <w:p w14:paraId="0C1DDBEC">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eastAsia" w:cs="Times New Roman"/>
          <w:color w:val="auto"/>
          <w:kern w:val="0"/>
          <w:highlight w:val="none"/>
          <w:lang w:eastAsia="zh-CN" w:bidi="ar"/>
        </w:rPr>
        <w:t>4.</w:t>
      </w:r>
      <w:r>
        <w:rPr>
          <w:rFonts w:hint="default" w:ascii="Times New Roman" w:hAnsi="Times New Roman" w:cs="Times New Roman"/>
          <w:color w:val="auto"/>
          <w:kern w:val="0"/>
          <w:highlight w:val="none"/>
          <w:lang w:bidi="ar"/>
        </w:rPr>
        <w:t xml:space="preserve">野生动物 </w:t>
      </w:r>
    </w:p>
    <w:p w14:paraId="0B5763CA">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 xml:space="preserve">根据中国动物地理区划，项目区属蒙新区，西部荒漠亚区，塔里木盆地和东疆小区。评价区属于极端干旱的大陆性气候控制下的严酷荒漠自然环境，致使工业园区所在区域所属动物区系组成贫乏、简单，野生动物组成较单一，区域内野生动物以荒漠区爬行类、啮齿类动物分布为主，常见的物种有荒漠麻蜥、田鼠、野兔、斑鸠、家燕、麻雀、蝙蝠等。 </w:t>
      </w:r>
    </w:p>
    <w:p w14:paraId="279B5593">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eastAsia" w:cs="Times New Roman"/>
          <w:color w:val="auto"/>
          <w:kern w:val="0"/>
          <w:highlight w:val="none"/>
          <w:lang w:eastAsia="zh-CN" w:bidi="ar"/>
        </w:rPr>
        <w:t>5.</w:t>
      </w:r>
      <w:r>
        <w:rPr>
          <w:rFonts w:hint="default" w:ascii="Times New Roman" w:hAnsi="Times New Roman" w:cs="Times New Roman"/>
          <w:color w:val="auto"/>
          <w:kern w:val="0"/>
          <w:highlight w:val="none"/>
          <w:lang w:bidi="ar"/>
        </w:rPr>
        <w:t xml:space="preserve">水土流失现状 </w:t>
      </w:r>
    </w:p>
    <w:p w14:paraId="17F7648E">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本项目位于吐鲁番市鄯善县，根据《新疆维吾尔自治区水土保持规划（2018-2023年）》3.3重点防治区划分要求可知，项目所在区吐鲁番市鄯善县既不属于国家级水土流失重点防治区，根据《关于印发新疆自治区级水土流失重点预防区和重点治理区复核划分成果的通知》也不属于自治区重点预防区、重点治理区；项目区水土流失主要以风力侵蚀为主，侵蚀强度为轻度。</w:t>
      </w:r>
    </w:p>
    <w:p w14:paraId="41A20A93">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eastAsia" w:cs="Times New Roman"/>
          <w:color w:val="auto"/>
          <w:kern w:val="0"/>
          <w:highlight w:val="none"/>
          <w:lang w:eastAsia="zh-CN" w:bidi="ar"/>
        </w:rPr>
        <w:t>6.</w:t>
      </w:r>
      <w:r>
        <w:rPr>
          <w:rFonts w:hint="default" w:ascii="Times New Roman" w:hAnsi="Times New Roman" w:cs="Times New Roman"/>
          <w:color w:val="auto"/>
          <w:kern w:val="0"/>
          <w:highlight w:val="none"/>
          <w:lang w:bidi="ar"/>
        </w:rPr>
        <w:t>土地沙化现状</w:t>
      </w:r>
    </w:p>
    <w:p w14:paraId="3E296E7D">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根据《新疆维吾尔自治区第</w:t>
      </w:r>
      <w:r>
        <w:rPr>
          <w:rFonts w:hint="eastAsia" w:cs="Times New Roman"/>
          <w:color w:val="auto"/>
          <w:kern w:val="0"/>
          <w:highlight w:val="none"/>
          <w:lang w:val="en-US" w:eastAsia="zh-CN" w:bidi="ar"/>
        </w:rPr>
        <w:t>六</w:t>
      </w:r>
      <w:r>
        <w:rPr>
          <w:rFonts w:hint="default" w:ascii="Times New Roman" w:hAnsi="Times New Roman" w:cs="Times New Roman"/>
          <w:color w:val="auto"/>
          <w:kern w:val="0"/>
          <w:highlight w:val="none"/>
          <w:lang w:bidi="ar"/>
        </w:rPr>
        <w:t>次沙化土地监测报告》，本次工程所在区域为非沙化土地。</w:t>
      </w:r>
    </w:p>
    <w:p w14:paraId="0A79711D">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rPr>
      </w:pPr>
      <w:bookmarkStart w:id="167" w:name="_Toc18490"/>
      <w:r>
        <w:rPr>
          <w:rFonts w:hint="eastAsia" w:ascii="Times New Roman" w:hAnsi="Times New Roman" w:eastAsia="宋体" w:cs="Times New Roman"/>
          <w:color w:val="auto"/>
          <w:highlight w:val="none"/>
          <w:lang w:val="en-US" w:eastAsia="zh-CN"/>
        </w:rPr>
        <w:t>4.2.6</w:t>
      </w:r>
      <w:r>
        <w:rPr>
          <w:rFonts w:hint="default" w:ascii="Times New Roman" w:hAnsi="Times New Roman" w:eastAsia="宋体" w:cs="Times New Roman"/>
          <w:color w:val="auto"/>
          <w:highlight w:val="none"/>
          <w:lang w:val="en-US" w:eastAsia="zh-CN"/>
        </w:rPr>
        <w:t>矿石辐射监测结果及评价</w:t>
      </w:r>
    </w:p>
    <w:p w14:paraId="598DCF82">
      <w:pPr>
        <w:pageBreakBefore w:val="0"/>
        <w:widowControl/>
        <w:wordWrap/>
        <w:topLinePunct w:val="0"/>
        <w:bidi w:val="0"/>
        <w:adjustRightInd w:val="0"/>
        <w:snapToGrid w:val="0"/>
        <w:ind w:left="0" w:leftChars="0" w:right="0" w:firstLine="480"/>
        <w:jc w:val="both"/>
        <w:rPr>
          <w:rFonts w:hint="default" w:ascii="Times New Roman" w:hAnsi="Times New Roman" w:eastAsia="宋体" w:cs="Times New Roman"/>
          <w:color w:val="auto"/>
          <w:kern w:val="0"/>
          <w:highlight w:val="none"/>
          <w:lang w:eastAsia="zh-CN" w:bidi="ar"/>
        </w:rPr>
      </w:pPr>
      <w:r>
        <w:rPr>
          <w:rFonts w:hint="eastAsia" w:ascii="Times New Roman" w:hAnsi="Times New Roman" w:eastAsia="宋体" w:cs="Times New Roman"/>
          <w:color w:val="auto"/>
          <w:kern w:val="0"/>
          <w:highlight w:val="none"/>
          <w:lang w:val="en-US" w:eastAsia="zh-CN" w:bidi="ar"/>
        </w:rPr>
        <w:t>1.放射性检测样品</w:t>
      </w:r>
    </w:p>
    <w:p w14:paraId="706FD9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default" w:ascii="Times New Roman" w:hAnsi="Times New Roman" w:eastAsia="宋体" w:cs="Times New Roman"/>
          <w:caps w:val="0"/>
          <w:smallCaps w:val="0"/>
          <w:color w:val="auto"/>
          <w:sz w:val="24"/>
          <w:lang w:val="en-US" w:eastAsia="zh-CN"/>
        </w:rPr>
      </w:pPr>
      <w:r>
        <w:rPr>
          <w:rFonts w:hint="default" w:ascii="Times New Roman" w:hAnsi="Times New Roman" w:eastAsia="宋体" w:cs="Times New Roman"/>
          <w:caps w:val="0"/>
          <w:smallCaps w:val="0"/>
          <w:color w:val="auto"/>
          <w:sz w:val="24"/>
          <w:lang w:val="en-US" w:eastAsia="zh-CN"/>
        </w:rPr>
        <w:t>202</w:t>
      </w:r>
      <w:r>
        <w:rPr>
          <w:rFonts w:hint="eastAsia" w:ascii="Times New Roman" w:hAnsi="Times New Roman" w:eastAsia="宋体" w:cs="Times New Roman"/>
          <w:caps w:val="0"/>
          <w:smallCaps w:val="0"/>
          <w:color w:val="auto"/>
          <w:sz w:val="24"/>
          <w:lang w:val="en-US" w:eastAsia="zh-CN"/>
        </w:rPr>
        <w:t>5</w:t>
      </w:r>
      <w:r>
        <w:rPr>
          <w:rFonts w:hint="default" w:ascii="Times New Roman" w:hAnsi="Times New Roman" w:eastAsia="宋体" w:cs="Times New Roman"/>
          <w:caps w:val="0"/>
          <w:smallCaps w:val="0"/>
          <w:color w:val="auto"/>
          <w:sz w:val="24"/>
          <w:lang w:val="en-US" w:eastAsia="zh-CN"/>
        </w:rPr>
        <w:t>年</w:t>
      </w:r>
      <w:r>
        <w:rPr>
          <w:rFonts w:hint="eastAsia" w:eastAsia="宋体" w:cs="Times New Roman"/>
          <w:caps w:val="0"/>
          <w:smallCaps w:val="0"/>
          <w:color w:val="auto"/>
          <w:sz w:val="24"/>
          <w:lang w:val="en-US" w:eastAsia="zh-CN"/>
        </w:rPr>
        <w:t>9</w:t>
      </w:r>
      <w:r>
        <w:rPr>
          <w:rFonts w:hint="default" w:ascii="Times New Roman" w:hAnsi="Times New Roman" w:eastAsia="宋体" w:cs="Times New Roman"/>
          <w:caps w:val="0"/>
          <w:smallCaps w:val="0"/>
          <w:color w:val="auto"/>
          <w:sz w:val="24"/>
          <w:lang w:val="en-US" w:eastAsia="zh-CN"/>
        </w:rPr>
        <w:t>月</w:t>
      </w:r>
      <w:r>
        <w:rPr>
          <w:rFonts w:hint="eastAsia" w:eastAsia="宋体" w:cs="Times New Roman"/>
          <w:caps w:val="0"/>
          <w:smallCaps w:val="0"/>
          <w:color w:val="auto"/>
          <w:sz w:val="24"/>
          <w:lang w:val="en-US" w:eastAsia="zh-CN"/>
        </w:rPr>
        <w:t>22</w:t>
      </w:r>
      <w:r>
        <w:rPr>
          <w:rFonts w:hint="default" w:ascii="Times New Roman" w:hAnsi="Times New Roman" w:eastAsia="宋体" w:cs="Times New Roman"/>
          <w:caps w:val="0"/>
          <w:smallCaps w:val="0"/>
          <w:color w:val="auto"/>
          <w:sz w:val="24"/>
          <w:lang w:val="en-US" w:eastAsia="zh-CN"/>
        </w:rPr>
        <w:t>日</w:t>
      </w:r>
      <w:r>
        <w:rPr>
          <w:rFonts w:hint="eastAsia" w:ascii="Times New Roman" w:hAnsi="Times New Roman" w:eastAsia="宋体" w:cs="Times New Roman"/>
          <w:caps w:val="0"/>
          <w:smallCaps w:val="0"/>
          <w:color w:val="auto"/>
          <w:sz w:val="24"/>
          <w:lang w:val="en-US" w:eastAsia="zh-CN"/>
        </w:rPr>
        <w:t>核工业二一六大队</w:t>
      </w:r>
      <w:r>
        <w:rPr>
          <w:rFonts w:hint="default" w:ascii="Times New Roman" w:hAnsi="Times New Roman" w:eastAsia="宋体" w:cs="Times New Roman"/>
          <w:caps w:val="0"/>
          <w:smallCaps w:val="0"/>
          <w:color w:val="auto"/>
          <w:sz w:val="24"/>
          <w:lang w:val="en-US" w:eastAsia="zh-CN"/>
        </w:rPr>
        <w:t>对</w:t>
      </w:r>
      <w:r>
        <w:rPr>
          <w:rFonts w:hint="eastAsia" w:ascii="Times New Roman" w:hAnsi="Times New Roman" w:eastAsia="宋体" w:cs="Times New Roman"/>
          <w:caps w:val="0"/>
          <w:smallCaps w:val="0"/>
          <w:color w:val="auto"/>
          <w:sz w:val="24"/>
          <w:lang w:val="en-US" w:eastAsia="zh-CN"/>
        </w:rPr>
        <w:t>特克斯千汇矿业有限责任公司的矿石、浸渣</w:t>
      </w:r>
      <w:r>
        <w:rPr>
          <w:rFonts w:hint="default" w:ascii="Times New Roman" w:hAnsi="Times New Roman" w:eastAsia="宋体" w:cs="Times New Roman"/>
          <w:caps w:val="0"/>
          <w:smallCaps w:val="0"/>
          <w:color w:val="auto"/>
          <w:sz w:val="24"/>
          <w:lang w:val="en-US" w:eastAsia="zh-CN"/>
        </w:rPr>
        <w:t>进行了</w:t>
      </w:r>
      <w:r>
        <w:rPr>
          <w:rFonts w:hint="eastAsia" w:ascii="Times New Roman" w:hAnsi="Times New Roman" w:eastAsia="宋体" w:cs="Times New Roman"/>
          <w:caps w:val="0"/>
          <w:smallCaps w:val="0"/>
          <w:color w:val="auto"/>
          <w:sz w:val="24"/>
          <w:lang w:val="en-US" w:eastAsia="zh-CN"/>
        </w:rPr>
        <w:t>放射性检测</w:t>
      </w:r>
      <w:r>
        <w:rPr>
          <w:rFonts w:hint="default" w:ascii="Times New Roman" w:hAnsi="Times New Roman" w:eastAsia="宋体" w:cs="Times New Roman"/>
          <w:caps w:val="0"/>
          <w:smallCaps w:val="0"/>
          <w:color w:val="auto"/>
          <w:sz w:val="24"/>
          <w:lang w:val="en-US" w:eastAsia="zh-CN"/>
        </w:rPr>
        <w:t xml:space="preserve">。 </w:t>
      </w:r>
    </w:p>
    <w:p w14:paraId="05AD8B87">
      <w:pPr>
        <w:pageBreakBefore w:val="0"/>
        <w:widowControl/>
        <w:wordWrap/>
        <w:topLinePunct w:val="0"/>
        <w:bidi w:val="0"/>
        <w:adjustRightInd w:val="0"/>
        <w:snapToGrid w:val="0"/>
        <w:ind w:left="0" w:leftChars="0" w:right="0" w:firstLine="480"/>
        <w:jc w:val="both"/>
        <w:rPr>
          <w:rFonts w:hint="default" w:ascii="Times New Roman" w:hAnsi="Times New Roman" w:eastAsia="宋体" w:cs="Times New Roman"/>
          <w:color w:val="auto"/>
          <w:kern w:val="0"/>
          <w:highlight w:val="none"/>
          <w:lang w:val="en-US" w:eastAsia="zh-CN" w:bidi="ar"/>
        </w:rPr>
      </w:pPr>
      <w:r>
        <w:rPr>
          <w:rFonts w:hint="eastAsia" w:ascii="Times New Roman" w:hAnsi="Times New Roman" w:eastAsia="宋体" w:cs="Times New Roman"/>
          <w:color w:val="auto"/>
          <w:kern w:val="0"/>
          <w:highlight w:val="none"/>
          <w:lang w:val="en-US" w:eastAsia="zh-CN" w:bidi="ar"/>
        </w:rPr>
        <w:t>2.</w:t>
      </w:r>
      <w:r>
        <w:rPr>
          <w:rFonts w:hint="default" w:ascii="Times New Roman" w:hAnsi="Times New Roman" w:eastAsia="宋体" w:cs="Times New Roman"/>
          <w:color w:val="auto"/>
          <w:kern w:val="0"/>
          <w:highlight w:val="none"/>
          <w:lang w:val="en-US" w:eastAsia="zh-CN" w:bidi="ar"/>
        </w:rPr>
        <w:t>监测</w:t>
      </w:r>
      <w:r>
        <w:rPr>
          <w:rFonts w:hint="eastAsia" w:ascii="Times New Roman" w:hAnsi="Times New Roman" w:eastAsia="宋体" w:cs="Times New Roman"/>
          <w:color w:val="auto"/>
          <w:kern w:val="0"/>
          <w:highlight w:val="none"/>
          <w:lang w:val="en-US" w:eastAsia="zh-CN" w:bidi="ar"/>
        </w:rPr>
        <w:t>依据及设备</w:t>
      </w:r>
    </w:p>
    <w:p w14:paraId="79C3D8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default"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 xml:space="preserve">（1）监测依据 </w:t>
      </w:r>
    </w:p>
    <w:p w14:paraId="2DD528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检测依据见表</w:t>
      </w:r>
      <w:r>
        <w:rPr>
          <w:rFonts w:hint="eastAsia" w:eastAsia="宋体" w:cs="Times New Roman"/>
          <w:caps w:val="0"/>
          <w:smallCaps w:val="0"/>
          <w:color w:val="auto"/>
          <w:sz w:val="24"/>
          <w:lang w:val="en-US" w:eastAsia="zh-CN"/>
        </w:rPr>
        <w:t>4.2-1</w:t>
      </w:r>
      <w:r>
        <w:rPr>
          <w:rFonts w:hint="eastAsia" w:cs="Times New Roman"/>
          <w:caps w:val="0"/>
          <w:smallCaps w:val="0"/>
          <w:color w:val="auto"/>
          <w:sz w:val="24"/>
          <w:lang w:val="en-US" w:eastAsia="zh-CN"/>
        </w:rPr>
        <w:t>6</w:t>
      </w:r>
      <w:r>
        <w:rPr>
          <w:rFonts w:hint="eastAsia" w:ascii="Times New Roman" w:hAnsi="Times New Roman" w:eastAsia="宋体" w:cs="Times New Roman"/>
          <w:caps w:val="0"/>
          <w:smallCaps w:val="0"/>
          <w:color w:val="auto"/>
          <w:sz w:val="24"/>
          <w:lang w:val="en-US" w:eastAsia="zh-CN"/>
        </w:rPr>
        <w:t xml:space="preserve">。 </w:t>
      </w:r>
    </w:p>
    <w:p w14:paraId="67FC79DF">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b/>
          <w:bCs/>
          <w:caps w:val="0"/>
          <w:smallCaps w:val="0"/>
          <w:color w:val="auto"/>
          <w:sz w:val="21"/>
          <w:szCs w:val="21"/>
          <w:lang w:eastAsia="zh-CN"/>
        </w:rPr>
        <w:t>表</w:t>
      </w:r>
      <w:r>
        <w:rPr>
          <w:rFonts w:hint="eastAsia" w:ascii="Times New Roman" w:eastAsia="宋体" w:cs="Times New Roman"/>
          <w:b/>
          <w:bCs/>
          <w:caps w:val="0"/>
          <w:smallCaps w:val="0"/>
          <w:color w:val="auto"/>
          <w:sz w:val="21"/>
          <w:szCs w:val="21"/>
          <w:lang w:val="en-US" w:eastAsia="zh-CN"/>
        </w:rPr>
        <w:t>4.2-1</w:t>
      </w:r>
      <w:r>
        <w:rPr>
          <w:rFonts w:hint="eastAsia" w:ascii="Times New Roman" w:cs="Times New Roman"/>
          <w:b/>
          <w:bCs/>
          <w:caps w:val="0"/>
          <w:smallCaps w:val="0"/>
          <w:color w:val="auto"/>
          <w:sz w:val="21"/>
          <w:szCs w:val="21"/>
          <w:lang w:val="en-US" w:eastAsia="zh-CN"/>
        </w:rPr>
        <w:t>6</w:t>
      </w:r>
      <w:r>
        <w:rPr>
          <w:rFonts w:hint="eastAsia" w:ascii="Times New Roman" w:hAnsi="Times New Roman" w:eastAsia="宋体" w:cs="Times New Roman"/>
          <w:b/>
          <w:bCs/>
          <w:caps w:val="0"/>
          <w:smallCaps w:val="0"/>
          <w:color w:val="auto"/>
          <w:sz w:val="21"/>
          <w:szCs w:val="21"/>
          <w:lang w:val="en-US" w:eastAsia="zh-CN"/>
        </w:rPr>
        <w:t xml:space="preserve">    检测依据</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6585"/>
        <w:gridCol w:w="1142"/>
      </w:tblGrid>
      <w:tr w14:paraId="00580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4BD489B8">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检测项目</w:t>
            </w:r>
          </w:p>
        </w:tc>
        <w:tc>
          <w:tcPr>
            <w:tcW w:w="3680" w:type="pct"/>
            <w:tcBorders>
              <w:tl2br w:val="nil"/>
              <w:tr2bl w:val="nil"/>
            </w:tcBorders>
            <w:noWrap w:val="0"/>
            <w:vAlign w:val="center"/>
          </w:tcPr>
          <w:p w14:paraId="6D8B63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检测依据</w:t>
            </w:r>
          </w:p>
        </w:tc>
        <w:tc>
          <w:tcPr>
            <w:tcW w:w="638" w:type="pct"/>
            <w:tcBorders>
              <w:tl2br w:val="nil"/>
              <w:tr2bl w:val="nil"/>
            </w:tcBorders>
            <w:noWrap w:val="0"/>
            <w:vAlign w:val="center"/>
          </w:tcPr>
          <w:p w14:paraId="1191FA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检出限</w:t>
            </w:r>
          </w:p>
        </w:tc>
      </w:tr>
      <w:tr w14:paraId="155C5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1340C0B1">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vertAlign w:val="superscript"/>
                <w:lang w:val="en-US" w:eastAsia="zh-CN"/>
              </w:rPr>
              <w:t>238</w:t>
            </w:r>
            <w:r>
              <w:rPr>
                <w:rFonts w:hint="eastAsia" w:ascii="Times New Roman" w:hAnsi="Times New Roman" w:eastAsia="宋体" w:cs="Times New Roman"/>
                <w:caps w:val="0"/>
                <w:smallCaps w:val="0"/>
                <w:color w:val="auto"/>
                <w:sz w:val="21"/>
                <w:szCs w:val="21"/>
                <w:lang w:val="en-US" w:eastAsia="zh-CN"/>
              </w:rPr>
              <w:t>U</w:t>
            </w:r>
          </w:p>
        </w:tc>
        <w:tc>
          <w:tcPr>
            <w:tcW w:w="3680" w:type="pct"/>
            <w:vMerge w:val="restart"/>
            <w:tcBorders>
              <w:tl2br w:val="nil"/>
              <w:tr2bl w:val="nil"/>
            </w:tcBorders>
            <w:noWrap w:val="0"/>
            <w:vAlign w:val="center"/>
          </w:tcPr>
          <w:p w14:paraId="5894224C">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环境及生物样品中放射性核素的r能谱分析方法GB/T16145-2022</w:t>
            </w:r>
          </w:p>
        </w:tc>
        <w:tc>
          <w:tcPr>
            <w:tcW w:w="638" w:type="pct"/>
            <w:tcBorders>
              <w:tl2br w:val="nil"/>
              <w:tr2bl w:val="nil"/>
            </w:tcBorders>
            <w:noWrap w:val="0"/>
            <w:vAlign w:val="center"/>
          </w:tcPr>
          <w:p w14:paraId="718F58E0">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7.6Bg/kg</w:t>
            </w:r>
          </w:p>
        </w:tc>
      </w:tr>
      <w:tr w14:paraId="7FF1D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778C4D33">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vertAlign w:val="superscript"/>
                <w:lang w:val="en-US" w:eastAsia="zh-CN"/>
              </w:rPr>
            </w:pPr>
            <w:r>
              <w:rPr>
                <w:rFonts w:hint="eastAsia" w:ascii="Times New Roman" w:hAnsi="Times New Roman" w:eastAsia="宋体" w:cs="Times New Roman"/>
                <w:caps w:val="0"/>
                <w:smallCaps w:val="0"/>
                <w:color w:val="auto"/>
                <w:sz w:val="21"/>
                <w:szCs w:val="21"/>
                <w:vertAlign w:val="superscript"/>
                <w:lang w:val="en-US" w:eastAsia="zh-CN"/>
              </w:rPr>
              <w:t>232</w:t>
            </w:r>
            <w:r>
              <w:rPr>
                <w:rFonts w:hint="eastAsia" w:ascii="Times New Roman" w:hAnsi="Times New Roman" w:eastAsia="宋体" w:cs="Times New Roman"/>
                <w:caps w:val="0"/>
                <w:smallCaps w:val="0"/>
                <w:color w:val="auto"/>
                <w:sz w:val="21"/>
                <w:szCs w:val="21"/>
                <w:lang w:val="en-US" w:eastAsia="zh-CN"/>
              </w:rPr>
              <w:t>Th</w:t>
            </w:r>
          </w:p>
        </w:tc>
        <w:tc>
          <w:tcPr>
            <w:tcW w:w="3680" w:type="pct"/>
            <w:vMerge w:val="continue"/>
            <w:tcBorders>
              <w:tl2br w:val="nil"/>
              <w:tr2bl w:val="nil"/>
            </w:tcBorders>
            <w:noWrap w:val="0"/>
            <w:vAlign w:val="center"/>
          </w:tcPr>
          <w:p w14:paraId="1A107316">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p>
        </w:tc>
        <w:tc>
          <w:tcPr>
            <w:tcW w:w="638" w:type="pct"/>
            <w:tcBorders>
              <w:tl2br w:val="nil"/>
              <w:tr2bl w:val="nil"/>
            </w:tcBorders>
            <w:noWrap w:val="0"/>
            <w:vAlign w:val="center"/>
          </w:tcPr>
          <w:p w14:paraId="346F62F3">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0.6Bg/kg</w:t>
            </w:r>
          </w:p>
        </w:tc>
      </w:tr>
      <w:tr w14:paraId="72BD4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51C9D9CD">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vertAlign w:val="superscript"/>
                <w:lang w:val="en-US" w:eastAsia="zh-CN"/>
              </w:rPr>
            </w:pPr>
            <w:r>
              <w:rPr>
                <w:rFonts w:hint="eastAsia" w:ascii="Times New Roman" w:eastAsia="宋体" w:cs="Times New Roman"/>
                <w:caps w:val="0"/>
                <w:smallCaps w:val="0"/>
                <w:color w:val="auto"/>
                <w:sz w:val="21"/>
                <w:szCs w:val="21"/>
                <w:vertAlign w:val="superscript"/>
                <w:lang w:val="en-US" w:eastAsia="zh-CN"/>
              </w:rPr>
              <w:t>226</w:t>
            </w:r>
            <w:r>
              <w:rPr>
                <w:rFonts w:hint="eastAsia" w:ascii="Times New Roman" w:eastAsia="宋体" w:cs="Times New Roman"/>
                <w:caps w:val="0"/>
                <w:smallCaps w:val="0"/>
                <w:color w:val="auto"/>
                <w:sz w:val="21"/>
                <w:szCs w:val="21"/>
                <w:vertAlign w:val="baseline"/>
                <w:lang w:val="en-US" w:eastAsia="zh-CN"/>
              </w:rPr>
              <w:t>Ra</w:t>
            </w:r>
          </w:p>
        </w:tc>
        <w:tc>
          <w:tcPr>
            <w:tcW w:w="3680" w:type="pct"/>
            <w:vMerge w:val="continue"/>
            <w:tcBorders>
              <w:tl2br w:val="nil"/>
              <w:tr2bl w:val="nil"/>
            </w:tcBorders>
            <w:noWrap w:val="0"/>
            <w:vAlign w:val="center"/>
          </w:tcPr>
          <w:p w14:paraId="4CD1D3B8">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p>
        </w:tc>
        <w:tc>
          <w:tcPr>
            <w:tcW w:w="638" w:type="pct"/>
            <w:tcBorders>
              <w:tl2br w:val="nil"/>
              <w:tr2bl w:val="nil"/>
            </w:tcBorders>
            <w:noWrap w:val="0"/>
            <w:vAlign w:val="center"/>
          </w:tcPr>
          <w:p w14:paraId="32B7960F">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eastAsia="宋体" w:cs="Times New Roman"/>
                <w:caps w:val="0"/>
                <w:smallCaps w:val="0"/>
                <w:color w:val="auto"/>
                <w:sz w:val="21"/>
                <w:szCs w:val="21"/>
                <w:lang w:val="en-US" w:eastAsia="zh-CN"/>
              </w:rPr>
              <w:t>1.0</w:t>
            </w:r>
            <w:r>
              <w:rPr>
                <w:rFonts w:hint="eastAsia" w:ascii="Times New Roman" w:hAnsi="Times New Roman" w:eastAsia="宋体" w:cs="Times New Roman"/>
                <w:caps w:val="0"/>
                <w:smallCaps w:val="0"/>
                <w:color w:val="auto"/>
                <w:sz w:val="21"/>
                <w:szCs w:val="21"/>
                <w:lang w:val="en-US" w:eastAsia="zh-CN"/>
              </w:rPr>
              <w:t>Bg/kg</w:t>
            </w:r>
          </w:p>
        </w:tc>
      </w:tr>
      <w:tr w14:paraId="4956B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7DCF5C75">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vertAlign w:val="baseline"/>
                <w:lang w:val="en-US" w:eastAsia="zh-CN"/>
              </w:rPr>
            </w:pPr>
            <w:r>
              <w:rPr>
                <w:rFonts w:hint="eastAsia" w:ascii="Times New Roman" w:eastAsia="宋体" w:cs="Times New Roman"/>
                <w:caps w:val="0"/>
                <w:smallCaps w:val="0"/>
                <w:color w:val="auto"/>
                <w:sz w:val="21"/>
                <w:szCs w:val="21"/>
                <w:vertAlign w:val="superscript"/>
                <w:lang w:val="en-US" w:eastAsia="zh-CN"/>
              </w:rPr>
              <w:t>40</w:t>
            </w:r>
            <w:r>
              <w:rPr>
                <w:rFonts w:hint="eastAsia" w:ascii="Times New Roman" w:eastAsia="宋体" w:cs="Times New Roman"/>
                <w:caps w:val="0"/>
                <w:smallCaps w:val="0"/>
                <w:color w:val="auto"/>
                <w:sz w:val="21"/>
                <w:szCs w:val="21"/>
                <w:vertAlign w:val="baseline"/>
                <w:lang w:val="en-US" w:eastAsia="zh-CN"/>
              </w:rPr>
              <w:t>K</w:t>
            </w:r>
          </w:p>
        </w:tc>
        <w:tc>
          <w:tcPr>
            <w:tcW w:w="3680" w:type="pct"/>
            <w:vMerge w:val="continue"/>
            <w:tcBorders>
              <w:tl2br w:val="nil"/>
              <w:tr2bl w:val="nil"/>
            </w:tcBorders>
            <w:noWrap w:val="0"/>
            <w:vAlign w:val="center"/>
          </w:tcPr>
          <w:p w14:paraId="7944B22F">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p>
        </w:tc>
        <w:tc>
          <w:tcPr>
            <w:tcW w:w="638" w:type="pct"/>
            <w:tcBorders>
              <w:tl2br w:val="nil"/>
              <w:tr2bl w:val="nil"/>
            </w:tcBorders>
            <w:noWrap w:val="0"/>
            <w:vAlign w:val="center"/>
          </w:tcPr>
          <w:p w14:paraId="59DB8447">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eastAsia="宋体" w:cs="Times New Roman"/>
                <w:caps w:val="0"/>
                <w:smallCaps w:val="0"/>
                <w:color w:val="auto"/>
                <w:sz w:val="21"/>
                <w:szCs w:val="21"/>
                <w:lang w:val="en-US" w:eastAsia="zh-CN"/>
              </w:rPr>
              <w:t>3.8</w:t>
            </w:r>
            <w:r>
              <w:rPr>
                <w:rFonts w:hint="eastAsia" w:ascii="Times New Roman" w:hAnsi="Times New Roman" w:eastAsia="宋体" w:cs="Times New Roman"/>
                <w:caps w:val="0"/>
                <w:smallCaps w:val="0"/>
                <w:color w:val="auto"/>
                <w:sz w:val="21"/>
                <w:szCs w:val="21"/>
                <w:lang w:val="en-US" w:eastAsia="zh-CN"/>
              </w:rPr>
              <w:t>Bg/kg</w:t>
            </w:r>
          </w:p>
        </w:tc>
      </w:tr>
    </w:tbl>
    <w:p w14:paraId="323B59DF">
      <w:pPr>
        <w:spacing w:line="360" w:lineRule="auto"/>
        <w:ind w:firstLine="480" w:firstLineChars="200"/>
        <w:contextualSpacing/>
        <w:rPr>
          <w:rFonts w:hint="eastAsia"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（2）监测设备</w:t>
      </w:r>
    </w:p>
    <w:p w14:paraId="0513FBBF">
      <w:pPr>
        <w:spacing w:line="360" w:lineRule="auto"/>
        <w:ind w:firstLine="480" w:firstLineChars="200"/>
        <w:contextualSpacing/>
        <w:rPr>
          <w:rFonts w:hint="default"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监测仪器见表</w:t>
      </w:r>
      <w:r>
        <w:rPr>
          <w:rFonts w:hint="eastAsia" w:eastAsia="宋体" w:cs="Times New Roman"/>
          <w:caps w:val="0"/>
          <w:smallCaps w:val="0"/>
          <w:color w:val="auto"/>
          <w:sz w:val="24"/>
          <w:lang w:val="en-US" w:eastAsia="zh-CN"/>
        </w:rPr>
        <w:t>4.2-1</w:t>
      </w:r>
      <w:r>
        <w:rPr>
          <w:rFonts w:hint="eastAsia" w:cs="Times New Roman"/>
          <w:caps w:val="0"/>
          <w:smallCaps w:val="0"/>
          <w:color w:val="auto"/>
          <w:sz w:val="24"/>
          <w:lang w:val="en-US" w:eastAsia="zh-CN"/>
        </w:rPr>
        <w:t>7</w:t>
      </w:r>
      <w:r>
        <w:rPr>
          <w:rFonts w:hint="eastAsia" w:ascii="Times New Roman" w:hAnsi="Times New Roman" w:eastAsia="宋体" w:cs="Times New Roman"/>
          <w:caps w:val="0"/>
          <w:smallCaps w:val="0"/>
          <w:color w:val="auto"/>
          <w:sz w:val="24"/>
          <w:lang w:val="en-US" w:eastAsia="zh-CN"/>
        </w:rPr>
        <w:t>。</w:t>
      </w:r>
    </w:p>
    <w:p w14:paraId="70A50C33">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b/>
          <w:bCs/>
          <w:caps w:val="0"/>
          <w:smallCaps w:val="0"/>
          <w:color w:val="auto"/>
          <w:sz w:val="21"/>
          <w:szCs w:val="21"/>
          <w:lang w:eastAsia="zh-CN"/>
        </w:rPr>
        <w:t>表</w:t>
      </w:r>
      <w:r>
        <w:rPr>
          <w:rFonts w:hint="eastAsia" w:ascii="Times New Roman" w:eastAsia="宋体" w:cs="Times New Roman"/>
          <w:b/>
          <w:bCs/>
          <w:caps w:val="0"/>
          <w:smallCaps w:val="0"/>
          <w:color w:val="auto"/>
          <w:sz w:val="21"/>
          <w:szCs w:val="21"/>
          <w:lang w:val="en-US" w:eastAsia="zh-CN"/>
        </w:rPr>
        <w:t>4.2-1</w:t>
      </w:r>
      <w:r>
        <w:rPr>
          <w:rFonts w:hint="eastAsia" w:ascii="Times New Roman" w:cs="Times New Roman"/>
          <w:b/>
          <w:bCs/>
          <w:caps w:val="0"/>
          <w:smallCaps w:val="0"/>
          <w:color w:val="auto"/>
          <w:sz w:val="21"/>
          <w:szCs w:val="21"/>
          <w:lang w:val="en-US" w:eastAsia="zh-CN"/>
        </w:rPr>
        <w:t>7</w:t>
      </w:r>
      <w:r>
        <w:rPr>
          <w:rFonts w:hint="eastAsia" w:ascii="Times New Roman" w:hAnsi="Times New Roman" w:eastAsia="宋体" w:cs="Times New Roman"/>
          <w:b/>
          <w:bCs/>
          <w:caps w:val="0"/>
          <w:smallCaps w:val="0"/>
          <w:color w:val="auto"/>
          <w:sz w:val="21"/>
          <w:szCs w:val="21"/>
          <w:lang w:val="en-US" w:eastAsia="zh-CN"/>
        </w:rPr>
        <w:t xml:space="preserve">    监测仪器</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9"/>
        <w:gridCol w:w="2686"/>
        <w:gridCol w:w="2625"/>
        <w:gridCol w:w="1233"/>
      </w:tblGrid>
      <w:tr w14:paraId="231ED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341" w:type="pct"/>
            <w:tcBorders>
              <w:tl2br w:val="nil"/>
              <w:tr2bl w:val="nil"/>
            </w:tcBorders>
            <w:noWrap w:val="0"/>
            <w:vAlign w:val="center"/>
          </w:tcPr>
          <w:p w14:paraId="16AA2A47">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检测项目</w:t>
            </w:r>
          </w:p>
        </w:tc>
        <w:tc>
          <w:tcPr>
            <w:tcW w:w="1501" w:type="pct"/>
            <w:tcBorders>
              <w:tl2br w:val="nil"/>
              <w:tr2bl w:val="nil"/>
            </w:tcBorders>
            <w:noWrap w:val="0"/>
            <w:vAlign w:val="center"/>
          </w:tcPr>
          <w:p w14:paraId="1381AF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设备名称</w:t>
            </w:r>
          </w:p>
        </w:tc>
        <w:tc>
          <w:tcPr>
            <w:tcW w:w="1467" w:type="pct"/>
            <w:tcBorders>
              <w:tl2br w:val="nil"/>
              <w:tr2bl w:val="nil"/>
            </w:tcBorders>
            <w:noWrap w:val="0"/>
            <w:vAlign w:val="center"/>
          </w:tcPr>
          <w:p w14:paraId="0906A8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设备型号</w:t>
            </w:r>
          </w:p>
        </w:tc>
        <w:tc>
          <w:tcPr>
            <w:tcW w:w="689" w:type="pct"/>
            <w:tcBorders>
              <w:tl2br w:val="nil"/>
              <w:tr2bl w:val="nil"/>
            </w:tcBorders>
            <w:noWrap w:val="0"/>
            <w:vAlign w:val="center"/>
          </w:tcPr>
          <w:p w14:paraId="104440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设备编号</w:t>
            </w:r>
          </w:p>
        </w:tc>
      </w:tr>
      <w:tr w14:paraId="66609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341" w:type="pct"/>
            <w:tcBorders>
              <w:tl2br w:val="nil"/>
              <w:tr2bl w:val="nil"/>
            </w:tcBorders>
            <w:noWrap w:val="0"/>
            <w:vAlign w:val="center"/>
          </w:tcPr>
          <w:p w14:paraId="0746639B">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vertAlign w:val="superscript"/>
                <w:lang w:val="en-US" w:eastAsia="zh-CN"/>
              </w:rPr>
              <w:t>232</w:t>
            </w:r>
            <w:r>
              <w:rPr>
                <w:rFonts w:hint="eastAsia" w:ascii="Times New Roman" w:hAnsi="Times New Roman" w:eastAsia="宋体" w:cs="Times New Roman"/>
                <w:caps w:val="0"/>
                <w:smallCaps w:val="0"/>
                <w:color w:val="auto"/>
                <w:sz w:val="21"/>
                <w:szCs w:val="21"/>
                <w:lang w:val="en-US" w:eastAsia="zh-CN"/>
              </w:rPr>
              <w:t>Th、</w:t>
            </w:r>
            <w:r>
              <w:rPr>
                <w:rFonts w:hint="eastAsia" w:ascii="Times New Roman" w:hAnsi="Times New Roman" w:eastAsia="宋体" w:cs="Times New Roman"/>
                <w:caps w:val="0"/>
                <w:smallCaps w:val="0"/>
                <w:color w:val="auto"/>
                <w:sz w:val="21"/>
                <w:szCs w:val="21"/>
                <w:vertAlign w:val="superscript"/>
                <w:lang w:val="en-US" w:eastAsia="zh-CN"/>
              </w:rPr>
              <w:t>238</w:t>
            </w:r>
            <w:r>
              <w:rPr>
                <w:rFonts w:hint="eastAsia" w:ascii="Times New Roman" w:hAnsi="Times New Roman" w:eastAsia="宋体" w:cs="Times New Roman"/>
                <w:caps w:val="0"/>
                <w:smallCaps w:val="0"/>
                <w:color w:val="auto"/>
                <w:sz w:val="21"/>
                <w:szCs w:val="21"/>
                <w:lang w:val="en-US" w:eastAsia="zh-CN"/>
              </w:rPr>
              <w:t>U</w:t>
            </w:r>
            <w:r>
              <w:rPr>
                <w:rFonts w:hint="eastAsia" w:ascii="Times New Roman" w:eastAsia="宋体" w:cs="Times New Roman"/>
                <w:caps w:val="0"/>
                <w:smallCaps w:val="0"/>
                <w:color w:val="auto"/>
                <w:sz w:val="21"/>
                <w:szCs w:val="21"/>
                <w:lang w:val="en-US" w:eastAsia="zh-CN"/>
              </w:rPr>
              <w:t>、</w:t>
            </w:r>
            <w:r>
              <w:rPr>
                <w:rFonts w:hint="eastAsia" w:ascii="Times New Roman" w:eastAsia="宋体" w:cs="Times New Roman"/>
                <w:caps w:val="0"/>
                <w:smallCaps w:val="0"/>
                <w:color w:val="auto"/>
                <w:sz w:val="21"/>
                <w:szCs w:val="21"/>
                <w:vertAlign w:val="superscript"/>
                <w:lang w:val="en-US" w:eastAsia="zh-CN"/>
              </w:rPr>
              <w:t>226</w:t>
            </w:r>
            <w:r>
              <w:rPr>
                <w:rFonts w:hint="eastAsia" w:ascii="Times New Roman" w:eastAsia="宋体" w:cs="Times New Roman"/>
                <w:caps w:val="0"/>
                <w:smallCaps w:val="0"/>
                <w:color w:val="auto"/>
                <w:sz w:val="21"/>
                <w:szCs w:val="21"/>
                <w:vertAlign w:val="baseline"/>
                <w:lang w:val="en-US" w:eastAsia="zh-CN"/>
              </w:rPr>
              <w:t>Ra、</w:t>
            </w:r>
            <w:r>
              <w:rPr>
                <w:rFonts w:hint="eastAsia" w:ascii="Times New Roman" w:eastAsia="宋体" w:cs="Times New Roman"/>
                <w:caps w:val="0"/>
                <w:smallCaps w:val="0"/>
                <w:color w:val="auto"/>
                <w:sz w:val="21"/>
                <w:szCs w:val="21"/>
                <w:vertAlign w:val="superscript"/>
                <w:lang w:val="en-US" w:eastAsia="zh-CN"/>
              </w:rPr>
              <w:t>40</w:t>
            </w:r>
            <w:r>
              <w:rPr>
                <w:rFonts w:hint="eastAsia" w:ascii="Times New Roman" w:eastAsia="宋体" w:cs="Times New Roman"/>
                <w:caps w:val="0"/>
                <w:smallCaps w:val="0"/>
                <w:color w:val="auto"/>
                <w:sz w:val="21"/>
                <w:szCs w:val="21"/>
                <w:vertAlign w:val="baseline"/>
                <w:lang w:val="en-US" w:eastAsia="zh-CN"/>
              </w:rPr>
              <w:t>K</w:t>
            </w:r>
          </w:p>
        </w:tc>
        <w:tc>
          <w:tcPr>
            <w:tcW w:w="1501" w:type="pct"/>
            <w:tcBorders>
              <w:tl2br w:val="nil"/>
              <w:tr2bl w:val="nil"/>
            </w:tcBorders>
            <w:noWrap w:val="0"/>
            <w:vAlign w:val="center"/>
          </w:tcPr>
          <w:p w14:paraId="469B4D86">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高纯锗伽玛能谱仪</w:t>
            </w:r>
          </w:p>
        </w:tc>
        <w:tc>
          <w:tcPr>
            <w:tcW w:w="1467" w:type="pct"/>
            <w:tcBorders>
              <w:tl2br w:val="nil"/>
              <w:tr2bl w:val="nil"/>
            </w:tcBorders>
            <w:noWrap w:val="0"/>
            <w:vAlign w:val="center"/>
          </w:tcPr>
          <w:p w14:paraId="57D73407">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GEM-S8530-LB-C</w:t>
            </w:r>
          </w:p>
        </w:tc>
        <w:tc>
          <w:tcPr>
            <w:tcW w:w="689" w:type="pct"/>
            <w:tcBorders>
              <w:tl2br w:val="nil"/>
              <w:tr2bl w:val="nil"/>
            </w:tcBorders>
            <w:noWrap w:val="0"/>
            <w:vAlign w:val="center"/>
          </w:tcPr>
          <w:p w14:paraId="29CC6E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b w:val="0"/>
                <w:bCs w:val="0"/>
                <w:caps w:val="0"/>
                <w:smallCaps w:val="0"/>
                <w:color w:val="auto"/>
                <w:kern w:val="2"/>
                <w:sz w:val="21"/>
                <w:szCs w:val="21"/>
                <w:lang w:val="en-US" w:eastAsia="zh-CN" w:bidi="ar"/>
              </w:rPr>
              <w:t>25085912</w:t>
            </w:r>
          </w:p>
        </w:tc>
      </w:tr>
    </w:tbl>
    <w:p w14:paraId="62056110">
      <w:pPr>
        <w:pageBreakBefore w:val="0"/>
        <w:widowControl/>
        <w:wordWrap/>
        <w:topLinePunct w:val="0"/>
        <w:bidi w:val="0"/>
        <w:adjustRightInd w:val="0"/>
        <w:snapToGrid w:val="0"/>
        <w:ind w:left="0" w:leftChars="0" w:right="0" w:firstLine="480"/>
        <w:jc w:val="both"/>
        <w:rPr>
          <w:rFonts w:hint="default" w:ascii="Times New Roman" w:hAnsi="Times New Roman" w:eastAsia="宋体" w:cs="Times New Roman"/>
          <w:color w:val="auto"/>
          <w:kern w:val="0"/>
          <w:highlight w:val="none"/>
          <w:lang w:val="en-US" w:eastAsia="zh-CN" w:bidi="ar"/>
        </w:rPr>
      </w:pPr>
      <w:r>
        <w:rPr>
          <w:rFonts w:hint="eastAsia" w:ascii="Times New Roman" w:hAnsi="Times New Roman" w:eastAsia="宋体" w:cs="Times New Roman"/>
          <w:color w:val="auto"/>
          <w:kern w:val="0"/>
          <w:highlight w:val="none"/>
          <w:lang w:val="en-US" w:eastAsia="zh-CN" w:bidi="ar"/>
        </w:rPr>
        <w:t>3.监测与评价</w:t>
      </w:r>
    </w:p>
    <w:p w14:paraId="26CD69B5">
      <w:pPr>
        <w:spacing w:line="360" w:lineRule="auto"/>
        <w:ind w:firstLine="480" w:firstLineChars="200"/>
        <w:contextualSpacing/>
        <w:rPr>
          <w:rFonts w:hint="default"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本工程矿石、浸渣放射性检测结果见表</w:t>
      </w:r>
      <w:r>
        <w:rPr>
          <w:rFonts w:hint="eastAsia" w:eastAsia="宋体" w:cs="Times New Roman"/>
          <w:caps w:val="0"/>
          <w:smallCaps w:val="0"/>
          <w:color w:val="auto"/>
          <w:sz w:val="24"/>
          <w:lang w:val="en-US" w:eastAsia="zh-CN"/>
        </w:rPr>
        <w:t>4.2-1</w:t>
      </w:r>
      <w:r>
        <w:rPr>
          <w:rFonts w:hint="eastAsia" w:cs="Times New Roman"/>
          <w:caps w:val="0"/>
          <w:smallCaps w:val="0"/>
          <w:color w:val="auto"/>
          <w:sz w:val="24"/>
          <w:lang w:val="en-US" w:eastAsia="zh-CN"/>
        </w:rPr>
        <w:t>8</w:t>
      </w:r>
      <w:r>
        <w:rPr>
          <w:rFonts w:hint="eastAsia" w:ascii="Times New Roman" w:hAnsi="Times New Roman" w:eastAsia="宋体" w:cs="Times New Roman"/>
          <w:caps w:val="0"/>
          <w:smallCaps w:val="0"/>
          <w:color w:val="auto"/>
          <w:sz w:val="24"/>
          <w:lang w:val="en-US" w:eastAsia="zh-CN"/>
        </w:rPr>
        <w:t>。</w:t>
      </w:r>
    </w:p>
    <w:p w14:paraId="12DF2264">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z w:val="21"/>
          <w:szCs w:val="21"/>
          <w:lang w:val="en-US" w:eastAsia="zh-CN"/>
        </w:rPr>
      </w:pPr>
      <w:r>
        <w:rPr>
          <w:rFonts w:hint="eastAsia" w:ascii="Times New Roman" w:hAnsi="Times New Roman" w:eastAsia="宋体" w:cs="Times New Roman"/>
          <w:b/>
          <w:bCs/>
          <w:caps w:val="0"/>
          <w:smallCaps w:val="0"/>
          <w:color w:val="auto"/>
          <w:sz w:val="21"/>
          <w:szCs w:val="21"/>
          <w:lang w:eastAsia="zh-CN"/>
        </w:rPr>
        <w:t>表</w:t>
      </w:r>
      <w:r>
        <w:rPr>
          <w:rFonts w:hint="eastAsia" w:eastAsia="宋体" w:cs="Times New Roman"/>
          <w:b/>
          <w:bCs/>
          <w:caps w:val="0"/>
          <w:smallCaps w:val="0"/>
          <w:color w:val="auto"/>
          <w:sz w:val="21"/>
          <w:szCs w:val="21"/>
          <w:lang w:val="en-US" w:eastAsia="zh-CN"/>
        </w:rPr>
        <w:t>4.2-1</w:t>
      </w:r>
      <w:r>
        <w:rPr>
          <w:rFonts w:hint="eastAsia" w:cs="Times New Roman"/>
          <w:b/>
          <w:bCs/>
          <w:caps w:val="0"/>
          <w:smallCaps w:val="0"/>
          <w:color w:val="auto"/>
          <w:sz w:val="21"/>
          <w:szCs w:val="21"/>
          <w:lang w:val="en-US" w:eastAsia="zh-CN"/>
        </w:rPr>
        <w:t>8</w:t>
      </w:r>
      <w:r>
        <w:rPr>
          <w:rFonts w:hint="eastAsia" w:ascii="Times New Roman" w:hAnsi="Times New Roman" w:eastAsia="宋体" w:cs="Times New Roman"/>
          <w:b/>
          <w:bCs/>
          <w:caps w:val="0"/>
          <w:smallCaps w:val="0"/>
          <w:color w:val="auto"/>
          <w:sz w:val="21"/>
          <w:szCs w:val="21"/>
          <w:lang w:val="en-US" w:eastAsia="zh-CN"/>
        </w:rPr>
        <w:t xml:space="preserve">   监测结果    单位：B</w:t>
      </w:r>
      <w:r>
        <w:rPr>
          <w:rFonts w:hint="eastAsia" w:eastAsia="宋体" w:cs="Times New Roman"/>
          <w:b/>
          <w:bCs/>
          <w:caps w:val="0"/>
          <w:smallCaps w:val="0"/>
          <w:color w:val="auto"/>
          <w:sz w:val="21"/>
          <w:szCs w:val="21"/>
          <w:lang w:val="en-US" w:eastAsia="zh-CN"/>
        </w:rPr>
        <w:t>q</w:t>
      </w:r>
      <w:r>
        <w:rPr>
          <w:rFonts w:hint="eastAsia" w:ascii="Times New Roman" w:hAnsi="Times New Roman" w:eastAsia="宋体" w:cs="Times New Roman"/>
          <w:b/>
          <w:bCs/>
          <w:caps w:val="0"/>
          <w:smallCaps w:val="0"/>
          <w:color w:val="auto"/>
          <w:sz w:val="21"/>
          <w:szCs w:val="21"/>
          <w:lang w:val="en-US" w:eastAsia="zh-CN"/>
        </w:rPr>
        <w:t>/kg</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846"/>
        <w:gridCol w:w="1893"/>
        <w:gridCol w:w="1589"/>
        <w:gridCol w:w="1501"/>
        <w:gridCol w:w="1268"/>
      </w:tblGrid>
      <w:tr w14:paraId="046EC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3" w:type="pct"/>
            <w:vMerge w:val="restart"/>
            <w:tcBorders>
              <w:tl2br w:val="nil"/>
              <w:tr2bl w:val="nil"/>
            </w:tcBorders>
            <w:noWrap w:val="0"/>
            <w:vAlign w:val="center"/>
          </w:tcPr>
          <w:p w14:paraId="31C379CB">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eastAsia="zh-CN"/>
              </w:rPr>
            </w:pPr>
            <w:r>
              <w:rPr>
                <w:rFonts w:hint="default" w:ascii="Times New Roman" w:hAnsi="Times New Roman" w:eastAsia="宋体" w:cs="Times New Roman"/>
                <w:caps w:val="0"/>
                <w:smallCaps w:val="0"/>
                <w:color w:val="auto"/>
                <w:sz w:val="21"/>
                <w:szCs w:val="21"/>
                <w:vertAlign w:val="baseline"/>
                <w:lang w:eastAsia="zh-CN"/>
              </w:rPr>
              <w:t>序号</w:t>
            </w:r>
          </w:p>
        </w:tc>
        <w:tc>
          <w:tcPr>
            <w:tcW w:w="1032" w:type="pct"/>
            <w:vMerge w:val="restart"/>
            <w:tcBorders>
              <w:tl2br w:val="nil"/>
              <w:tr2bl w:val="nil"/>
            </w:tcBorders>
            <w:noWrap w:val="0"/>
            <w:vAlign w:val="center"/>
          </w:tcPr>
          <w:p w14:paraId="7FFD0707">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eastAsia="zh-CN"/>
              </w:rPr>
            </w:pPr>
            <w:r>
              <w:rPr>
                <w:rFonts w:hint="default" w:ascii="Times New Roman" w:hAnsi="Times New Roman" w:eastAsia="宋体" w:cs="Times New Roman"/>
                <w:caps w:val="0"/>
                <w:smallCaps w:val="0"/>
                <w:color w:val="auto"/>
                <w:sz w:val="21"/>
                <w:szCs w:val="21"/>
                <w:vertAlign w:val="baseline"/>
                <w:lang w:eastAsia="zh-CN"/>
              </w:rPr>
              <w:t>监测</w:t>
            </w:r>
            <w:r>
              <w:rPr>
                <w:rFonts w:hint="eastAsia" w:ascii="Times New Roman" w:hAnsi="Times New Roman" w:eastAsia="宋体" w:cs="Times New Roman"/>
                <w:caps w:val="0"/>
                <w:smallCaps w:val="0"/>
                <w:color w:val="auto"/>
                <w:sz w:val="21"/>
                <w:szCs w:val="21"/>
                <w:vertAlign w:val="baseline"/>
                <w:lang w:eastAsia="zh-CN"/>
              </w:rPr>
              <w:t>样品</w:t>
            </w:r>
          </w:p>
        </w:tc>
        <w:tc>
          <w:tcPr>
            <w:tcW w:w="3494" w:type="pct"/>
            <w:gridSpan w:val="4"/>
            <w:tcBorders>
              <w:tl2br w:val="nil"/>
              <w:tr2bl w:val="nil"/>
            </w:tcBorders>
            <w:noWrap w:val="0"/>
            <w:vAlign w:val="center"/>
          </w:tcPr>
          <w:p w14:paraId="68F88D2E">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eastAsia="zh-CN"/>
              </w:rPr>
            </w:pPr>
            <w:r>
              <w:rPr>
                <w:rFonts w:hint="eastAsia" w:ascii="Times New Roman" w:hAnsi="Times New Roman" w:eastAsia="宋体" w:cs="Times New Roman"/>
                <w:caps w:val="0"/>
                <w:smallCaps w:val="0"/>
                <w:color w:val="auto"/>
                <w:sz w:val="21"/>
                <w:szCs w:val="21"/>
                <w:vertAlign w:val="baseline"/>
                <w:lang w:eastAsia="zh-CN"/>
              </w:rPr>
              <w:t>监测项目</w:t>
            </w:r>
          </w:p>
        </w:tc>
      </w:tr>
      <w:tr w14:paraId="6D851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tcBorders>
              <w:tl2br w:val="nil"/>
              <w:tr2bl w:val="nil"/>
            </w:tcBorders>
            <w:noWrap w:val="0"/>
            <w:vAlign w:val="center"/>
          </w:tcPr>
          <w:p w14:paraId="56B3A322">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val="en-US" w:eastAsia="zh-CN"/>
              </w:rPr>
            </w:pPr>
          </w:p>
        </w:tc>
        <w:tc>
          <w:tcPr>
            <w:tcW w:w="1032" w:type="pct"/>
            <w:vMerge w:val="continue"/>
            <w:tcBorders>
              <w:tl2br w:val="nil"/>
              <w:tr2bl w:val="nil"/>
            </w:tcBorders>
            <w:noWrap w:val="0"/>
            <w:vAlign w:val="center"/>
          </w:tcPr>
          <w:p w14:paraId="2509147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eastAsia="zh-CN"/>
              </w:rPr>
            </w:pPr>
          </w:p>
        </w:tc>
        <w:tc>
          <w:tcPr>
            <w:tcW w:w="1058" w:type="pct"/>
            <w:tcBorders>
              <w:tl2br w:val="nil"/>
              <w:tr2bl w:val="nil"/>
            </w:tcBorders>
            <w:noWrap w:val="0"/>
            <w:vAlign w:val="center"/>
          </w:tcPr>
          <w:p w14:paraId="55CACAE6">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rPr>
            </w:pPr>
            <w:r>
              <w:rPr>
                <w:rFonts w:hint="eastAsia" w:ascii="Times New Roman" w:hAnsi="Times New Roman" w:eastAsia="宋体" w:cs="Times New Roman"/>
                <w:caps w:val="0"/>
                <w:smallCaps w:val="0"/>
                <w:color w:val="auto"/>
                <w:sz w:val="21"/>
                <w:szCs w:val="21"/>
                <w:vertAlign w:val="superscript"/>
                <w:lang w:val="en-US" w:eastAsia="zh-CN"/>
              </w:rPr>
              <w:t>232</w:t>
            </w:r>
            <w:r>
              <w:rPr>
                <w:rFonts w:hint="eastAsia" w:ascii="Times New Roman" w:hAnsi="Times New Roman" w:eastAsia="宋体" w:cs="Times New Roman"/>
                <w:caps w:val="0"/>
                <w:smallCaps w:val="0"/>
                <w:color w:val="auto"/>
                <w:sz w:val="21"/>
                <w:szCs w:val="21"/>
                <w:lang w:val="en-US" w:eastAsia="zh-CN"/>
              </w:rPr>
              <w:t>Th</w:t>
            </w:r>
          </w:p>
        </w:tc>
        <w:tc>
          <w:tcPr>
            <w:tcW w:w="888" w:type="pct"/>
            <w:tcBorders>
              <w:tl2br w:val="nil"/>
              <w:tr2bl w:val="nil"/>
            </w:tcBorders>
            <w:noWrap w:val="0"/>
            <w:vAlign w:val="center"/>
          </w:tcPr>
          <w:p w14:paraId="1367DFBF">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rPr>
            </w:pPr>
            <w:r>
              <w:rPr>
                <w:rFonts w:hint="eastAsia" w:ascii="Times New Roman" w:hAnsi="Times New Roman" w:eastAsia="宋体" w:cs="Times New Roman"/>
                <w:caps w:val="0"/>
                <w:smallCaps w:val="0"/>
                <w:color w:val="auto"/>
                <w:sz w:val="21"/>
                <w:szCs w:val="21"/>
                <w:vertAlign w:val="superscript"/>
                <w:lang w:val="en-US" w:eastAsia="zh-CN"/>
              </w:rPr>
              <w:t>238</w:t>
            </w:r>
            <w:r>
              <w:rPr>
                <w:rFonts w:hint="eastAsia" w:ascii="Times New Roman" w:hAnsi="Times New Roman" w:eastAsia="宋体" w:cs="Times New Roman"/>
                <w:caps w:val="0"/>
                <w:smallCaps w:val="0"/>
                <w:color w:val="auto"/>
                <w:sz w:val="21"/>
                <w:szCs w:val="21"/>
                <w:lang w:val="en-US" w:eastAsia="zh-CN"/>
              </w:rPr>
              <w:t>U</w:t>
            </w:r>
          </w:p>
        </w:tc>
        <w:tc>
          <w:tcPr>
            <w:tcW w:w="839" w:type="pct"/>
            <w:tcBorders>
              <w:tl2br w:val="nil"/>
              <w:tr2bl w:val="nil"/>
            </w:tcBorders>
            <w:noWrap w:val="0"/>
            <w:vAlign w:val="center"/>
          </w:tcPr>
          <w:p w14:paraId="641EA62E">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sz w:val="21"/>
                <w:szCs w:val="21"/>
                <w:vertAlign w:val="superscript"/>
                <w:lang w:val="en-US" w:eastAsia="zh-CN"/>
              </w:rPr>
            </w:pPr>
            <w:r>
              <w:rPr>
                <w:rFonts w:hint="eastAsia" w:ascii="Times New Roman" w:eastAsia="宋体" w:cs="Times New Roman"/>
                <w:caps w:val="0"/>
                <w:smallCaps w:val="0"/>
                <w:color w:val="auto"/>
                <w:sz w:val="21"/>
                <w:szCs w:val="21"/>
                <w:vertAlign w:val="superscript"/>
                <w:lang w:val="en-US" w:eastAsia="zh-CN"/>
              </w:rPr>
              <w:t>226</w:t>
            </w:r>
            <w:r>
              <w:rPr>
                <w:rFonts w:hint="eastAsia" w:ascii="Times New Roman" w:eastAsia="宋体" w:cs="Times New Roman"/>
                <w:caps w:val="0"/>
                <w:smallCaps w:val="0"/>
                <w:color w:val="auto"/>
                <w:sz w:val="21"/>
                <w:szCs w:val="21"/>
                <w:vertAlign w:val="baseline"/>
                <w:lang w:val="en-US" w:eastAsia="zh-CN"/>
              </w:rPr>
              <w:t>Ra</w:t>
            </w:r>
          </w:p>
        </w:tc>
        <w:tc>
          <w:tcPr>
            <w:tcW w:w="708" w:type="pct"/>
            <w:tcBorders>
              <w:tl2br w:val="nil"/>
              <w:tr2bl w:val="nil"/>
            </w:tcBorders>
            <w:noWrap w:val="0"/>
            <w:vAlign w:val="center"/>
          </w:tcPr>
          <w:p w14:paraId="1E96BB40">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sz w:val="21"/>
                <w:szCs w:val="21"/>
                <w:vertAlign w:val="superscript"/>
                <w:lang w:val="en-US" w:eastAsia="zh-CN"/>
              </w:rPr>
            </w:pPr>
            <w:r>
              <w:rPr>
                <w:rFonts w:hint="eastAsia" w:ascii="Times New Roman" w:eastAsia="宋体" w:cs="Times New Roman"/>
                <w:caps w:val="0"/>
                <w:smallCaps w:val="0"/>
                <w:color w:val="auto"/>
                <w:sz w:val="21"/>
                <w:szCs w:val="21"/>
                <w:vertAlign w:val="superscript"/>
                <w:lang w:val="en-US" w:eastAsia="zh-CN"/>
              </w:rPr>
              <w:t>40</w:t>
            </w:r>
            <w:r>
              <w:rPr>
                <w:rFonts w:hint="eastAsia" w:ascii="Times New Roman" w:eastAsia="宋体" w:cs="Times New Roman"/>
                <w:caps w:val="0"/>
                <w:smallCaps w:val="0"/>
                <w:color w:val="auto"/>
                <w:sz w:val="21"/>
                <w:szCs w:val="21"/>
                <w:vertAlign w:val="baseline"/>
                <w:lang w:val="en-US" w:eastAsia="zh-CN"/>
              </w:rPr>
              <w:t>K</w:t>
            </w:r>
          </w:p>
        </w:tc>
      </w:tr>
      <w:tr w14:paraId="69FE6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tcBorders>
              <w:tl2br w:val="nil"/>
              <w:tr2bl w:val="nil"/>
            </w:tcBorders>
            <w:noWrap w:val="0"/>
            <w:vAlign w:val="center"/>
          </w:tcPr>
          <w:p w14:paraId="18715584">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ascii="Times New Roman" w:hAnsi="Times New Roman" w:eastAsia="宋体" w:cs="Times New Roman"/>
                <w:caps w:val="0"/>
                <w:smallCaps w:val="0"/>
                <w:color w:val="auto"/>
                <w:sz w:val="21"/>
                <w:szCs w:val="21"/>
                <w:vertAlign w:val="baseline"/>
                <w:lang w:val="en-US" w:eastAsia="zh-CN"/>
              </w:rPr>
              <w:t>1</w:t>
            </w:r>
          </w:p>
        </w:tc>
        <w:tc>
          <w:tcPr>
            <w:tcW w:w="1032" w:type="pct"/>
            <w:tcBorders>
              <w:tl2br w:val="nil"/>
              <w:tr2bl w:val="nil"/>
            </w:tcBorders>
            <w:noWrap w:val="0"/>
            <w:vAlign w:val="center"/>
          </w:tcPr>
          <w:p w14:paraId="0C013E47">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rPr>
            </w:pPr>
            <w:r>
              <w:rPr>
                <w:rFonts w:hint="eastAsia" w:ascii="Times New Roman" w:hAnsi="Times New Roman" w:eastAsia="宋体" w:cs="Times New Roman"/>
                <w:caps w:val="0"/>
                <w:smallCaps w:val="0"/>
                <w:color w:val="auto"/>
                <w:sz w:val="21"/>
                <w:szCs w:val="21"/>
                <w:vertAlign w:val="baseline"/>
                <w:lang w:eastAsia="zh-CN"/>
              </w:rPr>
              <w:t>矿石</w:t>
            </w:r>
          </w:p>
        </w:tc>
        <w:tc>
          <w:tcPr>
            <w:tcW w:w="1058" w:type="pct"/>
            <w:tcBorders>
              <w:tl2br w:val="nil"/>
              <w:tr2bl w:val="nil"/>
            </w:tcBorders>
            <w:noWrap w:val="0"/>
            <w:vAlign w:val="center"/>
          </w:tcPr>
          <w:p w14:paraId="44170130">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11</w:t>
            </w:r>
          </w:p>
        </w:tc>
        <w:tc>
          <w:tcPr>
            <w:tcW w:w="888" w:type="pct"/>
            <w:tcBorders>
              <w:tl2br w:val="nil"/>
              <w:tr2bl w:val="nil"/>
            </w:tcBorders>
            <w:noWrap w:val="0"/>
            <w:vAlign w:val="center"/>
          </w:tcPr>
          <w:p w14:paraId="16FE5B57">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32.2</w:t>
            </w:r>
          </w:p>
        </w:tc>
        <w:tc>
          <w:tcPr>
            <w:tcW w:w="839" w:type="pct"/>
            <w:tcBorders>
              <w:tl2br w:val="nil"/>
              <w:tr2bl w:val="nil"/>
            </w:tcBorders>
            <w:noWrap w:val="0"/>
            <w:vAlign w:val="center"/>
          </w:tcPr>
          <w:p w14:paraId="06252C86">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27.8</w:t>
            </w:r>
          </w:p>
        </w:tc>
        <w:tc>
          <w:tcPr>
            <w:tcW w:w="708" w:type="pct"/>
            <w:tcBorders>
              <w:tl2br w:val="nil"/>
              <w:tr2bl w:val="nil"/>
            </w:tcBorders>
            <w:noWrap w:val="0"/>
            <w:vAlign w:val="center"/>
          </w:tcPr>
          <w:p w14:paraId="73264574">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173</w:t>
            </w:r>
          </w:p>
        </w:tc>
      </w:tr>
      <w:tr w14:paraId="19C49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tcBorders>
              <w:tl2br w:val="nil"/>
              <w:tr2bl w:val="nil"/>
            </w:tcBorders>
            <w:noWrap w:val="0"/>
            <w:vAlign w:val="center"/>
          </w:tcPr>
          <w:p w14:paraId="11C49CC0">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2</w:t>
            </w:r>
          </w:p>
        </w:tc>
        <w:tc>
          <w:tcPr>
            <w:tcW w:w="1032" w:type="pct"/>
            <w:tcBorders>
              <w:tl2br w:val="nil"/>
              <w:tr2bl w:val="nil"/>
            </w:tcBorders>
            <w:noWrap w:val="0"/>
            <w:vAlign w:val="center"/>
          </w:tcPr>
          <w:p w14:paraId="24AD0183">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z w:val="21"/>
                <w:szCs w:val="21"/>
                <w:vertAlign w:val="baseline"/>
                <w:lang w:eastAsia="zh-CN"/>
              </w:rPr>
            </w:pPr>
            <w:r>
              <w:rPr>
                <w:rFonts w:hint="eastAsia" w:ascii="Times New Roman" w:hAnsi="Times New Roman" w:eastAsia="宋体" w:cs="Times New Roman"/>
                <w:caps w:val="0"/>
                <w:smallCaps w:val="0"/>
                <w:color w:val="auto"/>
                <w:sz w:val="21"/>
                <w:szCs w:val="21"/>
                <w:vertAlign w:val="baseline"/>
                <w:lang w:eastAsia="zh-CN"/>
              </w:rPr>
              <w:t>堆浸渣</w:t>
            </w:r>
          </w:p>
        </w:tc>
        <w:tc>
          <w:tcPr>
            <w:tcW w:w="1058" w:type="pct"/>
            <w:tcBorders>
              <w:tl2br w:val="nil"/>
              <w:tr2bl w:val="nil"/>
            </w:tcBorders>
            <w:noWrap w:val="0"/>
            <w:vAlign w:val="center"/>
          </w:tcPr>
          <w:p w14:paraId="531E7FAF">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25.5</w:t>
            </w:r>
          </w:p>
        </w:tc>
        <w:tc>
          <w:tcPr>
            <w:tcW w:w="888" w:type="pct"/>
            <w:tcBorders>
              <w:tl2br w:val="nil"/>
              <w:tr2bl w:val="nil"/>
            </w:tcBorders>
            <w:noWrap w:val="0"/>
            <w:vAlign w:val="center"/>
          </w:tcPr>
          <w:p w14:paraId="5F7D1567">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35.5</w:t>
            </w:r>
          </w:p>
        </w:tc>
        <w:tc>
          <w:tcPr>
            <w:tcW w:w="839" w:type="pct"/>
            <w:tcBorders>
              <w:tl2br w:val="nil"/>
              <w:tr2bl w:val="nil"/>
            </w:tcBorders>
            <w:noWrap w:val="0"/>
            <w:vAlign w:val="center"/>
          </w:tcPr>
          <w:p w14:paraId="29F43F20">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28.6</w:t>
            </w:r>
          </w:p>
        </w:tc>
        <w:tc>
          <w:tcPr>
            <w:tcW w:w="708" w:type="pct"/>
            <w:tcBorders>
              <w:tl2br w:val="nil"/>
              <w:tr2bl w:val="nil"/>
            </w:tcBorders>
            <w:noWrap w:val="0"/>
            <w:vAlign w:val="center"/>
          </w:tcPr>
          <w:p w14:paraId="15423D82">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662</w:t>
            </w:r>
          </w:p>
        </w:tc>
      </w:tr>
    </w:tbl>
    <w:p w14:paraId="5F3B7D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default" w:ascii="Times New Roman" w:hAnsi="Times New Roman" w:eastAsia="宋体" w:cs="Times New Roman"/>
          <w:caps w:val="0"/>
          <w:smallCaps w:val="0"/>
          <w:color w:val="auto"/>
          <w:sz w:val="24"/>
          <w:lang w:val="en-US" w:eastAsia="zh-CN"/>
        </w:rPr>
      </w:pPr>
      <w:r>
        <w:rPr>
          <w:rFonts w:hint="default" w:ascii="Times New Roman" w:hAnsi="Times New Roman" w:eastAsia="宋体" w:cs="Times New Roman"/>
          <w:caps w:val="0"/>
          <w:smallCaps w:val="0"/>
          <w:color w:val="auto"/>
          <w:sz w:val="24"/>
          <w:lang w:val="en-US" w:eastAsia="zh-CN"/>
        </w:rPr>
        <w:t>由</w:t>
      </w:r>
      <w:r>
        <w:rPr>
          <w:rFonts w:hint="eastAsia" w:ascii="Times New Roman" w:hAnsi="Times New Roman" w:eastAsia="宋体" w:cs="Times New Roman"/>
          <w:caps w:val="0"/>
          <w:smallCaps w:val="0"/>
          <w:color w:val="auto"/>
          <w:sz w:val="24"/>
          <w:lang w:val="en-US" w:eastAsia="zh-CN"/>
        </w:rPr>
        <w:t>上表</w:t>
      </w:r>
      <w:r>
        <w:rPr>
          <w:rFonts w:hint="default" w:ascii="Times New Roman" w:hAnsi="Times New Roman" w:eastAsia="宋体" w:cs="Times New Roman"/>
          <w:caps w:val="0"/>
          <w:smallCaps w:val="0"/>
          <w:color w:val="auto"/>
          <w:sz w:val="24"/>
          <w:lang w:val="en-US" w:eastAsia="zh-CN"/>
        </w:rPr>
        <w:t>可知，</w:t>
      </w:r>
      <w:r>
        <w:rPr>
          <w:rFonts w:hint="eastAsia" w:ascii="Times New Roman" w:hAnsi="Times New Roman" w:eastAsia="宋体" w:cs="Times New Roman"/>
          <w:caps w:val="0"/>
          <w:smallCaps w:val="0"/>
          <w:color w:val="auto"/>
          <w:sz w:val="24"/>
          <w:szCs w:val="24"/>
          <w:lang w:val="en-US" w:eastAsia="zh-CN"/>
        </w:rPr>
        <w:t>矿石、</w:t>
      </w:r>
      <w:r>
        <w:rPr>
          <w:rFonts w:hint="eastAsia" w:eastAsia="宋体" w:cs="Times New Roman"/>
          <w:caps w:val="0"/>
          <w:smallCaps w:val="0"/>
          <w:color w:val="auto"/>
          <w:sz w:val="24"/>
          <w:szCs w:val="24"/>
          <w:lang w:val="en-US" w:eastAsia="zh-CN"/>
        </w:rPr>
        <w:t>浸出渣</w:t>
      </w:r>
      <w:r>
        <w:rPr>
          <w:rFonts w:hint="default" w:ascii="Times New Roman" w:hAnsi="Times New Roman" w:eastAsia="宋体" w:cs="Times New Roman"/>
          <w:caps w:val="0"/>
          <w:smallCaps w:val="0"/>
          <w:color w:val="auto"/>
          <w:sz w:val="24"/>
          <w:szCs w:val="24"/>
          <w:lang w:val="en-US" w:eastAsia="zh-CN"/>
        </w:rPr>
        <w:t>中铀（钍）系单个核素活度浓度</w:t>
      </w:r>
      <w:r>
        <w:rPr>
          <w:rFonts w:hint="eastAsia" w:ascii="Times New Roman" w:hAnsi="Times New Roman" w:eastAsia="宋体" w:cs="Times New Roman"/>
          <w:caps w:val="0"/>
          <w:smallCaps w:val="0"/>
          <w:color w:val="auto"/>
          <w:sz w:val="24"/>
          <w:szCs w:val="24"/>
          <w:lang w:val="en-US" w:eastAsia="zh-CN"/>
        </w:rPr>
        <w:t>均不</w:t>
      </w:r>
      <w:r>
        <w:rPr>
          <w:rFonts w:hint="default" w:ascii="Times New Roman" w:hAnsi="Times New Roman" w:eastAsia="宋体" w:cs="Times New Roman"/>
          <w:caps w:val="0"/>
          <w:smallCaps w:val="0"/>
          <w:color w:val="auto"/>
          <w:sz w:val="24"/>
          <w:szCs w:val="24"/>
          <w:lang w:val="en-US" w:eastAsia="zh-CN"/>
        </w:rPr>
        <w:t>超过1贝可/克（Bq/g）</w:t>
      </w:r>
      <w:r>
        <w:rPr>
          <w:rFonts w:hint="eastAsia" w:cs="Times New Roman"/>
          <w:caps w:val="0"/>
          <w:smallCaps w:val="0"/>
          <w:color w:val="auto"/>
          <w:sz w:val="24"/>
          <w:szCs w:val="24"/>
          <w:lang w:val="en-US" w:eastAsia="zh-CN"/>
        </w:rPr>
        <w:t>，根据关于发布《矿产资源开发利用辐射环境监督管理名录》的公告中要求，不需要编制辐射环境影响评价专篇。</w:t>
      </w:r>
    </w:p>
    <w:p w14:paraId="246BF596">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68" w:name="_Toc494"/>
      <w:r>
        <w:rPr>
          <w:rFonts w:hint="default" w:ascii="Times New Roman" w:hAnsi="Times New Roman" w:eastAsia="宋体" w:cs="Times New Roman"/>
          <w:color w:val="auto"/>
          <w:highlight w:val="none"/>
        </w:rPr>
        <w:t>4.3 区域污染源调查</w:t>
      </w:r>
      <w:bookmarkEnd w:id="167"/>
      <w:bookmarkEnd w:id="168"/>
    </w:p>
    <w:p w14:paraId="39881464">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《环境影响评价技术导则</w:t>
      </w:r>
      <w:r>
        <w:rPr>
          <w:rFonts w:hint="eastAsia" w:cs="Times New Roman"/>
          <w:color w:val="auto"/>
          <w:kern w:val="0"/>
          <w:highlight w:val="none"/>
          <w:lang w:val="en-US" w:eastAsia="zh-CN" w:bidi="ar"/>
        </w:rPr>
        <w:t xml:space="preserve"> </w:t>
      </w:r>
      <w:r>
        <w:rPr>
          <w:rFonts w:hint="default" w:ascii="Times New Roman" w:hAnsi="Times New Roman" w:cs="Times New Roman"/>
          <w:color w:val="auto"/>
          <w:kern w:val="0"/>
          <w:highlight w:val="none"/>
          <w:lang w:bidi="ar"/>
        </w:rPr>
        <w:t>大气环境》（HJ2.2-2018）7.1规定：“一级评价项目应调查本项目所有拟被替代的污染源（若有），包括被替代污染源名称、位置、排放污染物及排放量、被替代时间等；调查评价范围内与评价项目排放污染物有关的其他在建项目、已批复环境影响评价文件的拟建项目等污染源”。</w:t>
      </w:r>
    </w:p>
    <w:p w14:paraId="3184CCA0">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本项目属于</w:t>
      </w:r>
      <w:r>
        <w:rPr>
          <w:rFonts w:hint="eastAsia" w:cs="Times New Roman"/>
          <w:color w:val="auto"/>
          <w:kern w:val="0"/>
          <w:highlight w:val="none"/>
          <w:lang w:val="en-US" w:eastAsia="zh-CN" w:bidi="ar"/>
        </w:rPr>
        <w:t>技改</w:t>
      </w:r>
      <w:r>
        <w:rPr>
          <w:rFonts w:hint="default" w:ascii="Times New Roman" w:hAnsi="Times New Roman" w:cs="Times New Roman"/>
          <w:color w:val="auto"/>
          <w:kern w:val="0"/>
          <w:highlight w:val="none"/>
          <w:lang w:bidi="ar"/>
        </w:rPr>
        <w:t>项目，</w:t>
      </w:r>
      <w:r>
        <w:rPr>
          <w:rFonts w:hint="eastAsia" w:cs="Times New Roman"/>
          <w:color w:val="auto"/>
          <w:kern w:val="0"/>
          <w:highlight w:val="none"/>
          <w:lang w:val="en-US" w:eastAsia="zh-CN" w:bidi="ar"/>
        </w:rPr>
        <w:t>原</w:t>
      </w:r>
      <w:r>
        <w:rPr>
          <w:rFonts w:hint="default" w:ascii="Times New Roman" w:hAnsi="Times New Roman" w:cs="Times New Roman"/>
          <w:color w:val="auto"/>
          <w:kern w:val="0"/>
          <w:highlight w:val="none"/>
          <w:lang w:bidi="ar"/>
        </w:rPr>
        <w:t>有</w:t>
      </w:r>
      <w:r>
        <w:rPr>
          <w:rFonts w:hint="eastAsia" w:cs="Times New Roman"/>
          <w:color w:val="auto"/>
          <w:kern w:val="0"/>
          <w:highlight w:val="none"/>
          <w:lang w:val="en-US" w:eastAsia="zh-CN" w:bidi="ar"/>
        </w:rPr>
        <w:t>项目于2019年停产至今未生产</w:t>
      </w:r>
      <w:r>
        <w:rPr>
          <w:rFonts w:hint="default" w:ascii="Times New Roman" w:hAnsi="Times New Roman" w:cs="Times New Roman"/>
          <w:color w:val="auto"/>
          <w:kern w:val="0"/>
          <w:highlight w:val="none"/>
          <w:lang w:bidi="ar"/>
        </w:rPr>
        <w:t>；根据现场踏勘可知，项目区各环境要素评价范围内无在建、拟建项目，故本次不对评价范围内在建项目、拟建项目的污染源进行调查。</w:t>
      </w:r>
    </w:p>
    <w:p w14:paraId="69868313">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lang w:bidi="ar"/>
        </w:rPr>
      </w:pPr>
    </w:p>
    <w:p w14:paraId="1CE664F2">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sectPr>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6646C742">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69" w:name="_Toc9195"/>
      <w:bookmarkStart w:id="170" w:name="_Toc8483"/>
      <w:r>
        <w:rPr>
          <w:rFonts w:hint="default" w:ascii="Times New Roman" w:hAnsi="Times New Roman" w:eastAsia="宋体" w:cs="Times New Roman"/>
          <w:color w:val="auto"/>
          <w:highlight w:val="none"/>
        </w:rPr>
        <w:t>5  环境影响预测及评价</w:t>
      </w:r>
      <w:bookmarkEnd w:id="169"/>
      <w:bookmarkEnd w:id="170"/>
    </w:p>
    <w:p w14:paraId="1276BA66">
      <w:pPr>
        <w:pStyle w:val="3"/>
        <w:pageBreakBefore w:val="0"/>
        <w:widowControl w:val="0"/>
        <w:kinsoku/>
        <w:wordWrap/>
        <w:overflowPunct/>
        <w:topLinePunct w:val="0"/>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171" w:name="_Toc32301"/>
      <w:bookmarkStart w:id="172" w:name="_Toc22231"/>
      <w:r>
        <w:rPr>
          <w:rFonts w:hint="default" w:ascii="Times New Roman" w:hAnsi="Times New Roman" w:eastAsia="宋体" w:cs="Times New Roman"/>
          <w:color w:val="auto"/>
          <w:highlight w:val="none"/>
        </w:rPr>
        <w:t>5.1 施工期环境影响评价</w:t>
      </w:r>
      <w:bookmarkEnd w:id="171"/>
      <w:bookmarkEnd w:id="172"/>
    </w:p>
    <w:p w14:paraId="77758D76">
      <w:pPr>
        <w:pStyle w:val="4"/>
        <w:pageBreakBefore w:val="0"/>
        <w:widowControl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5.1.1 施工期大气环境影响分析</w:t>
      </w:r>
    </w:p>
    <w:p w14:paraId="0AF76E8B">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扬尘是项目施工期间影响环境空气的主要污染物，来源于多项粉尘无组织源：建筑场地的平整清理，土方挖掘填埋，物料堆存，建筑材料的装卸、搬运、使用，以及运料车辆的出入等，都易产生扬尘污染。</w:t>
      </w:r>
    </w:p>
    <w:p w14:paraId="42E01FF7">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在施工运输中，由于开挖土方后，致使大片土地裸露和土方堆放，建筑材料装卸以及运输车辆产生粉尘，这些粉尘随风扩散和飘动，造成施工扬尘。</w:t>
      </w:r>
    </w:p>
    <w:p w14:paraId="3064A94D">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施工扬尘是施工活动的一个重要污染源，是人们十分关注的问题。施工扬尘的大小随施工季节、施工管理等不同差别甚大，影响范围可达150～300m。</w:t>
      </w:r>
    </w:p>
    <w:p w14:paraId="173EA57B">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通过类比调查，在一般气象条件下，平均风速为2.6m/s时，施工扬尘污染有如下结果：建筑工地内TSP浓度为上风向对照点的1.5～2.3倍。建筑工地扬尘影响地下风向150m处，被影响地区TSP平均浓度为0.49mg/Nm</w:t>
      </w:r>
      <w:r>
        <w:rPr>
          <w:rFonts w:hint="default" w:ascii="Times New Roman" w:hAnsi="Times New Roman" w:cs="Times New Roman"/>
          <w:color w:val="auto"/>
          <w:kern w:val="0"/>
          <w:highlight w:val="none"/>
          <w:vertAlign w:val="superscript"/>
        </w:rPr>
        <w:t>3</w:t>
      </w:r>
      <w:r>
        <w:rPr>
          <w:rFonts w:hint="default" w:ascii="Times New Roman" w:hAnsi="Times New Roman" w:cs="Times New Roman"/>
          <w:color w:val="auto"/>
          <w:kern w:val="0"/>
          <w:highlight w:val="none"/>
        </w:rPr>
        <w:t>左右，相当于大气环境质量标准的1.6倍。围栏对减少施工扬尘污染有一定作用，风速为0.5m/s时，可使影响距离缩短40%左右。</w:t>
      </w:r>
    </w:p>
    <w:p w14:paraId="698DFADF">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eastAsia" w:cs="Times New Roman"/>
          <w:color w:val="auto"/>
          <w:kern w:val="0"/>
          <w:highlight w:val="none"/>
          <w:lang w:val="en-US" w:eastAsia="zh-CN"/>
        </w:rPr>
        <w:t>本项目</w:t>
      </w:r>
      <w:r>
        <w:rPr>
          <w:rFonts w:hint="default" w:ascii="Times New Roman" w:hAnsi="Times New Roman" w:cs="Times New Roman"/>
          <w:color w:val="auto"/>
          <w:kern w:val="0"/>
          <w:highlight w:val="none"/>
        </w:rPr>
        <w:t>施工期对大气的影响主要是施工和运输产生的粉尘和二次扬尘。</w:t>
      </w:r>
    </w:p>
    <w:p w14:paraId="23FE94D9">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施工过程中大量的挖土堆置施工场地。工程所在区域风速较大，且堆置的土较为疏松，容易引起扬尘，给周围大气环境带来较大影响。</w:t>
      </w:r>
    </w:p>
    <w:p w14:paraId="0B7ED898">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施工运输车辆在道路上行驶会引起扬尘，运送黏性土料的车辆如不遮盖也会产生扬尘。</w:t>
      </w:r>
    </w:p>
    <w:p w14:paraId="017C9664">
      <w:pPr>
        <w:pStyle w:val="4"/>
        <w:pageBreakBefore w:val="0"/>
        <w:widowControl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5.1.2 施工期废水环境影响分析</w:t>
      </w:r>
    </w:p>
    <w:p w14:paraId="1F266416">
      <w:pPr>
        <w:pageBreakBefore w:val="0"/>
        <w:widowControl w:val="0"/>
        <w:kinsoku/>
        <w:wordWrap/>
        <w:overflowPunct/>
        <w:topLinePunct w:val="0"/>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施工期污废水主要包括施工废水和施工人员生活污水。</w:t>
      </w:r>
    </w:p>
    <w:p w14:paraId="70575B2B">
      <w:pPr>
        <w:pageBreakBefore w:val="0"/>
        <w:widowControl w:val="0"/>
        <w:kinsoku/>
        <w:wordWrap/>
        <w:overflowPunct/>
        <w:topLinePunct w:val="0"/>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施工废水主要来自混凝土养护废水。混凝土养护水全部蒸发损耗，不外排。</w:t>
      </w:r>
    </w:p>
    <w:p w14:paraId="5D1418F8">
      <w:pPr>
        <w:pageBreakBefore w:val="0"/>
        <w:widowControl w:val="0"/>
        <w:kinsoku/>
        <w:wordWrap/>
        <w:overflowPunct/>
        <w:topLinePunct w:val="0"/>
        <w:autoSpaceDE w:val="0"/>
        <w:autoSpaceDN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本项目施工期间不在厂区设置施工营地，施工期间产生的少量的生活污水依托现有生活污水化粪池收集，收集后定期拉运清掏。</w:t>
      </w:r>
    </w:p>
    <w:p w14:paraId="7A96B27A">
      <w:pPr>
        <w:pStyle w:val="4"/>
        <w:pageBreakBefore w:val="0"/>
        <w:widowControl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5.1.3 施工期噪声环境影响分析</w:t>
      </w:r>
    </w:p>
    <w:p w14:paraId="01D3B901">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拟建项目施工期会对周围产生噪声影响。由于拟建工程地址位于规划的</w:t>
      </w:r>
      <w:r>
        <w:rPr>
          <w:rFonts w:hint="eastAsia" w:cs="Times New Roman"/>
          <w:color w:val="auto"/>
          <w:kern w:val="0"/>
          <w:highlight w:val="none"/>
          <w:lang w:val="en-US" w:eastAsia="zh-CN"/>
        </w:rPr>
        <w:t>矿产业加工</w:t>
      </w:r>
      <w:r>
        <w:rPr>
          <w:rFonts w:hint="default" w:ascii="Times New Roman" w:hAnsi="Times New Roman" w:cs="Times New Roman"/>
          <w:color w:val="auto"/>
          <w:kern w:val="0"/>
          <w:highlight w:val="none"/>
        </w:rPr>
        <w:t>区内，距离人群较远。因此，施工期产生的机械噪声对居民的日常生活不产生影响。</w:t>
      </w:r>
    </w:p>
    <w:p w14:paraId="6DC403E3">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施工中的噪声主要来源于施工机械设备，大多为不连续性噪声。施工中的主要设备噪声见下表。</w:t>
      </w:r>
    </w:p>
    <w:p w14:paraId="34C12D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表5.1-1  施工期主要设备噪声源强</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8"/>
        <w:gridCol w:w="3006"/>
        <w:gridCol w:w="3236"/>
        <w:gridCol w:w="1403"/>
      </w:tblGrid>
      <w:tr w14:paraId="799EB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3B3CA6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1680" w:type="pct"/>
            <w:tcBorders>
              <w:tl2br w:val="nil"/>
              <w:tr2bl w:val="nil"/>
            </w:tcBorders>
            <w:vAlign w:val="center"/>
          </w:tcPr>
          <w:p w14:paraId="22ED5F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设备名称</w:t>
            </w:r>
          </w:p>
        </w:tc>
        <w:tc>
          <w:tcPr>
            <w:tcW w:w="1809" w:type="pct"/>
            <w:tcBorders>
              <w:tl2br w:val="nil"/>
              <w:tr2bl w:val="nil"/>
            </w:tcBorders>
            <w:vAlign w:val="center"/>
          </w:tcPr>
          <w:p w14:paraId="0DD408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源强[dB（A）]</w:t>
            </w:r>
          </w:p>
        </w:tc>
        <w:tc>
          <w:tcPr>
            <w:tcW w:w="784" w:type="pct"/>
            <w:tcBorders>
              <w:tl2br w:val="nil"/>
              <w:tr2bl w:val="nil"/>
            </w:tcBorders>
            <w:vAlign w:val="center"/>
          </w:tcPr>
          <w:p w14:paraId="1AA9C5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备注</w:t>
            </w:r>
          </w:p>
        </w:tc>
      </w:tr>
      <w:tr w14:paraId="72A592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7888C6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680" w:type="pct"/>
            <w:tcBorders>
              <w:tl2br w:val="nil"/>
              <w:tr2bl w:val="nil"/>
            </w:tcBorders>
            <w:vAlign w:val="center"/>
          </w:tcPr>
          <w:p w14:paraId="47C67C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汽车吊</w:t>
            </w:r>
          </w:p>
        </w:tc>
        <w:tc>
          <w:tcPr>
            <w:tcW w:w="1809" w:type="pct"/>
            <w:tcBorders>
              <w:tl2br w:val="nil"/>
              <w:tr2bl w:val="nil"/>
            </w:tcBorders>
            <w:vAlign w:val="center"/>
          </w:tcPr>
          <w:p w14:paraId="44F5EE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6777C4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rPr>
              <w:t>m处</w:t>
            </w:r>
          </w:p>
        </w:tc>
      </w:tr>
      <w:tr w14:paraId="133F35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3BB0F3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1680" w:type="pct"/>
            <w:tcBorders>
              <w:tl2br w:val="nil"/>
              <w:tr2bl w:val="nil"/>
            </w:tcBorders>
            <w:vAlign w:val="center"/>
          </w:tcPr>
          <w:p w14:paraId="24A102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翻斗车</w:t>
            </w:r>
          </w:p>
        </w:tc>
        <w:tc>
          <w:tcPr>
            <w:tcW w:w="1809" w:type="pct"/>
            <w:tcBorders>
              <w:tl2br w:val="nil"/>
              <w:tr2bl w:val="nil"/>
            </w:tcBorders>
            <w:vAlign w:val="center"/>
          </w:tcPr>
          <w:p w14:paraId="425CBD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86</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293B7B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50C15B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66CD51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1680" w:type="pct"/>
            <w:tcBorders>
              <w:tl2br w:val="nil"/>
              <w:tr2bl w:val="nil"/>
            </w:tcBorders>
            <w:vAlign w:val="center"/>
          </w:tcPr>
          <w:p w14:paraId="778683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推土机</w:t>
            </w:r>
          </w:p>
        </w:tc>
        <w:tc>
          <w:tcPr>
            <w:tcW w:w="1809" w:type="pct"/>
            <w:tcBorders>
              <w:tl2br w:val="nil"/>
              <w:tr2bl w:val="nil"/>
            </w:tcBorders>
            <w:vAlign w:val="center"/>
          </w:tcPr>
          <w:p w14:paraId="63740E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82</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61ECD1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6E45E2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5516CB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1680" w:type="pct"/>
            <w:tcBorders>
              <w:tl2br w:val="nil"/>
              <w:tr2bl w:val="nil"/>
            </w:tcBorders>
            <w:vAlign w:val="center"/>
          </w:tcPr>
          <w:p w14:paraId="304175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挖掘机</w:t>
            </w:r>
          </w:p>
        </w:tc>
        <w:tc>
          <w:tcPr>
            <w:tcW w:w="1809" w:type="pct"/>
            <w:tcBorders>
              <w:tl2br w:val="nil"/>
              <w:tr2bl w:val="nil"/>
            </w:tcBorders>
            <w:vAlign w:val="center"/>
          </w:tcPr>
          <w:p w14:paraId="65E199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82</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49C8C0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5DE556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3A7C36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680" w:type="pct"/>
            <w:tcBorders>
              <w:tl2br w:val="nil"/>
              <w:tr2bl w:val="nil"/>
            </w:tcBorders>
            <w:vAlign w:val="center"/>
          </w:tcPr>
          <w:p w14:paraId="22F916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电焊机</w:t>
            </w:r>
          </w:p>
        </w:tc>
        <w:tc>
          <w:tcPr>
            <w:tcW w:w="1809" w:type="pct"/>
            <w:tcBorders>
              <w:tl2br w:val="nil"/>
              <w:tr2bl w:val="nil"/>
            </w:tcBorders>
            <w:vAlign w:val="center"/>
          </w:tcPr>
          <w:p w14:paraId="7890E7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0B5A9B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6DCE4F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11E4CC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c>
          <w:tcPr>
            <w:tcW w:w="1680" w:type="pct"/>
            <w:tcBorders>
              <w:tl2br w:val="nil"/>
              <w:tr2bl w:val="nil"/>
            </w:tcBorders>
            <w:vAlign w:val="center"/>
          </w:tcPr>
          <w:p w14:paraId="3F9200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混凝土振捣棒</w:t>
            </w:r>
          </w:p>
        </w:tc>
        <w:tc>
          <w:tcPr>
            <w:tcW w:w="1809" w:type="pct"/>
            <w:tcBorders>
              <w:tl2br w:val="nil"/>
              <w:tr2bl w:val="nil"/>
            </w:tcBorders>
            <w:vAlign w:val="center"/>
          </w:tcPr>
          <w:p w14:paraId="4E5244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w:t>
            </w:r>
          </w:p>
        </w:tc>
        <w:tc>
          <w:tcPr>
            <w:tcW w:w="784" w:type="pct"/>
            <w:tcBorders>
              <w:tl2br w:val="nil"/>
              <w:tr2bl w:val="nil"/>
            </w:tcBorders>
            <w:vAlign w:val="center"/>
          </w:tcPr>
          <w:p w14:paraId="0CEA14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34D20E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56DCCB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w:t>
            </w:r>
          </w:p>
        </w:tc>
        <w:tc>
          <w:tcPr>
            <w:tcW w:w="1680" w:type="pct"/>
            <w:tcBorders>
              <w:tl2br w:val="nil"/>
              <w:tr2bl w:val="nil"/>
            </w:tcBorders>
            <w:vAlign w:val="center"/>
          </w:tcPr>
          <w:p w14:paraId="58A904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木工机械</w:t>
            </w:r>
          </w:p>
        </w:tc>
        <w:tc>
          <w:tcPr>
            <w:tcW w:w="1809" w:type="pct"/>
            <w:tcBorders>
              <w:tl2br w:val="nil"/>
              <w:tr2bl w:val="nil"/>
            </w:tcBorders>
            <w:vAlign w:val="center"/>
          </w:tcPr>
          <w:p w14:paraId="4DF3FB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110</w:t>
            </w:r>
          </w:p>
        </w:tc>
        <w:tc>
          <w:tcPr>
            <w:tcW w:w="784" w:type="pct"/>
            <w:tcBorders>
              <w:tl2br w:val="nil"/>
              <w:tr2bl w:val="nil"/>
            </w:tcBorders>
            <w:vAlign w:val="center"/>
          </w:tcPr>
          <w:p w14:paraId="23A232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6E5056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674E43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w:t>
            </w:r>
          </w:p>
        </w:tc>
        <w:tc>
          <w:tcPr>
            <w:tcW w:w="1680" w:type="pct"/>
            <w:tcBorders>
              <w:tl2br w:val="nil"/>
              <w:tr2bl w:val="nil"/>
            </w:tcBorders>
            <w:vAlign w:val="center"/>
          </w:tcPr>
          <w:p w14:paraId="628479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载重车</w:t>
            </w:r>
          </w:p>
        </w:tc>
        <w:tc>
          <w:tcPr>
            <w:tcW w:w="1809" w:type="pct"/>
            <w:tcBorders>
              <w:tl2br w:val="nil"/>
              <w:tr2bl w:val="nil"/>
            </w:tcBorders>
            <w:vAlign w:val="center"/>
          </w:tcPr>
          <w:p w14:paraId="60B64E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89</w:t>
            </w:r>
          </w:p>
        </w:tc>
        <w:tc>
          <w:tcPr>
            <w:tcW w:w="784" w:type="pct"/>
            <w:tcBorders>
              <w:tl2br w:val="nil"/>
              <w:tr2bl w:val="nil"/>
            </w:tcBorders>
            <w:vAlign w:val="center"/>
          </w:tcPr>
          <w:p w14:paraId="56EEC5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bl>
    <w:p w14:paraId="6186EEA4">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由上表可以看出，施工设备属强噪声源，且位于室外，无有效的控制措施。</w:t>
      </w:r>
    </w:p>
    <w:p w14:paraId="70777560">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施工期各种噪声源多为点源，按点声源衰减模式计算施工机械噪声的距离，计算公式为：</w:t>
      </w:r>
    </w:p>
    <w:p w14:paraId="6C0E6534">
      <w:pPr>
        <w:pageBreakBefore w:val="0"/>
        <w:wordWrap/>
        <w:topLinePunct w:val="0"/>
        <w:bidi w:val="0"/>
        <w:adjustRightInd w:val="0"/>
        <w:snapToGrid w:val="0"/>
        <w:ind w:left="0" w:leftChars="0" w:right="0" w:firstLine="480"/>
        <w:contextualSpacing/>
        <w:jc w:val="center"/>
        <w:rPr>
          <w:rFonts w:hint="default" w:ascii="Times New Roman" w:hAnsi="Times New Roman" w:cs="Times New Roman"/>
          <w:color w:val="auto"/>
          <w:kern w:val="0"/>
          <w:highlight w:val="none"/>
        </w:rPr>
      </w:pPr>
      <m:oMathPara>
        <m:oMath>
          <m:sSub>
            <m:sSubPr>
              <m:ctrlPr>
                <w:rPr>
                  <w:rFonts w:hint="default" w:ascii="Cambria Math" w:hAnsi="Cambria Math" w:cs="Times New Roman"/>
                  <w:color w:val="auto"/>
                  <w:kern w:val="0"/>
                  <w:highlight w:val="none"/>
                </w:rPr>
              </m:ctrlPr>
            </m:sSubPr>
            <m:e>
              <m:r>
                <m:rPr>
                  <m:nor/>
                </m:rPr>
                <w:rPr>
                  <w:rFonts w:hint="default" w:ascii="Times New Roman" w:hAnsi="Times New Roman" w:cs="Times New Roman"/>
                  <w:i/>
                  <w:color w:val="auto"/>
                  <w:kern w:val="0"/>
                  <w:highlight w:val="none"/>
                </w:rPr>
                <m:t>L</m:t>
              </m:r>
              <m:ctrlPr>
                <w:rPr>
                  <w:rFonts w:hint="default" w:ascii="Cambria Math" w:hAnsi="Cambria Math" w:cs="Times New Roman"/>
                  <w:color w:val="auto"/>
                  <w:kern w:val="0"/>
                  <w:highlight w:val="none"/>
                </w:rPr>
              </m:ctrlPr>
            </m:e>
            <m:sub>
              <m:r>
                <m:rPr>
                  <m:nor/>
                  <m:sty m:val="p"/>
                </m:rPr>
                <w:rPr>
                  <w:rFonts w:hint="default" w:ascii="Times New Roman" w:hAnsi="Times New Roman" w:cs="Times New Roman"/>
                  <w:b w:val="0"/>
                  <w:i w:val="0"/>
                  <w:color w:val="auto"/>
                  <w:kern w:val="0"/>
                  <w:highlight w:val="none"/>
                </w:rPr>
                <m:t>2</m:t>
              </m:r>
              <m:ctrlPr>
                <w:rPr>
                  <w:rFonts w:hint="default" w:ascii="Cambria Math" w:hAnsi="Cambria Math" w:cs="Times New Roman"/>
                  <w:color w:val="auto"/>
                  <w:kern w:val="0"/>
                  <w:highlight w:val="none"/>
                </w:rPr>
              </m:ctrlPr>
            </m:sub>
          </m:sSub>
          <m:r>
            <m:rPr>
              <m:nor/>
              <m:sty m:val="p"/>
            </m:rPr>
            <w:rPr>
              <w:rFonts w:hint="default" w:ascii="Times New Roman" w:hAnsi="Times New Roman" w:cs="Times New Roman"/>
              <w:b w:val="0"/>
              <w:i w:val="0"/>
              <w:color w:val="auto"/>
              <w:kern w:val="0"/>
              <w:highlight w:val="none"/>
            </w:rPr>
            <m:t>=</m:t>
          </m:r>
          <m:sSub>
            <m:sSubPr>
              <m:ctrlPr>
                <w:rPr>
                  <w:rFonts w:hint="default" w:ascii="Cambria Math" w:hAnsi="Cambria Math" w:cs="Times New Roman"/>
                  <w:i/>
                  <w:color w:val="auto"/>
                  <w:kern w:val="0"/>
                  <w:highlight w:val="none"/>
                </w:rPr>
              </m:ctrlPr>
            </m:sSubPr>
            <m:e>
              <m:r>
                <m:rPr>
                  <m:nor/>
                </m:rPr>
                <w:rPr>
                  <w:rFonts w:hint="default" w:ascii="Times New Roman" w:hAnsi="Times New Roman" w:cs="Times New Roman"/>
                  <w:i/>
                  <w:color w:val="auto"/>
                  <w:kern w:val="0"/>
                  <w:highlight w:val="none"/>
                </w:rPr>
                <m:t>L</m:t>
              </m:r>
              <m:ctrlPr>
                <w:rPr>
                  <w:rFonts w:hint="default" w:ascii="Cambria Math" w:hAnsi="Cambria Math" w:cs="Times New Roman"/>
                  <w:i/>
                  <w:color w:val="auto"/>
                  <w:kern w:val="0"/>
                  <w:highlight w:val="none"/>
                </w:rPr>
              </m:ctrlPr>
            </m:e>
            <m:sub>
              <m:r>
                <m:rPr>
                  <m:nor/>
                  <m:sty m:val="p"/>
                </m:rPr>
                <w:rPr>
                  <w:rFonts w:hint="default" w:ascii="Times New Roman" w:hAnsi="Times New Roman" w:cs="Times New Roman"/>
                  <w:b w:val="0"/>
                  <w:i w:val="0"/>
                  <w:color w:val="auto"/>
                  <w:kern w:val="0"/>
                  <w:highlight w:val="none"/>
                </w:rPr>
                <m:t>1</m:t>
              </m:r>
              <m:ctrlPr>
                <w:rPr>
                  <w:rFonts w:hint="default" w:ascii="Cambria Math" w:hAnsi="Cambria Math" w:cs="Times New Roman"/>
                  <w:i/>
                  <w:color w:val="auto"/>
                  <w:kern w:val="0"/>
                  <w:highlight w:val="none"/>
                </w:rPr>
              </m:ctrlPr>
            </m:sub>
          </m:sSub>
          <m:r>
            <m:rPr>
              <m:nor/>
              <m:sty m:val="p"/>
            </m:rPr>
            <w:rPr>
              <w:rFonts w:hint="default" w:ascii="Times New Roman" w:hAnsi="Times New Roman" w:cs="Times New Roman"/>
              <w:b w:val="0"/>
              <w:i w:val="0"/>
              <w:color w:val="auto"/>
              <w:kern w:val="0"/>
              <w:highlight w:val="none"/>
            </w:rPr>
            <m:t>−20</m:t>
          </m:r>
          <m:func>
            <m:funcPr>
              <m:ctrlPr>
                <w:rPr>
                  <w:rFonts w:hint="default" w:ascii="Cambria Math" w:hAnsi="Cambria Math" w:cs="Times New Roman"/>
                  <w:color w:val="auto"/>
                  <w:kern w:val="0"/>
                  <w:highlight w:val="none"/>
                </w:rPr>
              </m:ctrlPr>
            </m:funcPr>
            <m:fName>
              <m:r>
                <m:rPr>
                  <m:nor/>
                  <m:sty m:val="p"/>
                </m:rPr>
                <w:rPr>
                  <w:rFonts w:hint="default" w:ascii="Times New Roman" w:hAnsi="Times New Roman" w:cs="Times New Roman"/>
                  <w:b w:val="0"/>
                  <w:i w:val="0"/>
                  <w:color w:val="auto"/>
                  <w:kern w:val="0"/>
                  <w:highlight w:val="none"/>
                </w:rPr>
                <m:t>lg</m:t>
              </m:r>
              <m:ctrlPr>
                <w:rPr>
                  <w:rFonts w:hint="default" w:ascii="Cambria Math" w:hAnsi="Cambria Math" w:cs="Times New Roman"/>
                  <w:color w:val="auto"/>
                  <w:kern w:val="0"/>
                  <w:highlight w:val="none"/>
                </w:rPr>
              </m:ctrlPr>
            </m:fName>
            <m:e>
              <m:d>
                <m:dPr>
                  <m:ctrlPr>
                    <w:rPr>
                      <w:rFonts w:hint="default" w:ascii="Cambria Math" w:hAnsi="Cambria Math" w:cs="Times New Roman"/>
                      <w:color w:val="auto"/>
                      <w:kern w:val="0"/>
                      <w:highlight w:val="none"/>
                    </w:rPr>
                  </m:ctrlPr>
                </m:dPr>
                <m:e>
                  <m:f>
                    <m:fPr>
                      <m:ctrlPr>
                        <w:rPr>
                          <w:rFonts w:hint="default" w:ascii="Cambria Math" w:hAnsi="Cambria Math" w:cs="Times New Roman"/>
                          <w:color w:val="auto"/>
                          <w:kern w:val="0"/>
                          <w:highlight w:val="none"/>
                        </w:rPr>
                      </m:ctrlPr>
                    </m:fPr>
                    <m:num>
                      <m:sSub>
                        <m:sSubPr>
                          <m:ctrlPr>
                            <w:rPr>
                              <w:rFonts w:hint="default" w:ascii="Cambria Math" w:hAnsi="Cambria Math" w:cs="Times New Roman"/>
                              <w:i/>
                              <w:color w:val="auto"/>
                              <w:kern w:val="0"/>
                              <w:highlight w:val="none"/>
                            </w:rPr>
                          </m:ctrlPr>
                        </m:sSubPr>
                        <m:e>
                          <m:r>
                            <m:rPr>
                              <m:nor/>
                            </m:rPr>
                            <w:rPr>
                              <w:rFonts w:hint="default" w:ascii="Times New Roman" w:hAnsi="Times New Roman" w:cs="Times New Roman"/>
                              <w:i/>
                              <w:color w:val="auto"/>
                              <w:kern w:val="0"/>
                              <w:highlight w:val="none"/>
                            </w:rPr>
                            <m:t>r</m:t>
                          </m:r>
                          <m:ctrlPr>
                            <w:rPr>
                              <w:rFonts w:hint="default" w:ascii="Cambria Math" w:hAnsi="Cambria Math" w:cs="Times New Roman"/>
                              <w:i/>
                              <w:color w:val="auto"/>
                              <w:kern w:val="0"/>
                              <w:highlight w:val="none"/>
                            </w:rPr>
                          </m:ctrlPr>
                        </m:e>
                        <m:sub>
                          <m:r>
                            <m:rPr>
                              <m:nor/>
                              <m:sty m:val="p"/>
                            </m:rPr>
                            <w:rPr>
                              <w:rFonts w:hint="default" w:ascii="Times New Roman" w:hAnsi="Times New Roman" w:cs="Times New Roman"/>
                              <w:b w:val="0"/>
                              <w:i w:val="0"/>
                              <w:color w:val="auto"/>
                              <w:kern w:val="0"/>
                              <w:highlight w:val="none"/>
                            </w:rPr>
                            <m:t>2</m:t>
                          </m:r>
                          <m:ctrlPr>
                            <w:rPr>
                              <w:rFonts w:hint="default" w:ascii="Cambria Math" w:hAnsi="Cambria Math" w:cs="Times New Roman"/>
                              <w:i/>
                              <w:color w:val="auto"/>
                              <w:kern w:val="0"/>
                              <w:highlight w:val="none"/>
                            </w:rPr>
                          </m:ctrlPr>
                        </m:sub>
                      </m:sSub>
                      <m:ctrlPr>
                        <w:rPr>
                          <w:rFonts w:hint="default" w:ascii="Cambria Math" w:hAnsi="Cambria Math" w:cs="Times New Roman"/>
                          <w:color w:val="auto"/>
                          <w:kern w:val="0"/>
                          <w:highlight w:val="none"/>
                        </w:rPr>
                      </m:ctrlPr>
                    </m:num>
                    <m:den>
                      <m:sSub>
                        <m:sSubPr>
                          <m:ctrlPr>
                            <w:rPr>
                              <w:rFonts w:hint="default" w:ascii="Cambria Math" w:hAnsi="Cambria Math" w:cs="Times New Roman"/>
                              <w:i/>
                              <w:color w:val="auto"/>
                              <w:kern w:val="0"/>
                              <w:highlight w:val="none"/>
                            </w:rPr>
                          </m:ctrlPr>
                        </m:sSubPr>
                        <m:e>
                          <m:r>
                            <m:rPr>
                              <m:nor/>
                            </m:rPr>
                            <w:rPr>
                              <w:rFonts w:hint="default" w:ascii="Times New Roman" w:hAnsi="Times New Roman" w:cs="Times New Roman"/>
                              <w:i/>
                              <w:color w:val="auto"/>
                              <w:kern w:val="0"/>
                              <w:highlight w:val="none"/>
                            </w:rPr>
                            <m:t>r</m:t>
                          </m:r>
                          <m:ctrlPr>
                            <w:rPr>
                              <w:rFonts w:hint="default" w:ascii="Cambria Math" w:hAnsi="Cambria Math" w:cs="Times New Roman"/>
                              <w:i/>
                              <w:color w:val="auto"/>
                              <w:kern w:val="0"/>
                              <w:highlight w:val="none"/>
                            </w:rPr>
                          </m:ctrlPr>
                        </m:e>
                        <m:sub>
                          <m:r>
                            <m:rPr>
                              <m:nor/>
                              <m:sty m:val="p"/>
                            </m:rPr>
                            <w:rPr>
                              <w:rFonts w:hint="default" w:ascii="Times New Roman" w:hAnsi="Times New Roman" w:cs="Times New Roman"/>
                              <w:b w:val="0"/>
                              <w:i w:val="0"/>
                              <w:color w:val="auto"/>
                              <w:kern w:val="0"/>
                              <w:highlight w:val="none"/>
                            </w:rPr>
                            <m:t>1</m:t>
                          </m:r>
                          <m:ctrlPr>
                            <w:rPr>
                              <w:rFonts w:hint="default" w:ascii="Cambria Math" w:hAnsi="Cambria Math" w:cs="Times New Roman"/>
                              <w:i/>
                              <w:color w:val="auto"/>
                              <w:kern w:val="0"/>
                              <w:highlight w:val="none"/>
                            </w:rPr>
                          </m:ctrlPr>
                        </m:sub>
                      </m:sSub>
                      <m:ctrlPr>
                        <w:rPr>
                          <w:rFonts w:hint="default" w:ascii="Cambria Math" w:hAnsi="Cambria Math" w:cs="Times New Roman"/>
                          <w:color w:val="auto"/>
                          <w:kern w:val="0"/>
                          <w:highlight w:val="none"/>
                        </w:rPr>
                      </m:ctrlPr>
                    </m:den>
                  </m:f>
                  <m:ctrlPr>
                    <w:rPr>
                      <w:rFonts w:hint="default" w:ascii="Cambria Math" w:hAnsi="Cambria Math" w:cs="Times New Roman"/>
                      <w:i/>
                      <w:color w:val="auto"/>
                      <w:kern w:val="0"/>
                      <w:highlight w:val="none"/>
                    </w:rPr>
                  </m:ctrlPr>
                </m:e>
              </m:d>
              <m:ctrlPr>
                <w:rPr>
                  <w:rFonts w:hint="default" w:ascii="Cambria Math" w:hAnsi="Cambria Math" w:cs="Times New Roman"/>
                  <w:color w:val="auto"/>
                  <w:kern w:val="0"/>
                  <w:highlight w:val="none"/>
                </w:rPr>
              </m:ctrlPr>
            </m:e>
          </m:func>
          <m:r>
            <m:rPr>
              <m:nor/>
              <m:sty m:val="p"/>
            </m:rPr>
            <w:rPr>
              <w:rFonts w:hint="default" w:ascii="Times New Roman" w:hAnsi="Times New Roman" w:cs="Times New Roman"/>
              <w:b w:val="0"/>
              <w:i w:val="0"/>
              <w:color w:val="auto"/>
              <w:kern w:val="0"/>
              <w:highlight w:val="none"/>
            </w:rPr>
            <m:t>−∆</m:t>
          </m:r>
          <m:r>
            <m:rPr>
              <m:nor/>
            </m:rPr>
            <w:rPr>
              <w:rFonts w:hint="default" w:ascii="Times New Roman" w:hAnsi="Times New Roman" w:cs="Times New Roman"/>
              <w:i/>
              <w:color w:val="auto"/>
              <w:kern w:val="0"/>
              <w:highlight w:val="none"/>
            </w:rPr>
            <m:t>L</m:t>
          </m:r>
        </m:oMath>
      </m:oMathPara>
    </w:p>
    <w:p w14:paraId="5DDAA9B2">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式中：L</w:t>
      </w:r>
      <w:r>
        <w:rPr>
          <w:rFonts w:hint="default" w:ascii="Times New Roman" w:hAnsi="Times New Roman" w:cs="Times New Roman"/>
          <w:color w:val="auto"/>
          <w:kern w:val="0"/>
          <w:highlight w:val="none"/>
          <w:vertAlign w:val="subscript"/>
        </w:rPr>
        <w:t>1</w:t>
      </w:r>
      <w:r>
        <w:rPr>
          <w:rFonts w:hint="default" w:ascii="Times New Roman" w:hAnsi="Times New Roman" w:cs="Times New Roman"/>
          <w:color w:val="auto"/>
          <w:kern w:val="0"/>
          <w:highlight w:val="none"/>
        </w:rPr>
        <w:t>、L</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——为距声源r</w:t>
      </w:r>
      <w:r>
        <w:rPr>
          <w:rFonts w:hint="default" w:ascii="Times New Roman" w:hAnsi="Times New Roman" w:cs="Times New Roman"/>
          <w:color w:val="auto"/>
          <w:kern w:val="0"/>
          <w:highlight w:val="none"/>
          <w:vertAlign w:val="subscript"/>
        </w:rPr>
        <w:t>1</w:t>
      </w:r>
      <w:r>
        <w:rPr>
          <w:rFonts w:hint="default" w:ascii="Times New Roman" w:hAnsi="Times New Roman" w:cs="Times New Roman"/>
          <w:color w:val="auto"/>
          <w:kern w:val="0"/>
          <w:highlight w:val="none"/>
        </w:rPr>
        <w:t>，r</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处声级值，dB（A）；</w:t>
      </w:r>
    </w:p>
    <w:p w14:paraId="3AA81F7D">
      <w:pPr>
        <w:pageBreakBefore w:val="0"/>
        <w:wordWrap/>
        <w:topLinePunct w:val="0"/>
        <w:bidi w:val="0"/>
        <w:adjustRightInd w:val="0"/>
        <w:snapToGrid w:val="0"/>
        <w:ind w:left="0" w:leftChars="0" w:right="0" w:firstLine="1200" w:firstLineChars="50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r</w:t>
      </w:r>
      <w:r>
        <w:rPr>
          <w:rFonts w:hint="default" w:ascii="Times New Roman" w:hAnsi="Times New Roman" w:cs="Times New Roman"/>
          <w:color w:val="auto"/>
          <w:kern w:val="0"/>
          <w:highlight w:val="none"/>
          <w:vertAlign w:val="subscript"/>
        </w:rPr>
        <w:t>1</w:t>
      </w:r>
      <w:r>
        <w:rPr>
          <w:rFonts w:hint="default" w:ascii="Times New Roman" w:hAnsi="Times New Roman" w:cs="Times New Roman"/>
          <w:color w:val="auto"/>
          <w:kern w:val="0"/>
          <w:highlight w:val="none"/>
        </w:rPr>
        <w:t>、r</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——为距点源的距离，m；</w:t>
      </w:r>
    </w:p>
    <w:p w14:paraId="495EADCD">
      <w:pPr>
        <w:pageBreakBefore w:val="0"/>
        <w:wordWrap/>
        <w:topLinePunct w:val="0"/>
        <w:bidi w:val="0"/>
        <w:adjustRightInd w:val="0"/>
        <w:snapToGrid w:val="0"/>
        <w:ind w:left="0" w:leftChars="0" w:right="0" w:firstLine="1200" w:firstLineChars="50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ΔL——为其他衰减作用的噪声级，dB（A）。</w:t>
      </w:r>
    </w:p>
    <w:p w14:paraId="6316EAC1">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预测结果见下表。</w:t>
      </w:r>
    </w:p>
    <w:p w14:paraId="229363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表5.1-2  施工期噪声预测结果</w:t>
      </w:r>
    </w:p>
    <w:tbl>
      <w:tblPr>
        <w:tblStyle w:val="33"/>
        <w:tblW w:w="907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01"/>
        <w:gridCol w:w="2503"/>
        <w:gridCol w:w="861"/>
        <w:gridCol w:w="694"/>
        <w:gridCol w:w="694"/>
        <w:gridCol w:w="1031"/>
        <w:gridCol w:w="944"/>
        <w:gridCol w:w="944"/>
      </w:tblGrid>
      <w:tr w14:paraId="38772A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restart"/>
            <w:tcBorders>
              <w:tl2br w:val="nil"/>
              <w:tr2bl w:val="nil"/>
            </w:tcBorders>
            <w:vAlign w:val="center"/>
          </w:tcPr>
          <w:p w14:paraId="750A38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施工阶段</w:t>
            </w:r>
          </w:p>
        </w:tc>
        <w:tc>
          <w:tcPr>
            <w:tcW w:w="2503" w:type="dxa"/>
            <w:vMerge w:val="restart"/>
            <w:tcBorders>
              <w:tl2br w:val="nil"/>
              <w:tr2bl w:val="nil"/>
            </w:tcBorders>
            <w:vAlign w:val="center"/>
          </w:tcPr>
          <w:p w14:paraId="0353A5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施工机械</w:t>
            </w:r>
          </w:p>
        </w:tc>
        <w:tc>
          <w:tcPr>
            <w:tcW w:w="3280" w:type="dxa"/>
            <w:gridSpan w:val="4"/>
            <w:tcBorders>
              <w:tl2br w:val="nil"/>
              <w:tr2bl w:val="nil"/>
            </w:tcBorders>
            <w:vAlign w:val="center"/>
          </w:tcPr>
          <w:p w14:paraId="6918A3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X（m）处声压级dB（A）</w:t>
            </w:r>
          </w:p>
        </w:tc>
        <w:tc>
          <w:tcPr>
            <w:tcW w:w="1888" w:type="dxa"/>
            <w:gridSpan w:val="2"/>
            <w:tcBorders>
              <w:tl2br w:val="nil"/>
              <w:tr2bl w:val="nil"/>
            </w:tcBorders>
            <w:vAlign w:val="center"/>
          </w:tcPr>
          <w:p w14:paraId="0AD0FA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标准dB（A）</w:t>
            </w:r>
          </w:p>
        </w:tc>
      </w:tr>
      <w:tr w14:paraId="39D3E3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6BDF0E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vMerge w:val="continue"/>
            <w:tcBorders>
              <w:tl2br w:val="nil"/>
              <w:tr2bl w:val="nil"/>
            </w:tcBorders>
            <w:vAlign w:val="center"/>
          </w:tcPr>
          <w:p w14:paraId="123EEE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861" w:type="dxa"/>
            <w:tcBorders>
              <w:tl2br w:val="nil"/>
              <w:tr2bl w:val="nil"/>
            </w:tcBorders>
            <w:vAlign w:val="center"/>
          </w:tcPr>
          <w:p w14:paraId="1D4725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1</w:t>
            </w:r>
          </w:p>
        </w:tc>
        <w:tc>
          <w:tcPr>
            <w:tcW w:w="694" w:type="dxa"/>
            <w:tcBorders>
              <w:tl2br w:val="nil"/>
              <w:tr2bl w:val="nil"/>
            </w:tcBorders>
            <w:vAlign w:val="center"/>
          </w:tcPr>
          <w:p w14:paraId="3FAC2B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10</w:t>
            </w:r>
          </w:p>
        </w:tc>
        <w:tc>
          <w:tcPr>
            <w:tcW w:w="694" w:type="dxa"/>
            <w:tcBorders>
              <w:tl2br w:val="nil"/>
              <w:tr2bl w:val="nil"/>
            </w:tcBorders>
            <w:vAlign w:val="center"/>
          </w:tcPr>
          <w:p w14:paraId="069FD2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20</w:t>
            </w:r>
          </w:p>
        </w:tc>
        <w:tc>
          <w:tcPr>
            <w:tcW w:w="1031" w:type="dxa"/>
            <w:tcBorders>
              <w:tl2br w:val="nil"/>
              <w:tr2bl w:val="nil"/>
            </w:tcBorders>
            <w:vAlign w:val="center"/>
          </w:tcPr>
          <w:p w14:paraId="702D7D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30</w:t>
            </w:r>
          </w:p>
        </w:tc>
        <w:tc>
          <w:tcPr>
            <w:tcW w:w="944" w:type="dxa"/>
            <w:tcBorders>
              <w:tl2br w:val="nil"/>
              <w:tr2bl w:val="nil"/>
            </w:tcBorders>
            <w:vAlign w:val="center"/>
          </w:tcPr>
          <w:p w14:paraId="60260D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昼间</w:t>
            </w:r>
          </w:p>
        </w:tc>
        <w:tc>
          <w:tcPr>
            <w:tcW w:w="944" w:type="dxa"/>
            <w:tcBorders>
              <w:tl2br w:val="nil"/>
              <w:tr2bl w:val="nil"/>
            </w:tcBorders>
            <w:vAlign w:val="center"/>
          </w:tcPr>
          <w:p w14:paraId="1AE804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夜间</w:t>
            </w:r>
          </w:p>
        </w:tc>
      </w:tr>
      <w:tr w14:paraId="6C254B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restart"/>
            <w:tcBorders>
              <w:tl2br w:val="nil"/>
              <w:tr2bl w:val="nil"/>
            </w:tcBorders>
            <w:vAlign w:val="center"/>
          </w:tcPr>
          <w:p w14:paraId="09911C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土石方</w:t>
            </w:r>
          </w:p>
        </w:tc>
        <w:tc>
          <w:tcPr>
            <w:tcW w:w="2503" w:type="dxa"/>
            <w:tcBorders>
              <w:tl2br w:val="nil"/>
              <w:tr2bl w:val="nil"/>
            </w:tcBorders>
            <w:vAlign w:val="center"/>
          </w:tcPr>
          <w:p w14:paraId="15B957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载重车</w:t>
            </w:r>
          </w:p>
        </w:tc>
        <w:tc>
          <w:tcPr>
            <w:tcW w:w="861" w:type="dxa"/>
            <w:tcBorders>
              <w:tl2br w:val="nil"/>
              <w:tr2bl w:val="nil"/>
            </w:tcBorders>
            <w:vAlign w:val="center"/>
          </w:tcPr>
          <w:p w14:paraId="61B564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89</w:t>
            </w:r>
          </w:p>
        </w:tc>
        <w:tc>
          <w:tcPr>
            <w:tcW w:w="694" w:type="dxa"/>
            <w:tcBorders>
              <w:tl2br w:val="nil"/>
              <w:tr2bl w:val="nil"/>
            </w:tcBorders>
            <w:vAlign w:val="center"/>
          </w:tcPr>
          <w:p w14:paraId="674BF6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69</w:t>
            </w:r>
          </w:p>
        </w:tc>
        <w:tc>
          <w:tcPr>
            <w:tcW w:w="694" w:type="dxa"/>
            <w:tcBorders>
              <w:tl2br w:val="nil"/>
              <w:tr2bl w:val="nil"/>
            </w:tcBorders>
            <w:vAlign w:val="center"/>
          </w:tcPr>
          <w:p w14:paraId="522EB7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63</w:t>
            </w:r>
          </w:p>
        </w:tc>
        <w:tc>
          <w:tcPr>
            <w:tcW w:w="1031" w:type="dxa"/>
            <w:tcBorders>
              <w:tl2br w:val="nil"/>
              <w:tr2bl w:val="nil"/>
            </w:tcBorders>
            <w:vAlign w:val="center"/>
          </w:tcPr>
          <w:p w14:paraId="27DE06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59.5</w:t>
            </w:r>
          </w:p>
        </w:tc>
        <w:tc>
          <w:tcPr>
            <w:tcW w:w="944" w:type="dxa"/>
            <w:vMerge w:val="restart"/>
            <w:tcBorders>
              <w:tl2br w:val="nil"/>
              <w:tr2bl w:val="nil"/>
            </w:tcBorders>
            <w:vAlign w:val="center"/>
          </w:tcPr>
          <w:p w14:paraId="3DFEEB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944" w:type="dxa"/>
            <w:vMerge w:val="restart"/>
            <w:tcBorders>
              <w:tl2br w:val="nil"/>
              <w:tr2bl w:val="nil"/>
            </w:tcBorders>
            <w:vAlign w:val="center"/>
          </w:tcPr>
          <w:p w14:paraId="160A44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r>
      <w:tr w14:paraId="45AF0D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13281F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5FFA38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推土机</w:t>
            </w:r>
          </w:p>
        </w:tc>
        <w:tc>
          <w:tcPr>
            <w:tcW w:w="861" w:type="dxa"/>
            <w:tcBorders>
              <w:tl2br w:val="nil"/>
              <w:tr2bl w:val="nil"/>
            </w:tcBorders>
            <w:vAlign w:val="center"/>
          </w:tcPr>
          <w:p w14:paraId="163CF3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411C10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694" w:type="dxa"/>
            <w:tcBorders>
              <w:tl2br w:val="nil"/>
              <w:tr2bl w:val="nil"/>
            </w:tcBorders>
            <w:vAlign w:val="center"/>
          </w:tcPr>
          <w:p w14:paraId="562CD22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w:t>
            </w:r>
          </w:p>
        </w:tc>
        <w:tc>
          <w:tcPr>
            <w:tcW w:w="1031" w:type="dxa"/>
            <w:tcBorders>
              <w:tl2br w:val="nil"/>
              <w:tr2bl w:val="nil"/>
            </w:tcBorders>
            <w:vAlign w:val="center"/>
          </w:tcPr>
          <w:p w14:paraId="4AB96B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60.5</w:t>
            </w:r>
          </w:p>
        </w:tc>
        <w:tc>
          <w:tcPr>
            <w:tcW w:w="944" w:type="dxa"/>
            <w:vMerge w:val="continue"/>
            <w:tcBorders>
              <w:tl2br w:val="nil"/>
              <w:tr2bl w:val="nil"/>
            </w:tcBorders>
            <w:vAlign w:val="center"/>
          </w:tcPr>
          <w:p w14:paraId="3E2603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1CD055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2BF6DE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7E5D23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7355E2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翻斗车</w:t>
            </w:r>
          </w:p>
        </w:tc>
        <w:tc>
          <w:tcPr>
            <w:tcW w:w="861" w:type="dxa"/>
            <w:tcBorders>
              <w:tl2br w:val="nil"/>
              <w:tr2bl w:val="nil"/>
            </w:tcBorders>
            <w:vAlign w:val="center"/>
          </w:tcPr>
          <w:p w14:paraId="2E10ED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0C83CE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694" w:type="dxa"/>
            <w:tcBorders>
              <w:tl2br w:val="nil"/>
              <w:tr2bl w:val="nil"/>
            </w:tcBorders>
            <w:vAlign w:val="center"/>
          </w:tcPr>
          <w:p w14:paraId="2CF6BD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w:t>
            </w:r>
          </w:p>
        </w:tc>
        <w:tc>
          <w:tcPr>
            <w:tcW w:w="1031" w:type="dxa"/>
            <w:tcBorders>
              <w:tl2br w:val="nil"/>
              <w:tr2bl w:val="nil"/>
            </w:tcBorders>
            <w:vAlign w:val="center"/>
          </w:tcPr>
          <w:p w14:paraId="7598D9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60.5</w:t>
            </w:r>
          </w:p>
        </w:tc>
        <w:tc>
          <w:tcPr>
            <w:tcW w:w="944" w:type="dxa"/>
            <w:vMerge w:val="continue"/>
            <w:tcBorders>
              <w:tl2br w:val="nil"/>
              <w:tr2bl w:val="nil"/>
            </w:tcBorders>
            <w:vAlign w:val="center"/>
          </w:tcPr>
          <w:p w14:paraId="4DC9D6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281CCE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0BF138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42E300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706E4E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挖掘机</w:t>
            </w:r>
          </w:p>
        </w:tc>
        <w:tc>
          <w:tcPr>
            <w:tcW w:w="861" w:type="dxa"/>
            <w:tcBorders>
              <w:tl2br w:val="nil"/>
              <w:tr2bl w:val="nil"/>
            </w:tcBorders>
            <w:vAlign w:val="center"/>
          </w:tcPr>
          <w:p w14:paraId="3919E9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2CA3D7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694" w:type="dxa"/>
            <w:tcBorders>
              <w:tl2br w:val="nil"/>
              <w:tr2bl w:val="nil"/>
            </w:tcBorders>
            <w:vAlign w:val="center"/>
          </w:tcPr>
          <w:p w14:paraId="5E9474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w:t>
            </w:r>
          </w:p>
        </w:tc>
        <w:tc>
          <w:tcPr>
            <w:tcW w:w="1031" w:type="dxa"/>
            <w:tcBorders>
              <w:tl2br w:val="nil"/>
              <w:tr2bl w:val="nil"/>
            </w:tcBorders>
            <w:vAlign w:val="center"/>
          </w:tcPr>
          <w:p w14:paraId="6028FD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60.5</w:t>
            </w:r>
          </w:p>
        </w:tc>
        <w:tc>
          <w:tcPr>
            <w:tcW w:w="944" w:type="dxa"/>
            <w:vMerge w:val="continue"/>
            <w:tcBorders>
              <w:tl2br w:val="nil"/>
              <w:tr2bl w:val="nil"/>
            </w:tcBorders>
            <w:vAlign w:val="center"/>
          </w:tcPr>
          <w:p w14:paraId="1C940B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07A4AB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3840C7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restart"/>
            <w:tcBorders>
              <w:tl2br w:val="nil"/>
              <w:tr2bl w:val="nil"/>
            </w:tcBorders>
            <w:vAlign w:val="center"/>
          </w:tcPr>
          <w:p w14:paraId="0A1740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结构</w:t>
            </w:r>
          </w:p>
        </w:tc>
        <w:tc>
          <w:tcPr>
            <w:tcW w:w="2503" w:type="dxa"/>
            <w:tcBorders>
              <w:tl2br w:val="nil"/>
              <w:tr2bl w:val="nil"/>
            </w:tcBorders>
            <w:vAlign w:val="center"/>
          </w:tcPr>
          <w:p w14:paraId="54FE28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混凝振捣机</w:t>
            </w:r>
          </w:p>
        </w:tc>
        <w:tc>
          <w:tcPr>
            <w:tcW w:w="861" w:type="dxa"/>
            <w:tcBorders>
              <w:tl2br w:val="nil"/>
              <w:tr2bl w:val="nil"/>
            </w:tcBorders>
            <w:vAlign w:val="center"/>
          </w:tcPr>
          <w:p w14:paraId="03FDEE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w:t>
            </w:r>
          </w:p>
        </w:tc>
        <w:tc>
          <w:tcPr>
            <w:tcW w:w="694" w:type="dxa"/>
            <w:tcBorders>
              <w:tl2br w:val="nil"/>
              <w:tr2bl w:val="nil"/>
            </w:tcBorders>
            <w:vAlign w:val="center"/>
          </w:tcPr>
          <w:p w14:paraId="6BC019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80</w:t>
            </w:r>
          </w:p>
        </w:tc>
        <w:tc>
          <w:tcPr>
            <w:tcW w:w="694" w:type="dxa"/>
            <w:tcBorders>
              <w:tl2br w:val="nil"/>
              <w:tr2bl w:val="nil"/>
            </w:tcBorders>
            <w:vAlign w:val="center"/>
          </w:tcPr>
          <w:p w14:paraId="38BA05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w:t>
            </w:r>
          </w:p>
        </w:tc>
        <w:tc>
          <w:tcPr>
            <w:tcW w:w="1031" w:type="dxa"/>
            <w:tcBorders>
              <w:tl2br w:val="nil"/>
              <w:tr2bl w:val="nil"/>
            </w:tcBorders>
            <w:vAlign w:val="center"/>
          </w:tcPr>
          <w:p w14:paraId="1CF26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67</w:t>
            </w:r>
            <w:r>
              <w:rPr>
                <w:rFonts w:hint="default" w:ascii="Times New Roman" w:hAnsi="Times New Roman" w:cs="Times New Roman"/>
                <w:color w:val="auto"/>
                <w:kern w:val="0"/>
                <w:sz w:val="21"/>
                <w:szCs w:val="21"/>
                <w:highlight w:val="none"/>
              </w:rPr>
              <w:t>.5</w:t>
            </w:r>
          </w:p>
        </w:tc>
        <w:tc>
          <w:tcPr>
            <w:tcW w:w="944" w:type="dxa"/>
            <w:vMerge w:val="continue"/>
            <w:tcBorders>
              <w:tl2br w:val="nil"/>
              <w:tr2bl w:val="nil"/>
            </w:tcBorders>
            <w:vAlign w:val="center"/>
          </w:tcPr>
          <w:p w14:paraId="36F064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126383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62D216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205A63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19B29F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木工机械（电锯）</w:t>
            </w:r>
          </w:p>
        </w:tc>
        <w:tc>
          <w:tcPr>
            <w:tcW w:w="861" w:type="dxa"/>
            <w:tcBorders>
              <w:tl2br w:val="nil"/>
              <w:tr2bl w:val="nil"/>
            </w:tcBorders>
            <w:vAlign w:val="center"/>
          </w:tcPr>
          <w:p w14:paraId="2F7056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110</w:t>
            </w:r>
          </w:p>
        </w:tc>
        <w:tc>
          <w:tcPr>
            <w:tcW w:w="694" w:type="dxa"/>
            <w:tcBorders>
              <w:tl2br w:val="nil"/>
              <w:tr2bl w:val="nil"/>
            </w:tcBorders>
            <w:vAlign w:val="center"/>
          </w:tcPr>
          <w:p w14:paraId="181B0E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7B85D6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84</w:t>
            </w:r>
          </w:p>
        </w:tc>
        <w:tc>
          <w:tcPr>
            <w:tcW w:w="1031" w:type="dxa"/>
            <w:tcBorders>
              <w:tl2br w:val="nil"/>
              <w:tr2bl w:val="nil"/>
            </w:tcBorders>
            <w:vAlign w:val="center"/>
          </w:tcPr>
          <w:p w14:paraId="65F7EF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69</w:t>
            </w:r>
            <w:r>
              <w:rPr>
                <w:rFonts w:hint="default" w:ascii="Times New Roman" w:hAnsi="Times New Roman" w:cs="Times New Roman"/>
                <w:color w:val="auto"/>
                <w:kern w:val="0"/>
                <w:sz w:val="21"/>
                <w:szCs w:val="21"/>
                <w:highlight w:val="none"/>
              </w:rPr>
              <w:t>.5</w:t>
            </w:r>
          </w:p>
        </w:tc>
        <w:tc>
          <w:tcPr>
            <w:tcW w:w="944" w:type="dxa"/>
            <w:vMerge w:val="continue"/>
            <w:tcBorders>
              <w:tl2br w:val="nil"/>
              <w:tr2bl w:val="nil"/>
            </w:tcBorders>
            <w:vAlign w:val="center"/>
          </w:tcPr>
          <w:p w14:paraId="392902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2F4011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2D7F95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restart"/>
            <w:tcBorders>
              <w:tl2br w:val="nil"/>
              <w:tr2bl w:val="nil"/>
            </w:tcBorders>
            <w:vAlign w:val="center"/>
          </w:tcPr>
          <w:p w14:paraId="1C3565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装修</w:t>
            </w:r>
          </w:p>
        </w:tc>
        <w:tc>
          <w:tcPr>
            <w:tcW w:w="2503" w:type="dxa"/>
            <w:tcBorders>
              <w:tl2br w:val="nil"/>
              <w:tr2bl w:val="nil"/>
            </w:tcBorders>
            <w:vAlign w:val="center"/>
          </w:tcPr>
          <w:p w14:paraId="49910C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汽车吊</w:t>
            </w:r>
          </w:p>
        </w:tc>
        <w:tc>
          <w:tcPr>
            <w:tcW w:w="861" w:type="dxa"/>
            <w:tcBorders>
              <w:tl2br w:val="nil"/>
              <w:tr2bl w:val="nil"/>
            </w:tcBorders>
            <w:vAlign w:val="center"/>
          </w:tcPr>
          <w:p w14:paraId="49CF4C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102</w:t>
            </w:r>
          </w:p>
        </w:tc>
        <w:tc>
          <w:tcPr>
            <w:tcW w:w="694" w:type="dxa"/>
            <w:tcBorders>
              <w:tl2br w:val="nil"/>
              <w:tr2bl w:val="nil"/>
            </w:tcBorders>
            <w:vAlign w:val="center"/>
          </w:tcPr>
          <w:p w14:paraId="1B9D20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82</w:t>
            </w:r>
          </w:p>
        </w:tc>
        <w:tc>
          <w:tcPr>
            <w:tcW w:w="694" w:type="dxa"/>
            <w:tcBorders>
              <w:tl2br w:val="nil"/>
              <w:tr2bl w:val="nil"/>
            </w:tcBorders>
            <w:vAlign w:val="center"/>
          </w:tcPr>
          <w:p w14:paraId="24F6D9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76</w:t>
            </w:r>
          </w:p>
        </w:tc>
        <w:tc>
          <w:tcPr>
            <w:tcW w:w="1031" w:type="dxa"/>
            <w:tcBorders>
              <w:tl2br w:val="nil"/>
              <w:tr2bl w:val="nil"/>
            </w:tcBorders>
            <w:vAlign w:val="center"/>
          </w:tcPr>
          <w:p w14:paraId="03DCEA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68</w:t>
            </w:r>
            <w:r>
              <w:rPr>
                <w:rFonts w:hint="default" w:ascii="Times New Roman" w:hAnsi="Times New Roman" w:cs="Times New Roman"/>
                <w:color w:val="auto"/>
                <w:kern w:val="0"/>
                <w:sz w:val="21"/>
                <w:szCs w:val="21"/>
                <w:highlight w:val="none"/>
              </w:rPr>
              <w:t>.5</w:t>
            </w:r>
          </w:p>
        </w:tc>
        <w:tc>
          <w:tcPr>
            <w:tcW w:w="944" w:type="dxa"/>
            <w:vMerge w:val="continue"/>
            <w:tcBorders>
              <w:tl2br w:val="nil"/>
              <w:tr2bl w:val="nil"/>
            </w:tcBorders>
            <w:vAlign w:val="center"/>
          </w:tcPr>
          <w:p w14:paraId="32DF53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0C3F0F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12E8DD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3585EF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6B88AE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电焊机</w:t>
            </w:r>
          </w:p>
        </w:tc>
        <w:tc>
          <w:tcPr>
            <w:tcW w:w="861" w:type="dxa"/>
            <w:tcBorders>
              <w:tl2br w:val="nil"/>
              <w:tr2bl w:val="nil"/>
            </w:tcBorders>
            <w:vAlign w:val="center"/>
          </w:tcPr>
          <w:p w14:paraId="527ACA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75821A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694" w:type="dxa"/>
            <w:tcBorders>
              <w:tl2br w:val="nil"/>
              <w:tr2bl w:val="nil"/>
            </w:tcBorders>
            <w:vAlign w:val="center"/>
          </w:tcPr>
          <w:p w14:paraId="6790F9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w:t>
            </w:r>
          </w:p>
        </w:tc>
        <w:tc>
          <w:tcPr>
            <w:tcW w:w="1031" w:type="dxa"/>
            <w:tcBorders>
              <w:tl2br w:val="nil"/>
              <w:tr2bl w:val="nil"/>
            </w:tcBorders>
            <w:vAlign w:val="center"/>
          </w:tcPr>
          <w:p w14:paraId="42FA6A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60.5</w:t>
            </w:r>
          </w:p>
        </w:tc>
        <w:tc>
          <w:tcPr>
            <w:tcW w:w="944" w:type="dxa"/>
            <w:vMerge w:val="continue"/>
            <w:tcBorders>
              <w:tl2br w:val="nil"/>
              <w:tr2bl w:val="nil"/>
            </w:tcBorders>
            <w:vAlign w:val="center"/>
          </w:tcPr>
          <w:p w14:paraId="16DBB7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6F8269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bl>
    <w:p w14:paraId="61ED5A4B">
      <w:pPr>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由上表可以看出，土石方和装修阶段，白天厂界可以达标，但夜间超标。声级值在100dB（A）以上的设备在30m处仍不能满足厂界施工期间噪声限值。</w:t>
      </w:r>
    </w:p>
    <w:p w14:paraId="12D0148F">
      <w:pPr>
        <w:pageBreakBefore w:val="0"/>
        <w:widowControl w:val="0"/>
        <w:kinsoku/>
        <w:wordWrap/>
        <w:overflowPunct/>
        <w:topLinePunct w:val="0"/>
        <w:autoSpaceDE/>
        <w:autoSpaceDN/>
        <w:bidi w:val="0"/>
        <w:adjustRightInd w:val="0"/>
        <w:snapToGrid w:val="0"/>
        <w:spacing w:line="360" w:lineRule="auto"/>
        <w:ind w:left="0" w:leftChars="0" w:right="0" w:firstLine="456"/>
        <w:contextualSpacing/>
        <w:textAlignment w:val="auto"/>
        <w:rPr>
          <w:rFonts w:hint="default" w:ascii="Times New Roman" w:hAnsi="Times New Roman" w:cs="Times New Roman"/>
          <w:color w:val="auto"/>
          <w:spacing w:val="-6"/>
          <w:kern w:val="0"/>
          <w:highlight w:val="none"/>
        </w:rPr>
      </w:pPr>
      <w:r>
        <w:rPr>
          <w:rFonts w:hint="default" w:ascii="Times New Roman" w:hAnsi="Times New Roman" w:cs="Times New Roman"/>
          <w:color w:val="auto"/>
          <w:spacing w:val="-6"/>
          <w:kern w:val="0"/>
          <w:highlight w:val="none"/>
        </w:rPr>
        <w:t>根据现场调查，项目区周围无居民区，在建设过程中只有施工人员。因此，施工阶段对周围环境无大的不利影响。故施工阶段使用中高噪声机械设备，只要严格遵守当地环保管理部门制定的施工</w:t>
      </w:r>
      <w:r>
        <w:rPr>
          <w:rFonts w:hint="eastAsia" w:cs="Times New Roman"/>
          <w:color w:val="auto"/>
          <w:spacing w:val="-6"/>
          <w:kern w:val="0"/>
          <w:highlight w:val="none"/>
          <w:lang w:eastAsia="zh-CN"/>
        </w:rPr>
        <w:t>场地</w:t>
      </w:r>
      <w:r>
        <w:rPr>
          <w:rFonts w:hint="default" w:ascii="Times New Roman" w:hAnsi="Times New Roman" w:cs="Times New Roman"/>
          <w:color w:val="auto"/>
          <w:spacing w:val="-6"/>
          <w:kern w:val="0"/>
          <w:highlight w:val="none"/>
        </w:rPr>
        <w:t>噪声作业规定及要求，积极采取相应措施降低施工噪声，不会对自身人员造成噪声危害。</w:t>
      </w:r>
    </w:p>
    <w:p w14:paraId="364F1F25">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5.1.4 施工期固废环境影响分析</w:t>
      </w:r>
    </w:p>
    <w:p w14:paraId="226CCBFF">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项目施工过程中无弃方产生，固体废物主要为废砖头、废钢筋、废边角料等建筑垃圾，优先由施工单位回收利用，不能回收利用的</w:t>
      </w:r>
      <w:r>
        <w:rPr>
          <w:rFonts w:hint="eastAsia" w:cs="Times New Roman"/>
          <w:color w:val="auto"/>
          <w:highlight w:val="none"/>
          <w:lang w:eastAsia="zh-CN"/>
        </w:rPr>
        <w:t>收集后</w:t>
      </w:r>
      <w:r>
        <w:rPr>
          <w:rFonts w:hint="default" w:ascii="Times New Roman" w:hAnsi="Times New Roman" w:cs="Times New Roman"/>
          <w:color w:val="auto"/>
          <w:highlight w:val="none"/>
        </w:rPr>
        <w:t>送当地建筑垃圾场处理。施工期高峰时段施工人员按每日用工20人计算，每人每天0.5kg的生活垃圾产生量，则每天产生10kg/d的生活垃圾，收集后暂存于临时生活垃圾箱中，待项目建设完毕后拉运至当地生活垃圾填埋场填埋。项目施工期所有固废均采取妥善有效</w:t>
      </w:r>
      <w:r>
        <w:rPr>
          <w:rFonts w:hint="eastAsia" w:cs="Times New Roman"/>
          <w:color w:val="auto"/>
          <w:highlight w:val="none"/>
          <w:lang w:eastAsia="zh-CN"/>
        </w:rPr>
        <w:t>地</w:t>
      </w:r>
      <w:r>
        <w:rPr>
          <w:rFonts w:hint="default" w:ascii="Times New Roman" w:hAnsi="Times New Roman" w:cs="Times New Roman"/>
          <w:color w:val="auto"/>
          <w:highlight w:val="none"/>
        </w:rPr>
        <w:t>处理、处置方式，不会产生二次污染，对周围环境影响较小。</w:t>
      </w:r>
    </w:p>
    <w:p w14:paraId="3FB2CB99">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5.1.5 施工期生态环境影响分析</w:t>
      </w:r>
    </w:p>
    <w:p w14:paraId="602AD667">
      <w:pPr>
        <w:pStyle w:val="19"/>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本项目厂房</w:t>
      </w:r>
      <w:r>
        <w:rPr>
          <w:rFonts w:hint="eastAsia" w:cs="Times New Roman"/>
          <w:color w:val="auto"/>
          <w:sz w:val="24"/>
          <w:highlight w:val="none"/>
          <w:lang w:eastAsia="zh-CN"/>
        </w:rPr>
        <w:t>已</w:t>
      </w:r>
      <w:r>
        <w:rPr>
          <w:rFonts w:hint="default" w:ascii="Times New Roman" w:hAnsi="Times New Roman" w:cs="Times New Roman"/>
          <w:color w:val="auto"/>
          <w:sz w:val="24"/>
          <w:highlight w:val="none"/>
        </w:rPr>
        <w:t>建设完成，其初级生产力水平已不存在。所以，项目施工对区域生态影响较小</w:t>
      </w:r>
      <w:r>
        <w:rPr>
          <w:rFonts w:hint="default" w:ascii="Times New Roman" w:hAnsi="Times New Roman" w:eastAsia="宋体" w:cs="Times New Roman"/>
          <w:color w:val="auto"/>
          <w:sz w:val="24"/>
          <w:highlight w:val="none"/>
        </w:rPr>
        <w:t>。</w:t>
      </w:r>
    </w:p>
    <w:p w14:paraId="27134CE1">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73" w:name="_Toc6875"/>
      <w:bookmarkStart w:id="174" w:name="_Toc23023"/>
      <w:r>
        <w:rPr>
          <w:rFonts w:hint="default" w:ascii="Times New Roman" w:hAnsi="Times New Roman" w:eastAsia="宋体" w:cs="Times New Roman"/>
          <w:color w:val="auto"/>
          <w:highlight w:val="none"/>
        </w:rPr>
        <w:t xml:space="preserve">5.2 </w:t>
      </w:r>
      <w:r>
        <w:rPr>
          <w:rFonts w:hint="eastAsia" w:eastAsia="宋体" w:cs="Times New Roman"/>
          <w:color w:val="auto"/>
          <w:highlight w:val="none"/>
          <w:lang w:val="en-US" w:eastAsia="zh-CN"/>
        </w:rPr>
        <w:t>大气环境</w:t>
      </w:r>
      <w:r>
        <w:rPr>
          <w:rFonts w:hint="default" w:ascii="Times New Roman" w:hAnsi="Times New Roman" w:eastAsia="宋体" w:cs="Times New Roman"/>
          <w:color w:val="auto"/>
          <w:highlight w:val="none"/>
        </w:rPr>
        <w:t>影响预测及评价</w:t>
      </w:r>
      <w:bookmarkEnd w:id="173"/>
      <w:bookmarkEnd w:id="174"/>
    </w:p>
    <w:p w14:paraId="20B6C90A">
      <w:pPr>
        <w:pageBreakBefore w:val="0"/>
        <w:wordWrap/>
        <w:topLinePunct w:val="0"/>
        <w:bidi w:val="0"/>
        <w:adjustRightInd w:val="0"/>
        <w:snapToGrid w:val="0"/>
        <w:ind w:left="0" w:leftChars="0" w:right="0" w:firstLine="456"/>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根据《环境影响评价技术导则</w:t>
      </w:r>
      <w:r>
        <w:rPr>
          <w:rFonts w:hint="eastAsia" w:cs="Times New Roman"/>
          <w:color w:val="auto"/>
          <w:spacing w:val="-6"/>
          <w:highlight w:val="none"/>
          <w:lang w:val="en-US" w:eastAsia="zh-CN"/>
        </w:rPr>
        <w:t xml:space="preserve"> </w:t>
      </w:r>
      <w:r>
        <w:rPr>
          <w:rFonts w:hint="default" w:ascii="Times New Roman" w:hAnsi="Times New Roman" w:cs="Times New Roman"/>
          <w:color w:val="auto"/>
          <w:spacing w:val="-6"/>
          <w:highlight w:val="none"/>
        </w:rPr>
        <w:t>大气环境》（HJ2.2-2018）6.2.1.3规定：“依据评价所需环境空气质量现状、气象资料等数据的可获得性、数据质量、代表性等因素，选择近3</w:t>
      </w:r>
      <w:r>
        <w:rPr>
          <w:rFonts w:hint="eastAsia" w:cs="Times New Roman"/>
          <w:color w:val="auto"/>
          <w:spacing w:val="-6"/>
          <w:highlight w:val="none"/>
          <w:lang w:val="en-US" w:eastAsia="zh-CN"/>
        </w:rPr>
        <w:t>年</w:t>
      </w:r>
      <w:r>
        <w:rPr>
          <w:rFonts w:hint="default" w:ascii="Times New Roman" w:hAnsi="Times New Roman" w:cs="Times New Roman"/>
          <w:color w:val="auto"/>
          <w:spacing w:val="-6"/>
          <w:highlight w:val="none"/>
        </w:rPr>
        <w:t>中数据相对完成的1个日历年作为评价基准年，本次选择预测气象资料评价基准年选择202</w:t>
      </w:r>
      <w:r>
        <w:rPr>
          <w:rFonts w:hint="default" w:ascii="Times New Roman" w:hAnsi="Times New Roman" w:cs="Times New Roman"/>
          <w:color w:val="auto"/>
          <w:spacing w:val="-6"/>
          <w:highlight w:val="none"/>
          <w:lang w:val="en-US" w:eastAsia="zh-CN"/>
        </w:rPr>
        <w:t>3</w:t>
      </w:r>
      <w:r>
        <w:rPr>
          <w:rFonts w:hint="default" w:ascii="Times New Roman" w:hAnsi="Times New Roman" w:cs="Times New Roman"/>
          <w:color w:val="auto"/>
          <w:spacing w:val="-6"/>
          <w:highlight w:val="none"/>
        </w:rPr>
        <w:t>年，符合《环境影响评价技术导则</w:t>
      </w:r>
      <w:r>
        <w:rPr>
          <w:rFonts w:hint="eastAsia" w:cs="Times New Roman"/>
          <w:color w:val="auto"/>
          <w:spacing w:val="-6"/>
          <w:highlight w:val="none"/>
          <w:lang w:val="en-US" w:eastAsia="zh-CN"/>
        </w:rPr>
        <w:t xml:space="preserve"> </w:t>
      </w:r>
      <w:r>
        <w:rPr>
          <w:rFonts w:hint="default" w:ascii="Times New Roman" w:hAnsi="Times New Roman" w:cs="Times New Roman"/>
          <w:color w:val="auto"/>
          <w:spacing w:val="-6"/>
          <w:highlight w:val="none"/>
        </w:rPr>
        <w:t>大气环境》（HJ2.2-2018）中的要求。</w:t>
      </w:r>
    </w:p>
    <w:p w14:paraId="1EDB123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5.2.1 预测评价气象特征概述</w:t>
      </w:r>
    </w:p>
    <w:p w14:paraId="265ED57A">
      <w:pPr>
        <w:pageBreakBefore w:val="0"/>
        <w:wordWrap/>
        <w:topLinePunct w:val="0"/>
        <w:bidi w:val="0"/>
        <w:adjustRightInd w:val="0"/>
        <w:snapToGrid w:val="0"/>
        <w:ind w:left="0" w:leftChars="0" w:right="0" w:firstLine="456"/>
        <w:rPr>
          <w:rFonts w:hint="default" w:ascii="Times New Roman" w:hAnsi="Times New Roman" w:cs="Times New Roman"/>
          <w:color w:val="auto"/>
          <w:highlight w:val="none"/>
        </w:rPr>
      </w:pPr>
      <w:r>
        <w:rPr>
          <w:rFonts w:hint="default" w:ascii="Times New Roman" w:hAnsi="Times New Roman" w:cs="Times New Roman"/>
          <w:color w:val="auto"/>
          <w:spacing w:val="-6"/>
          <w:highlight w:val="none"/>
        </w:rPr>
        <w:t>本项目地面气象历史资料采用吐鲁番市气象观测站（国家一般气象站）的常见气象资料。</w:t>
      </w:r>
      <w:r>
        <w:rPr>
          <w:rFonts w:hint="default" w:ascii="Times New Roman" w:hAnsi="Times New Roman" w:cs="Times New Roman"/>
          <w:color w:val="auto"/>
          <w:spacing w:val="-6"/>
          <w:highlight w:val="none"/>
          <w:lang w:eastAsia="zh-CN"/>
        </w:rPr>
        <w:t>吐鲁番气象站</w:t>
      </w:r>
      <w:r>
        <w:rPr>
          <w:rFonts w:hint="default" w:ascii="Times New Roman" w:hAnsi="Times New Roman" w:cs="Times New Roman"/>
          <w:color w:val="auto"/>
          <w:spacing w:val="-6"/>
          <w:highlight w:val="none"/>
        </w:rPr>
        <w:t>地理坐标：北纬42.95°，东经89.23°，站点</w:t>
      </w:r>
      <w:r>
        <w:rPr>
          <w:rFonts w:hint="eastAsia" w:cs="Times New Roman"/>
          <w:color w:val="auto"/>
          <w:spacing w:val="-6"/>
          <w:highlight w:val="none"/>
          <w:lang w:eastAsia="zh-CN"/>
        </w:rPr>
        <w:t>海拔</w:t>
      </w:r>
      <w:r>
        <w:rPr>
          <w:rFonts w:hint="default" w:ascii="Times New Roman" w:hAnsi="Times New Roman" w:cs="Times New Roman"/>
          <w:color w:val="auto"/>
          <w:spacing w:val="-6"/>
          <w:highlight w:val="none"/>
          <w:lang w:val="en-US" w:eastAsia="zh-CN"/>
        </w:rPr>
        <w:t>39.3</w:t>
      </w:r>
      <w:r>
        <w:rPr>
          <w:rFonts w:hint="default" w:ascii="Times New Roman" w:hAnsi="Times New Roman" w:cs="Times New Roman"/>
          <w:color w:val="auto"/>
          <w:spacing w:val="-6"/>
          <w:highlight w:val="none"/>
        </w:rPr>
        <w:t>m，气象观测站距离项目区约74km。据生态环境部环境工程评估中心提供数据，此为距离本项目最</w:t>
      </w:r>
      <w:r>
        <w:rPr>
          <w:rFonts w:hint="eastAsia" w:cs="Times New Roman"/>
          <w:color w:val="auto"/>
          <w:spacing w:val="-6"/>
          <w:highlight w:val="none"/>
          <w:lang w:eastAsia="zh-CN"/>
        </w:rPr>
        <w:t>近的</w:t>
      </w:r>
      <w:r>
        <w:rPr>
          <w:rFonts w:hint="default" w:ascii="Times New Roman" w:hAnsi="Times New Roman" w:cs="Times New Roman"/>
          <w:color w:val="auto"/>
          <w:spacing w:val="-6"/>
          <w:highlight w:val="none"/>
        </w:rPr>
        <w:t>气象站点，因此，本环评以此站点气象资料作为预测气象数据。</w:t>
      </w:r>
      <w:r>
        <w:rPr>
          <w:rFonts w:hint="default" w:ascii="Times New Roman" w:hAnsi="Times New Roman" w:cs="Times New Roman"/>
          <w:color w:val="auto"/>
          <w:highlight w:val="none"/>
        </w:rPr>
        <w:t>地面气象参数采用当地202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年全年逐日、一日24次地面观测数据。地面气象数据项目包括：</w:t>
      </w:r>
      <w:r>
        <w:rPr>
          <w:rFonts w:hint="eastAsia" w:cs="Times New Roman"/>
          <w:color w:val="auto"/>
          <w:highlight w:val="none"/>
          <w:lang w:val="en-US" w:eastAsia="zh-CN"/>
        </w:rPr>
        <w:t>时间、</w:t>
      </w:r>
      <w:r>
        <w:rPr>
          <w:rFonts w:hint="default" w:ascii="Times New Roman" w:hAnsi="Times New Roman" w:cs="Times New Roman"/>
          <w:color w:val="auto"/>
          <w:highlight w:val="none"/>
        </w:rPr>
        <w:t>风向、风速、总云量、干球温度5项。</w:t>
      </w:r>
    </w:p>
    <w:p w14:paraId="3B3EBE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422"/>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表5.2-1  地面气象站数据情况表</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277"/>
        <w:gridCol w:w="1144"/>
        <w:gridCol w:w="1050"/>
        <w:gridCol w:w="1065"/>
        <w:gridCol w:w="1065"/>
        <w:gridCol w:w="2061"/>
      </w:tblGrid>
      <w:tr w14:paraId="590B1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277" w:type="dxa"/>
            <w:tcBorders>
              <w:tl2br w:val="nil"/>
              <w:tr2bl w:val="nil"/>
            </w:tcBorders>
            <w:vAlign w:val="center"/>
          </w:tcPr>
          <w:p w14:paraId="78E26412">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气象站名称</w:t>
            </w:r>
          </w:p>
        </w:tc>
        <w:tc>
          <w:tcPr>
            <w:tcW w:w="1277" w:type="dxa"/>
            <w:tcBorders>
              <w:tl2br w:val="nil"/>
              <w:tr2bl w:val="nil"/>
            </w:tcBorders>
            <w:vAlign w:val="center"/>
          </w:tcPr>
          <w:p w14:paraId="7F3B64C4">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气象站编号</w:t>
            </w:r>
          </w:p>
        </w:tc>
        <w:tc>
          <w:tcPr>
            <w:tcW w:w="1144" w:type="dxa"/>
            <w:tcBorders>
              <w:tl2br w:val="nil"/>
              <w:tr2bl w:val="nil"/>
            </w:tcBorders>
            <w:vAlign w:val="center"/>
          </w:tcPr>
          <w:p w14:paraId="69472549">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相对距离/km</w:t>
            </w:r>
          </w:p>
        </w:tc>
        <w:tc>
          <w:tcPr>
            <w:tcW w:w="1050" w:type="dxa"/>
            <w:tcBorders>
              <w:tl2br w:val="nil"/>
              <w:tr2bl w:val="nil"/>
            </w:tcBorders>
            <w:vAlign w:val="center"/>
          </w:tcPr>
          <w:p w14:paraId="78FFEF8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气象站等级</w:t>
            </w:r>
          </w:p>
        </w:tc>
        <w:tc>
          <w:tcPr>
            <w:tcW w:w="1065" w:type="dxa"/>
            <w:tcBorders>
              <w:tl2br w:val="nil"/>
              <w:tr2bl w:val="nil"/>
            </w:tcBorders>
            <w:vAlign w:val="center"/>
          </w:tcPr>
          <w:p w14:paraId="39AD8904">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eastAsia="zh-CN"/>
              </w:rPr>
              <w:t>海拔</w:t>
            </w:r>
            <w:r>
              <w:rPr>
                <w:rFonts w:hint="default" w:ascii="Times New Roman" w:hAnsi="Times New Roman" w:cs="Times New Roman"/>
                <w:b/>
                <w:bCs/>
                <w:color w:val="auto"/>
                <w:sz w:val="21"/>
                <w:szCs w:val="21"/>
                <w:highlight w:val="none"/>
              </w:rPr>
              <w:t>/m</w:t>
            </w:r>
          </w:p>
        </w:tc>
        <w:tc>
          <w:tcPr>
            <w:tcW w:w="1065" w:type="dxa"/>
            <w:tcBorders>
              <w:tl2br w:val="nil"/>
              <w:tr2bl w:val="nil"/>
            </w:tcBorders>
            <w:vAlign w:val="center"/>
          </w:tcPr>
          <w:p w14:paraId="5D823F12">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数据年份</w:t>
            </w:r>
          </w:p>
        </w:tc>
        <w:tc>
          <w:tcPr>
            <w:tcW w:w="2061" w:type="dxa"/>
            <w:tcBorders>
              <w:tl2br w:val="nil"/>
              <w:tr2bl w:val="nil"/>
            </w:tcBorders>
            <w:vAlign w:val="center"/>
          </w:tcPr>
          <w:p w14:paraId="1F1CF15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气象要素</w:t>
            </w:r>
          </w:p>
        </w:tc>
      </w:tr>
      <w:tr w14:paraId="5D2A2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77" w:type="dxa"/>
            <w:tcBorders>
              <w:tl2br w:val="nil"/>
              <w:tr2bl w:val="nil"/>
            </w:tcBorders>
            <w:vAlign w:val="center"/>
          </w:tcPr>
          <w:p w14:paraId="4E0C2AA9">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吐鲁番</w:t>
            </w:r>
          </w:p>
          <w:p w14:paraId="4E5C84C7">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东坎</w:t>
            </w:r>
          </w:p>
        </w:tc>
        <w:tc>
          <w:tcPr>
            <w:tcW w:w="1277" w:type="dxa"/>
            <w:tcBorders>
              <w:tl2br w:val="nil"/>
              <w:tr2bl w:val="nil"/>
            </w:tcBorders>
            <w:vAlign w:val="center"/>
          </w:tcPr>
          <w:p w14:paraId="74AA9417">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5157</w:t>
            </w:r>
            <w:r>
              <w:rPr>
                <w:rFonts w:hint="default" w:ascii="Times New Roman" w:hAnsi="Times New Roman" w:cs="Times New Roman"/>
                <w:color w:val="auto"/>
                <w:sz w:val="21"/>
                <w:szCs w:val="21"/>
                <w:highlight w:val="none"/>
                <w:lang w:val="en-US" w:eastAsia="zh-CN"/>
              </w:rPr>
              <w:t>3</w:t>
            </w:r>
          </w:p>
        </w:tc>
        <w:tc>
          <w:tcPr>
            <w:tcW w:w="1144" w:type="dxa"/>
            <w:tcBorders>
              <w:tl2br w:val="nil"/>
              <w:tr2bl w:val="nil"/>
            </w:tcBorders>
            <w:vAlign w:val="center"/>
          </w:tcPr>
          <w:p w14:paraId="5FFACE4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w:t>
            </w:r>
          </w:p>
        </w:tc>
        <w:tc>
          <w:tcPr>
            <w:tcW w:w="1050" w:type="dxa"/>
            <w:tcBorders>
              <w:tl2br w:val="nil"/>
              <w:tr2bl w:val="nil"/>
            </w:tcBorders>
            <w:vAlign w:val="center"/>
          </w:tcPr>
          <w:p w14:paraId="3FE64CB1">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一般站</w:t>
            </w:r>
          </w:p>
        </w:tc>
        <w:tc>
          <w:tcPr>
            <w:tcW w:w="1065" w:type="dxa"/>
            <w:tcBorders>
              <w:tl2br w:val="nil"/>
              <w:tr2bl w:val="nil"/>
            </w:tcBorders>
            <w:vAlign w:val="center"/>
          </w:tcPr>
          <w:p w14:paraId="7AC722B3">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39.3</w:t>
            </w:r>
          </w:p>
        </w:tc>
        <w:tc>
          <w:tcPr>
            <w:tcW w:w="1065" w:type="dxa"/>
            <w:tcBorders>
              <w:tl2br w:val="nil"/>
              <w:tr2bl w:val="nil"/>
            </w:tcBorders>
            <w:vAlign w:val="center"/>
          </w:tcPr>
          <w:p w14:paraId="4319087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2023</w:t>
            </w:r>
          </w:p>
        </w:tc>
        <w:tc>
          <w:tcPr>
            <w:tcW w:w="2061" w:type="dxa"/>
            <w:tcBorders>
              <w:tl2br w:val="nil"/>
              <w:tr2bl w:val="nil"/>
            </w:tcBorders>
            <w:vAlign w:val="center"/>
          </w:tcPr>
          <w:p w14:paraId="236F0575">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时间（年、月、日、时）、风向、风速、干球温度、总云量</w:t>
            </w:r>
          </w:p>
        </w:tc>
      </w:tr>
    </w:tbl>
    <w:p w14:paraId="1BE75117">
      <w:pPr>
        <w:pStyle w:val="129"/>
        <w:pageBreakBefore w:val="0"/>
        <w:wordWrap/>
        <w:topLinePunct w:val="0"/>
        <w:bidi w:val="0"/>
        <w:adjustRightInd w:val="0"/>
        <w:snapToGrid w:val="0"/>
        <w:ind w:left="0" w:leftChars="0" w:firstLine="480"/>
        <w:rPr>
          <w:rFonts w:ascii="Times New Roman" w:hAnsi="Times New Roman" w:eastAsia="宋体" w:cs="Times New Roman"/>
          <w:bCs/>
          <w:color w:val="auto"/>
          <w:highlight w:val="none"/>
        </w:rPr>
      </w:pPr>
      <w:r>
        <w:rPr>
          <w:rFonts w:hint="eastAsia" w:ascii="Times New Roman" w:hAnsi="Times New Roman" w:eastAsia="宋体" w:cs="Times New Roman"/>
          <w:bCs/>
          <w:color w:val="auto"/>
          <w:highlight w:val="none"/>
        </w:rPr>
        <w:t>以下资料为项目区内近20年气象数据统计分析，具体详见表</w:t>
      </w:r>
      <w:r>
        <w:rPr>
          <w:rFonts w:hint="eastAsia" w:ascii="Times New Roman" w:hAnsi="Times New Roman" w:eastAsia="宋体" w:cs="Times New Roman"/>
          <w:bCs/>
          <w:color w:val="auto"/>
          <w:highlight w:val="none"/>
          <w:lang w:val="en-US" w:eastAsia="zh-CN"/>
        </w:rPr>
        <w:t>5.2-2</w:t>
      </w:r>
      <w:r>
        <w:rPr>
          <w:rFonts w:hint="eastAsia" w:ascii="Times New Roman" w:hAnsi="Times New Roman" w:eastAsia="宋体" w:cs="Times New Roman"/>
          <w:bCs/>
          <w:color w:val="auto"/>
          <w:highlight w:val="none"/>
        </w:rPr>
        <w:t>。</w:t>
      </w:r>
    </w:p>
    <w:p w14:paraId="141E97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b/>
          <w:bCs/>
          <w:color w:val="auto"/>
          <w:sz w:val="21"/>
          <w:szCs w:val="21"/>
          <w:highlight w:val="none"/>
        </w:rPr>
      </w:pPr>
      <w:r>
        <w:rPr>
          <w:rFonts w:hint="eastAsia" w:cs="Times New Roman"/>
          <w:b/>
          <w:bCs/>
          <w:color w:val="auto"/>
          <w:sz w:val="21"/>
          <w:szCs w:val="21"/>
          <w:highlight w:val="none"/>
        </w:rPr>
        <w:t>表</w:t>
      </w:r>
      <w:r>
        <w:rPr>
          <w:rFonts w:hint="eastAsia" w:cs="Times New Roman"/>
          <w:b/>
          <w:bCs/>
          <w:color w:val="auto"/>
          <w:sz w:val="21"/>
          <w:szCs w:val="21"/>
          <w:highlight w:val="none"/>
          <w:lang w:val="en-US" w:eastAsia="zh-CN"/>
        </w:rPr>
        <w:t>5.2-2</w:t>
      </w:r>
      <w:r>
        <w:rPr>
          <w:rFonts w:cs="Times New Roman"/>
          <w:b/>
          <w:bCs/>
          <w:color w:val="auto"/>
          <w:sz w:val="21"/>
          <w:szCs w:val="21"/>
          <w:highlight w:val="none"/>
        </w:rPr>
        <w:t xml:space="preserve">  </w:t>
      </w:r>
      <w:r>
        <w:rPr>
          <w:rFonts w:hint="eastAsia" w:cs="Times New Roman"/>
          <w:b/>
          <w:bCs/>
          <w:color w:val="auto"/>
          <w:sz w:val="21"/>
          <w:szCs w:val="21"/>
          <w:highlight w:val="none"/>
        </w:rPr>
        <w:t>气象数据一览表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89"/>
        <w:gridCol w:w="1789"/>
      </w:tblGrid>
      <w:tr w14:paraId="3D710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9" w:type="dxa"/>
            <w:vAlign w:val="center"/>
          </w:tcPr>
          <w:p w14:paraId="74B17E83">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统计时间</w:t>
            </w:r>
          </w:p>
        </w:tc>
        <w:tc>
          <w:tcPr>
            <w:tcW w:w="1789" w:type="dxa"/>
            <w:vAlign w:val="center"/>
          </w:tcPr>
          <w:p w14:paraId="584F63E5">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最低温度</w:t>
            </w:r>
          </w:p>
        </w:tc>
        <w:tc>
          <w:tcPr>
            <w:tcW w:w="1790" w:type="dxa"/>
            <w:vAlign w:val="center"/>
          </w:tcPr>
          <w:p w14:paraId="78B82F37">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最高温度</w:t>
            </w:r>
          </w:p>
        </w:tc>
        <w:tc>
          <w:tcPr>
            <w:tcW w:w="1789" w:type="dxa"/>
            <w:vAlign w:val="center"/>
          </w:tcPr>
          <w:p w14:paraId="4CF847D1">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最小风速</w:t>
            </w:r>
          </w:p>
        </w:tc>
        <w:tc>
          <w:tcPr>
            <w:tcW w:w="1789" w:type="dxa"/>
            <w:vAlign w:val="center"/>
          </w:tcPr>
          <w:p w14:paraId="6BE7FA0F">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测风高度</w:t>
            </w:r>
          </w:p>
        </w:tc>
      </w:tr>
      <w:tr w14:paraId="069C2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9" w:type="dxa"/>
            <w:vAlign w:val="center"/>
          </w:tcPr>
          <w:p w14:paraId="347A341B">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20</w:t>
            </w:r>
            <w:r>
              <w:rPr>
                <w:rFonts w:hint="eastAsia" w:ascii="宋体" w:hAnsi="宋体" w:eastAsia="宋体"/>
                <w:color w:val="auto"/>
                <w:sz w:val="21"/>
                <w:szCs w:val="21"/>
                <w:highlight w:val="none"/>
              </w:rPr>
              <w:t>年</w:t>
            </w:r>
          </w:p>
        </w:tc>
        <w:tc>
          <w:tcPr>
            <w:tcW w:w="1789" w:type="dxa"/>
            <w:vAlign w:val="center"/>
          </w:tcPr>
          <w:p w14:paraId="4F2DB617">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w:t>
            </w:r>
            <w:r>
              <w:rPr>
                <w:rFonts w:ascii="宋体" w:hAnsi="宋体" w:eastAsia="宋体"/>
                <w:color w:val="auto"/>
                <w:sz w:val="21"/>
                <w:szCs w:val="21"/>
                <w:highlight w:val="none"/>
              </w:rPr>
              <w:t>26.7</w:t>
            </w:r>
            <w:r>
              <w:rPr>
                <w:rFonts w:hint="eastAsia" w:ascii="宋体" w:hAnsi="宋体" w:eastAsia="宋体"/>
                <w:color w:val="auto"/>
                <w:sz w:val="21"/>
                <w:szCs w:val="21"/>
                <w:highlight w:val="none"/>
              </w:rPr>
              <w:t>℃</w:t>
            </w:r>
          </w:p>
        </w:tc>
        <w:tc>
          <w:tcPr>
            <w:tcW w:w="1790" w:type="dxa"/>
            <w:vAlign w:val="center"/>
          </w:tcPr>
          <w:p w14:paraId="27AF78BB">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44.8</w:t>
            </w:r>
            <w:r>
              <w:rPr>
                <w:rFonts w:hint="eastAsia" w:ascii="宋体" w:hAnsi="宋体" w:eastAsia="宋体"/>
                <w:color w:val="auto"/>
                <w:sz w:val="21"/>
                <w:szCs w:val="21"/>
                <w:highlight w:val="none"/>
              </w:rPr>
              <w:t>℃</w:t>
            </w:r>
          </w:p>
        </w:tc>
        <w:tc>
          <w:tcPr>
            <w:tcW w:w="1789" w:type="dxa"/>
            <w:vAlign w:val="center"/>
          </w:tcPr>
          <w:p w14:paraId="11B778C0">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0.5m/s</w:t>
            </w:r>
          </w:p>
        </w:tc>
        <w:tc>
          <w:tcPr>
            <w:tcW w:w="1789" w:type="dxa"/>
            <w:vAlign w:val="center"/>
          </w:tcPr>
          <w:p w14:paraId="46A016EC">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10</w:t>
            </w:r>
          </w:p>
        </w:tc>
      </w:tr>
    </w:tbl>
    <w:p w14:paraId="718CD0AB">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eastAsia" w:cs="Times New Roman"/>
          <w:color w:val="auto"/>
          <w:highlight w:val="none"/>
          <w:lang w:eastAsia="zh-CN"/>
        </w:rPr>
        <w:t>1.</w:t>
      </w:r>
      <w:r>
        <w:rPr>
          <w:rFonts w:hint="default" w:ascii="Times New Roman" w:hAnsi="Times New Roman" w:cs="Times New Roman"/>
          <w:color w:val="auto"/>
          <w:highlight w:val="none"/>
        </w:rPr>
        <w:t>温度</w:t>
      </w:r>
    </w:p>
    <w:p w14:paraId="15BD76D9">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吐鲁番气象站</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年统计资料，年平均气温月变化情况见表5.2-</w:t>
      </w:r>
      <w:r>
        <w:rPr>
          <w:rFonts w:hint="eastAsia" w:cs="Times New Roman"/>
          <w:color w:val="auto"/>
          <w:highlight w:val="none"/>
          <w:lang w:val="en-US" w:eastAsia="zh-CN"/>
        </w:rPr>
        <w:t>3</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年平均气温月变化曲线见图5.2-1。从年平均气温月变化资料中可以看出7月份平均气温最高（</w:t>
      </w:r>
      <w:r>
        <w:rPr>
          <w:rFonts w:hint="eastAsia" w:cs="Times New Roman"/>
          <w:color w:val="auto"/>
          <w:highlight w:val="none"/>
          <w:lang w:val="en-US" w:eastAsia="zh-CN"/>
        </w:rPr>
        <w:t>36.2</w:t>
      </w:r>
      <w:r>
        <w:rPr>
          <w:rFonts w:hint="default" w:ascii="Times New Roman" w:hAnsi="Times New Roman" w:cs="Times New Roman"/>
          <w:color w:val="auto"/>
          <w:highlight w:val="none"/>
        </w:rPr>
        <w:t>ºC），1月气温平均最低（-7.2</w:t>
      </w:r>
      <w:r>
        <w:rPr>
          <w:rFonts w:hint="eastAsia" w:cs="Times New Roman"/>
          <w:color w:val="auto"/>
          <w:highlight w:val="none"/>
          <w:lang w:val="en-US" w:eastAsia="zh-CN"/>
        </w:rPr>
        <w:t>2</w:t>
      </w:r>
      <w:r>
        <w:rPr>
          <w:rFonts w:hint="default" w:ascii="Times New Roman" w:hAnsi="Times New Roman" w:cs="Times New Roman"/>
          <w:color w:val="auto"/>
          <w:highlight w:val="none"/>
        </w:rPr>
        <w:t>ºC）。</w:t>
      </w:r>
    </w:p>
    <w:p w14:paraId="129EE4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422"/>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吐鲁番气象站</w:t>
      </w:r>
      <w:r>
        <w:rPr>
          <w:rFonts w:hint="default" w:ascii="Times New Roman" w:hAnsi="Times New Roman" w:eastAsia="宋体" w:cs="Times New Roman"/>
          <w:b/>
          <w:bCs/>
          <w:color w:val="auto"/>
          <w:sz w:val="21"/>
          <w:szCs w:val="21"/>
          <w:highlight w:val="none"/>
        </w:rPr>
        <w:t xml:space="preserve"> 202</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年各月平均温度变化统计表</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654"/>
        <w:gridCol w:w="669"/>
        <w:gridCol w:w="689"/>
        <w:gridCol w:w="689"/>
        <w:gridCol w:w="689"/>
        <w:gridCol w:w="689"/>
        <w:gridCol w:w="689"/>
        <w:gridCol w:w="689"/>
        <w:gridCol w:w="689"/>
        <w:gridCol w:w="689"/>
        <w:gridCol w:w="669"/>
        <w:gridCol w:w="683"/>
      </w:tblGrid>
      <w:tr w14:paraId="57127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18" w:type="dxa"/>
            <w:tcBorders>
              <w:tl2br w:val="nil"/>
              <w:tr2bl w:val="nil"/>
            </w:tcBorders>
          </w:tcPr>
          <w:p w14:paraId="3B20F08E">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月份</w:t>
            </w:r>
          </w:p>
        </w:tc>
        <w:tc>
          <w:tcPr>
            <w:tcW w:w="556" w:type="dxa"/>
            <w:tcBorders>
              <w:tl2br w:val="nil"/>
              <w:tr2bl w:val="nil"/>
            </w:tcBorders>
          </w:tcPr>
          <w:p w14:paraId="392F6262">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w:t>
            </w:r>
          </w:p>
        </w:tc>
        <w:tc>
          <w:tcPr>
            <w:tcW w:w="687" w:type="dxa"/>
            <w:tcBorders>
              <w:tl2br w:val="nil"/>
              <w:tr2bl w:val="nil"/>
            </w:tcBorders>
          </w:tcPr>
          <w:p w14:paraId="5008DBD9">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w:t>
            </w:r>
          </w:p>
        </w:tc>
        <w:tc>
          <w:tcPr>
            <w:tcW w:w="687" w:type="dxa"/>
            <w:tcBorders>
              <w:tl2br w:val="nil"/>
              <w:tr2bl w:val="nil"/>
            </w:tcBorders>
          </w:tcPr>
          <w:p w14:paraId="4DE8B2C3">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w:t>
            </w:r>
          </w:p>
        </w:tc>
        <w:tc>
          <w:tcPr>
            <w:tcW w:w="687" w:type="dxa"/>
            <w:tcBorders>
              <w:tl2br w:val="nil"/>
              <w:tr2bl w:val="nil"/>
            </w:tcBorders>
          </w:tcPr>
          <w:p w14:paraId="1C06201A">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4</w:t>
            </w:r>
          </w:p>
        </w:tc>
        <w:tc>
          <w:tcPr>
            <w:tcW w:w="687" w:type="dxa"/>
            <w:tcBorders>
              <w:tl2br w:val="nil"/>
              <w:tr2bl w:val="nil"/>
            </w:tcBorders>
          </w:tcPr>
          <w:p w14:paraId="17FC22F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5</w:t>
            </w:r>
          </w:p>
        </w:tc>
        <w:tc>
          <w:tcPr>
            <w:tcW w:w="687" w:type="dxa"/>
            <w:tcBorders>
              <w:tl2br w:val="nil"/>
              <w:tr2bl w:val="nil"/>
            </w:tcBorders>
          </w:tcPr>
          <w:p w14:paraId="76497D0F">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6</w:t>
            </w:r>
          </w:p>
        </w:tc>
        <w:tc>
          <w:tcPr>
            <w:tcW w:w="687" w:type="dxa"/>
            <w:tcBorders>
              <w:tl2br w:val="nil"/>
              <w:tr2bl w:val="nil"/>
            </w:tcBorders>
          </w:tcPr>
          <w:p w14:paraId="171F351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7</w:t>
            </w:r>
          </w:p>
        </w:tc>
        <w:tc>
          <w:tcPr>
            <w:tcW w:w="687" w:type="dxa"/>
            <w:tcBorders>
              <w:tl2br w:val="nil"/>
              <w:tr2bl w:val="nil"/>
            </w:tcBorders>
          </w:tcPr>
          <w:p w14:paraId="18C9EF4E">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8</w:t>
            </w:r>
          </w:p>
        </w:tc>
        <w:tc>
          <w:tcPr>
            <w:tcW w:w="687" w:type="dxa"/>
            <w:tcBorders>
              <w:tl2br w:val="nil"/>
              <w:tr2bl w:val="nil"/>
            </w:tcBorders>
          </w:tcPr>
          <w:p w14:paraId="0221725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9</w:t>
            </w:r>
          </w:p>
        </w:tc>
        <w:tc>
          <w:tcPr>
            <w:tcW w:w="687" w:type="dxa"/>
            <w:tcBorders>
              <w:tl2br w:val="nil"/>
              <w:tr2bl w:val="nil"/>
            </w:tcBorders>
          </w:tcPr>
          <w:p w14:paraId="5E10A70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10</w:t>
            </w:r>
          </w:p>
        </w:tc>
        <w:tc>
          <w:tcPr>
            <w:tcW w:w="687" w:type="dxa"/>
            <w:tcBorders>
              <w:tl2br w:val="nil"/>
              <w:tr2bl w:val="nil"/>
            </w:tcBorders>
          </w:tcPr>
          <w:p w14:paraId="00E1CEEA">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11</w:t>
            </w:r>
          </w:p>
        </w:tc>
        <w:tc>
          <w:tcPr>
            <w:tcW w:w="688" w:type="dxa"/>
            <w:tcBorders>
              <w:tl2br w:val="nil"/>
              <w:tr2bl w:val="nil"/>
            </w:tcBorders>
          </w:tcPr>
          <w:p w14:paraId="07A86E3F">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12</w:t>
            </w:r>
          </w:p>
        </w:tc>
      </w:tr>
      <w:tr w14:paraId="26A1B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18" w:type="dxa"/>
            <w:tcBorders>
              <w:tl2br w:val="nil"/>
              <w:tr2bl w:val="nil"/>
            </w:tcBorders>
          </w:tcPr>
          <w:p w14:paraId="42FFAC0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温度/℃</w:t>
            </w:r>
          </w:p>
        </w:tc>
        <w:tc>
          <w:tcPr>
            <w:tcW w:w="556" w:type="dxa"/>
            <w:tcBorders>
              <w:tl2br w:val="nil"/>
              <w:tr2bl w:val="nil"/>
            </w:tcBorders>
            <w:vAlign w:val="bottom"/>
          </w:tcPr>
          <w:p w14:paraId="144E617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-7.22 </w:t>
            </w:r>
          </w:p>
        </w:tc>
        <w:tc>
          <w:tcPr>
            <w:tcW w:w="687" w:type="dxa"/>
            <w:tcBorders>
              <w:tl2br w:val="nil"/>
              <w:tr2bl w:val="nil"/>
            </w:tcBorders>
            <w:vAlign w:val="bottom"/>
          </w:tcPr>
          <w:p w14:paraId="5B01599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4.76 </w:t>
            </w:r>
          </w:p>
        </w:tc>
        <w:tc>
          <w:tcPr>
            <w:tcW w:w="687" w:type="dxa"/>
            <w:tcBorders>
              <w:tl2br w:val="nil"/>
              <w:tr2bl w:val="nil"/>
            </w:tcBorders>
            <w:vAlign w:val="bottom"/>
          </w:tcPr>
          <w:p w14:paraId="515DFE5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15.14 </w:t>
            </w:r>
          </w:p>
        </w:tc>
        <w:tc>
          <w:tcPr>
            <w:tcW w:w="687" w:type="dxa"/>
            <w:tcBorders>
              <w:tl2br w:val="nil"/>
              <w:tr2bl w:val="nil"/>
            </w:tcBorders>
            <w:vAlign w:val="bottom"/>
          </w:tcPr>
          <w:p w14:paraId="5BFC00E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19.01 </w:t>
            </w:r>
          </w:p>
        </w:tc>
        <w:tc>
          <w:tcPr>
            <w:tcW w:w="687" w:type="dxa"/>
            <w:tcBorders>
              <w:tl2br w:val="nil"/>
              <w:tr2bl w:val="nil"/>
            </w:tcBorders>
            <w:vAlign w:val="bottom"/>
          </w:tcPr>
          <w:p w14:paraId="7247744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25.96 </w:t>
            </w:r>
          </w:p>
        </w:tc>
        <w:tc>
          <w:tcPr>
            <w:tcW w:w="687" w:type="dxa"/>
            <w:tcBorders>
              <w:tl2br w:val="nil"/>
              <w:tr2bl w:val="nil"/>
            </w:tcBorders>
            <w:vAlign w:val="bottom"/>
          </w:tcPr>
          <w:p w14:paraId="2DBD6FC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34.19 </w:t>
            </w:r>
          </w:p>
        </w:tc>
        <w:tc>
          <w:tcPr>
            <w:tcW w:w="687" w:type="dxa"/>
            <w:tcBorders>
              <w:tl2br w:val="nil"/>
              <w:tr2bl w:val="nil"/>
            </w:tcBorders>
            <w:vAlign w:val="bottom"/>
          </w:tcPr>
          <w:p w14:paraId="179DB28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36.20 </w:t>
            </w:r>
          </w:p>
        </w:tc>
        <w:tc>
          <w:tcPr>
            <w:tcW w:w="687" w:type="dxa"/>
            <w:tcBorders>
              <w:tl2br w:val="nil"/>
              <w:tr2bl w:val="nil"/>
            </w:tcBorders>
            <w:vAlign w:val="bottom"/>
          </w:tcPr>
          <w:p w14:paraId="56EA417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34.80 </w:t>
            </w:r>
          </w:p>
        </w:tc>
        <w:tc>
          <w:tcPr>
            <w:tcW w:w="687" w:type="dxa"/>
            <w:tcBorders>
              <w:tl2br w:val="nil"/>
              <w:tr2bl w:val="nil"/>
            </w:tcBorders>
            <w:vAlign w:val="bottom"/>
          </w:tcPr>
          <w:p w14:paraId="712E62A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27.37 </w:t>
            </w:r>
          </w:p>
        </w:tc>
        <w:tc>
          <w:tcPr>
            <w:tcW w:w="687" w:type="dxa"/>
            <w:tcBorders>
              <w:tl2br w:val="nil"/>
              <w:tr2bl w:val="nil"/>
            </w:tcBorders>
            <w:vAlign w:val="bottom"/>
          </w:tcPr>
          <w:p w14:paraId="66BEA7B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19.98 </w:t>
            </w:r>
          </w:p>
        </w:tc>
        <w:tc>
          <w:tcPr>
            <w:tcW w:w="687" w:type="dxa"/>
            <w:tcBorders>
              <w:tl2br w:val="nil"/>
              <w:tr2bl w:val="nil"/>
            </w:tcBorders>
            <w:vAlign w:val="bottom"/>
          </w:tcPr>
          <w:p w14:paraId="1CBB613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6.82 </w:t>
            </w:r>
          </w:p>
        </w:tc>
        <w:tc>
          <w:tcPr>
            <w:tcW w:w="688" w:type="dxa"/>
            <w:tcBorders>
              <w:tl2br w:val="nil"/>
              <w:tr2bl w:val="nil"/>
            </w:tcBorders>
            <w:vAlign w:val="bottom"/>
          </w:tcPr>
          <w:p w14:paraId="012E5F1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-4.43 </w:t>
            </w:r>
          </w:p>
        </w:tc>
      </w:tr>
    </w:tbl>
    <w:p w14:paraId="379FC450">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firstLine="480"/>
        <w:jc w:val="left"/>
        <w:textAlignment w:val="auto"/>
        <w:rPr>
          <w:rFonts w:hint="default" w:ascii="Times New Roman" w:hAnsi="Times New Roman" w:cs="Times New Roman"/>
          <w:color w:val="auto"/>
          <w:highlight w:val="none"/>
        </w:rPr>
      </w:pPr>
    </w:p>
    <w:p w14:paraId="732B8AD7">
      <w:pPr>
        <w:pageBreakBefore w:val="0"/>
        <w:wordWrap/>
        <w:topLinePunct w:val="0"/>
        <w:bidi w:val="0"/>
        <w:adjustRightInd w:val="0"/>
        <w:snapToGrid w:val="0"/>
        <w:ind w:left="0" w:leftChars="0" w:right="0" w:firstLine="0" w:firstLineChars="0"/>
        <w:jc w:val="left"/>
        <w:rPr>
          <w:rFonts w:hint="default" w:ascii="Times New Roman" w:hAnsi="Times New Roman" w:cs="Times New Roman"/>
          <w:color w:val="auto"/>
          <w:highlight w:val="none"/>
        </w:rPr>
      </w:pPr>
    </w:p>
    <w:p w14:paraId="05F5EBCA">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图5.2-1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年各月平均温度变化曲线图</w:t>
      </w:r>
    </w:p>
    <w:p w14:paraId="0F15AD8D">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eastAsia" w:cs="Times New Roman"/>
          <w:color w:val="auto"/>
          <w:highlight w:val="none"/>
          <w:lang w:eastAsia="zh-CN"/>
        </w:rPr>
        <w:t>2.</w:t>
      </w:r>
      <w:r>
        <w:rPr>
          <w:rFonts w:hint="default" w:ascii="Times New Roman" w:hAnsi="Times New Roman" w:cs="Times New Roman"/>
          <w:color w:val="auto"/>
          <w:highlight w:val="none"/>
        </w:rPr>
        <w:t>风速、风频</w:t>
      </w:r>
    </w:p>
    <w:p w14:paraId="3B8953EE">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吐鲁番气象站</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年风速月变化见表5.2-</w:t>
      </w:r>
      <w:r>
        <w:rPr>
          <w:rFonts w:hint="eastAsia" w:cs="Times New Roman"/>
          <w:color w:val="auto"/>
          <w:highlight w:val="none"/>
          <w:lang w:val="en-US" w:eastAsia="zh-CN"/>
        </w:rPr>
        <w:t>4</w:t>
      </w:r>
      <w:r>
        <w:rPr>
          <w:rFonts w:hint="default" w:ascii="Times New Roman" w:hAnsi="Times New Roman" w:cs="Times New Roman"/>
          <w:color w:val="auto"/>
          <w:highlight w:val="none"/>
        </w:rPr>
        <w:t>，图5.2-2，季小时平均风速变化见表5.2-</w:t>
      </w:r>
      <w:r>
        <w:rPr>
          <w:rFonts w:hint="eastAsia" w:cs="Times New Roman"/>
          <w:color w:val="auto"/>
          <w:highlight w:val="none"/>
          <w:lang w:val="en-US" w:eastAsia="zh-CN"/>
        </w:rPr>
        <w:t>5</w:t>
      </w:r>
      <w:r>
        <w:rPr>
          <w:rFonts w:hint="default" w:ascii="Times New Roman" w:hAnsi="Times New Roman" w:cs="Times New Roman"/>
          <w:color w:val="auto"/>
          <w:highlight w:val="none"/>
        </w:rPr>
        <w:t>，图5.2-3，全年及四季各风向频率见表5.2-</w:t>
      </w:r>
      <w:r>
        <w:rPr>
          <w:rFonts w:hint="eastAsia" w:cs="Times New Roman"/>
          <w:color w:val="auto"/>
          <w:highlight w:val="none"/>
          <w:lang w:val="en-US" w:eastAsia="zh-CN"/>
        </w:rPr>
        <w:t>6</w:t>
      </w:r>
      <w:r>
        <w:rPr>
          <w:rFonts w:hint="default" w:ascii="Times New Roman" w:hAnsi="Times New Roman" w:cs="Times New Roman"/>
          <w:color w:val="auto"/>
          <w:highlight w:val="none"/>
        </w:rPr>
        <w:t>，图5.2-4，风速频率见表5.2-</w:t>
      </w:r>
      <w:r>
        <w:rPr>
          <w:rFonts w:hint="eastAsia" w:cs="Times New Roman"/>
          <w:color w:val="auto"/>
          <w:highlight w:val="none"/>
          <w:lang w:val="en-US" w:eastAsia="zh-CN"/>
        </w:rPr>
        <w:t>7</w:t>
      </w:r>
      <w:r>
        <w:rPr>
          <w:rFonts w:hint="default" w:ascii="Times New Roman" w:hAnsi="Times New Roman" w:cs="Times New Roman"/>
          <w:color w:val="auto"/>
          <w:highlight w:val="none"/>
        </w:rPr>
        <w:t>、图5.2-5。</w:t>
      </w:r>
    </w:p>
    <w:p w14:paraId="7612462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 xml:space="preserve">  年平均风速的月变化</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7"/>
        <w:gridCol w:w="587"/>
        <w:gridCol w:w="674"/>
        <w:gridCol w:w="674"/>
        <w:gridCol w:w="675"/>
        <w:gridCol w:w="675"/>
        <w:gridCol w:w="675"/>
        <w:gridCol w:w="675"/>
        <w:gridCol w:w="675"/>
        <w:gridCol w:w="675"/>
        <w:gridCol w:w="675"/>
        <w:gridCol w:w="675"/>
        <w:gridCol w:w="676"/>
      </w:tblGrid>
      <w:tr w14:paraId="56AAE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37" w:type="dxa"/>
            <w:tcBorders>
              <w:tl2br w:val="nil"/>
              <w:tr2bl w:val="nil"/>
            </w:tcBorders>
            <w:vAlign w:val="center"/>
          </w:tcPr>
          <w:p w14:paraId="0169837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月份</w:t>
            </w:r>
          </w:p>
        </w:tc>
        <w:tc>
          <w:tcPr>
            <w:tcW w:w="587" w:type="dxa"/>
            <w:tcBorders>
              <w:tl2br w:val="nil"/>
              <w:tr2bl w:val="nil"/>
            </w:tcBorders>
            <w:vAlign w:val="center"/>
          </w:tcPr>
          <w:p w14:paraId="38163FA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1</w:t>
            </w:r>
          </w:p>
        </w:tc>
        <w:tc>
          <w:tcPr>
            <w:tcW w:w="674" w:type="dxa"/>
            <w:tcBorders>
              <w:tl2br w:val="nil"/>
              <w:tr2bl w:val="nil"/>
            </w:tcBorders>
            <w:vAlign w:val="center"/>
          </w:tcPr>
          <w:p w14:paraId="043B505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2</w:t>
            </w:r>
          </w:p>
        </w:tc>
        <w:tc>
          <w:tcPr>
            <w:tcW w:w="674" w:type="dxa"/>
            <w:tcBorders>
              <w:tl2br w:val="nil"/>
              <w:tr2bl w:val="nil"/>
            </w:tcBorders>
            <w:vAlign w:val="center"/>
          </w:tcPr>
          <w:p w14:paraId="7D97B1E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3</w:t>
            </w:r>
          </w:p>
        </w:tc>
        <w:tc>
          <w:tcPr>
            <w:tcW w:w="675" w:type="dxa"/>
            <w:tcBorders>
              <w:tl2br w:val="nil"/>
              <w:tr2bl w:val="nil"/>
            </w:tcBorders>
            <w:vAlign w:val="center"/>
          </w:tcPr>
          <w:p w14:paraId="08C948D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4</w:t>
            </w:r>
          </w:p>
        </w:tc>
        <w:tc>
          <w:tcPr>
            <w:tcW w:w="675" w:type="dxa"/>
            <w:tcBorders>
              <w:tl2br w:val="nil"/>
              <w:tr2bl w:val="nil"/>
            </w:tcBorders>
            <w:vAlign w:val="center"/>
          </w:tcPr>
          <w:p w14:paraId="238B5AB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5</w:t>
            </w:r>
          </w:p>
        </w:tc>
        <w:tc>
          <w:tcPr>
            <w:tcW w:w="675" w:type="dxa"/>
            <w:tcBorders>
              <w:tl2br w:val="nil"/>
              <w:tr2bl w:val="nil"/>
            </w:tcBorders>
            <w:vAlign w:val="center"/>
          </w:tcPr>
          <w:p w14:paraId="21F1E01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6</w:t>
            </w:r>
          </w:p>
        </w:tc>
        <w:tc>
          <w:tcPr>
            <w:tcW w:w="675" w:type="dxa"/>
            <w:tcBorders>
              <w:tl2br w:val="nil"/>
              <w:tr2bl w:val="nil"/>
            </w:tcBorders>
            <w:vAlign w:val="center"/>
          </w:tcPr>
          <w:p w14:paraId="71A469E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7</w:t>
            </w:r>
          </w:p>
        </w:tc>
        <w:tc>
          <w:tcPr>
            <w:tcW w:w="675" w:type="dxa"/>
            <w:tcBorders>
              <w:tl2br w:val="nil"/>
              <w:tr2bl w:val="nil"/>
            </w:tcBorders>
            <w:vAlign w:val="center"/>
          </w:tcPr>
          <w:p w14:paraId="789079D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8</w:t>
            </w:r>
          </w:p>
        </w:tc>
        <w:tc>
          <w:tcPr>
            <w:tcW w:w="675" w:type="dxa"/>
            <w:tcBorders>
              <w:tl2br w:val="nil"/>
              <w:tr2bl w:val="nil"/>
            </w:tcBorders>
            <w:vAlign w:val="center"/>
          </w:tcPr>
          <w:p w14:paraId="76A40A4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9</w:t>
            </w:r>
          </w:p>
        </w:tc>
        <w:tc>
          <w:tcPr>
            <w:tcW w:w="675" w:type="dxa"/>
            <w:tcBorders>
              <w:tl2br w:val="nil"/>
              <w:tr2bl w:val="nil"/>
            </w:tcBorders>
            <w:vAlign w:val="center"/>
          </w:tcPr>
          <w:p w14:paraId="50BE29A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10</w:t>
            </w:r>
          </w:p>
        </w:tc>
        <w:tc>
          <w:tcPr>
            <w:tcW w:w="675" w:type="dxa"/>
            <w:tcBorders>
              <w:tl2br w:val="nil"/>
              <w:tr2bl w:val="nil"/>
            </w:tcBorders>
            <w:vAlign w:val="center"/>
          </w:tcPr>
          <w:p w14:paraId="0AF6CF0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11</w:t>
            </w:r>
          </w:p>
        </w:tc>
        <w:tc>
          <w:tcPr>
            <w:tcW w:w="676" w:type="dxa"/>
            <w:tcBorders>
              <w:tl2br w:val="nil"/>
              <w:tr2bl w:val="nil"/>
            </w:tcBorders>
            <w:vAlign w:val="center"/>
          </w:tcPr>
          <w:p w14:paraId="40DE08C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12</w:t>
            </w:r>
          </w:p>
        </w:tc>
      </w:tr>
      <w:tr w14:paraId="1C0B6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37" w:type="dxa"/>
            <w:tcBorders>
              <w:tl2br w:val="nil"/>
              <w:tr2bl w:val="nil"/>
            </w:tcBorders>
            <w:vAlign w:val="center"/>
          </w:tcPr>
          <w:p w14:paraId="4944B86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vertAlign w:val="baseline"/>
              </w:rPr>
            </w:pPr>
            <w:r>
              <w:rPr>
                <w:rFonts w:hint="default" w:ascii="Times New Roman" w:hAnsi="Times New Roman" w:cs="Times New Roman"/>
                <w:color w:val="auto"/>
                <w:spacing w:val="0"/>
                <w:kern w:val="0"/>
                <w:sz w:val="21"/>
                <w:szCs w:val="21"/>
                <w:highlight w:val="none"/>
                <w:vertAlign w:val="baseline"/>
              </w:rPr>
              <w:t>风速（m/s）</w:t>
            </w:r>
          </w:p>
        </w:tc>
        <w:tc>
          <w:tcPr>
            <w:tcW w:w="587" w:type="dxa"/>
            <w:tcBorders>
              <w:tl2br w:val="nil"/>
              <w:tr2bl w:val="nil"/>
            </w:tcBorders>
            <w:vAlign w:val="center"/>
          </w:tcPr>
          <w:p w14:paraId="1927F2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1.42</w:t>
            </w:r>
          </w:p>
        </w:tc>
        <w:tc>
          <w:tcPr>
            <w:tcW w:w="674" w:type="dxa"/>
            <w:tcBorders>
              <w:tl2br w:val="nil"/>
              <w:tr2bl w:val="nil"/>
            </w:tcBorders>
            <w:vAlign w:val="center"/>
          </w:tcPr>
          <w:p w14:paraId="7B18CF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1.57</w:t>
            </w:r>
          </w:p>
        </w:tc>
        <w:tc>
          <w:tcPr>
            <w:tcW w:w="674" w:type="dxa"/>
            <w:tcBorders>
              <w:tl2br w:val="nil"/>
              <w:tr2bl w:val="nil"/>
            </w:tcBorders>
            <w:vAlign w:val="center"/>
          </w:tcPr>
          <w:p w14:paraId="68AFE6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2.08</w:t>
            </w:r>
          </w:p>
        </w:tc>
        <w:tc>
          <w:tcPr>
            <w:tcW w:w="675" w:type="dxa"/>
            <w:tcBorders>
              <w:tl2br w:val="nil"/>
              <w:tr2bl w:val="nil"/>
            </w:tcBorders>
            <w:vAlign w:val="center"/>
          </w:tcPr>
          <w:p w14:paraId="1711EF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2.63</w:t>
            </w:r>
          </w:p>
        </w:tc>
        <w:tc>
          <w:tcPr>
            <w:tcW w:w="675" w:type="dxa"/>
            <w:tcBorders>
              <w:tl2br w:val="nil"/>
              <w:tr2bl w:val="nil"/>
            </w:tcBorders>
            <w:vAlign w:val="center"/>
          </w:tcPr>
          <w:p w14:paraId="14D745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2.64</w:t>
            </w:r>
          </w:p>
        </w:tc>
        <w:tc>
          <w:tcPr>
            <w:tcW w:w="675" w:type="dxa"/>
            <w:tcBorders>
              <w:tl2br w:val="nil"/>
              <w:tr2bl w:val="nil"/>
            </w:tcBorders>
            <w:vAlign w:val="center"/>
          </w:tcPr>
          <w:p w14:paraId="7F1C1C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2.64</w:t>
            </w:r>
          </w:p>
        </w:tc>
        <w:tc>
          <w:tcPr>
            <w:tcW w:w="675" w:type="dxa"/>
            <w:tcBorders>
              <w:tl2br w:val="nil"/>
              <w:tr2bl w:val="nil"/>
            </w:tcBorders>
            <w:vAlign w:val="center"/>
          </w:tcPr>
          <w:p w14:paraId="2B16D0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2.55</w:t>
            </w:r>
          </w:p>
        </w:tc>
        <w:tc>
          <w:tcPr>
            <w:tcW w:w="675" w:type="dxa"/>
            <w:tcBorders>
              <w:tl2br w:val="nil"/>
              <w:tr2bl w:val="nil"/>
            </w:tcBorders>
            <w:vAlign w:val="center"/>
          </w:tcPr>
          <w:p w14:paraId="092E70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2.46</w:t>
            </w:r>
          </w:p>
        </w:tc>
        <w:tc>
          <w:tcPr>
            <w:tcW w:w="675" w:type="dxa"/>
            <w:tcBorders>
              <w:tl2br w:val="nil"/>
              <w:tr2bl w:val="nil"/>
            </w:tcBorders>
            <w:vAlign w:val="center"/>
          </w:tcPr>
          <w:p w14:paraId="1C8307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2.33</w:t>
            </w:r>
          </w:p>
        </w:tc>
        <w:tc>
          <w:tcPr>
            <w:tcW w:w="675" w:type="dxa"/>
            <w:tcBorders>
              <w:tl2br w:val="nil"/>
              <w:tr2bl w:val="nil"/>
            </w:tcBorders>
            <w:vAlign w:val="center"/>
          </w:tcPr>
          <w:p w14:paraId="13F203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1.86</w:t>
            </w:r>
          </w:p>
        </w:tc>
        <w:tc>
          <w:tcPr>
            <w:tcW w:w="675" w:type="dxa"/>
            <w:tcBorders>
              <w:tl2br w:val="nil"/>
              <w:tr2bl w:val="nil"/>
            </w:tcBorders>
            <w:vAlign w:val="center"/>
          </w:tcPr>
          <w:p w14:paraId="145CFA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1.57</w:t>
            </w:r>
          </w:p>
        </w:tc>
        <w:tc>
          <w:tcPr>
            <w:tcW w:w="676" w:type="dxa"/>
            <w:tcBorders>
              <w:tl2br w:val="nil"/>
              <w:tr2bl w:val="nil"/>
            </w:tcBorders>
            <w:vAlign w:val="center"/>
          </w:tcPr>
          <w:p w14:paraId="4246CD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1.26</w:t>
            </w:r>
          </w:p>
        </w:tc>
      </w:tr>
    </w:tbl>
    <w:p w14:paraId="28547B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季小时平均风速的日变化</w:t>
      </w:r>
    </w:p>
    <w:tbl>
      <w:tblPr>
        <w:tblStyle w:val="121"/>
        <w:tblW w:w="9046" w:type="dxa"/>
        <w:tblInd w:w="-9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732"/>
        <w:gridCol w:w="611"/>
        <w:gridCol w:w="610"/>
        <w:gridCol w:w="610"/>
        <w:gridCol w:w="610"/>
        <w:gridCol w:w="608"/>
        <w:gridCol w:w="611"/>
        <w:gridCol w:w="613"/>
        <w:gridCol w:w="608"/>
        <w:gridCol w:w="610"/>
        <w:gridCol w:w="611"/>
        <w:gridCol w:w="611"/>
        <w:gridCol w:w="601"/>
      </w:tblGrid>
      <w:tr w14:paraId="609218D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32" w:type="dxa"/>
            <w:tcBorders>
              <w:tl2br w:val="nil"/>
              <w:tr2bl w:val="nil"/>
            </w:tcBorders>
          </w:tcPr>
          <w:p w14:paraId="5804BC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小</w:t>
            </w:r>
            <w:r>
              <w:rPr>
                <w:rFonts w:hint="default" w:ascii="Times New Roman" w:hAnsi="Times New Roman" w:cs="Times New Roman"/>
                <w:snapToGrid w:val="0"/>
                <w:color w:val="auto"/>
                <w:spacing w:val="-2"/>
                <w:kern w:val="0"/>
                <w:sz w:val="21"/>
                <w:szCs w:val="21"/>
                <w:highlight w:val="none"/>
              </w:rPr>
              <w:t>时（</w:t>
            </w:r>
            <w:r>
              <w:rPr>
                <w:rFonts w:hint="default" w:ascii="Times New Roman" w:hAnsi="Times New Roman" w:eastAsia="Times New Roman" w:cs="Times New Roman"/>
                <w:snapToGrid w:val="0"/>
                <w:color w:val="auto"/>
                <w:spacing w:val="-2"/>
                <w:kern w:val="0"/>
                <w:sz w:val="21"/>
                <w:szCs w:val="21"/>
                <w:highlight w:val="none"/>
              </w:rPr>
              <w:t>h</w:t>
            </w:r>
            <w:r>
              <w:rPr>
                <w:rFonts w:hint="eastAsia" w:eastAsia="宋体" w:cs="Times New Roman"/>
                <w:snapToGrid w:val="0"/>
                <w:color w:val="auto"/>
                <w:spacing w:val="-2"/>
                <w:kern w:val="0"/>
                <w:sz w:val="21"/>
                <w:szCs w:val="21"/>
                <w:highlight w:val="none"/>
                <w:lang w:eastAsia="zh-CN"/>
              </w:rPr>
              <w:t>）</w:t>
            </w:r>
          </w:p>
          <w:p w14:paraId="037392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风速（</w:t>
            </w:r>
            <w:r>
              <w:rPr>
                <w:rFonts w:hint="default" w:ascii="Times New Roman" w:hAnsi="Times New Roman" w:eastAsia="Times New Roman" w:cs="Times New Roman"/>
                <w:snapToGrid w:val="0"/>
                <w:color w:val="auto"/>
                <w:spacing w:val="-1"/>
                <w:kern w:val="0"/>
                <w:sz w:val="21"/>
                <w:szCs w:val="21"/>
                <w:highlight w:val="none"/>
              </w:rPr>
              <w:t>m/s</w:t>
            </w:r>
            <w:r>
              <w:rPr>
                <w:rFonts w:hint="eastAsia" w:eastAsia="宋体" w:cs="Times New Roman"/>
                <w:snapToGrid w:val="0"/>
                <w:color w:val="auto"/>
                <w:spacing w:val="-1"/>
                <w:kern w:val="0"/>
                <w:sz w:val="21"/>
                <w:szCs w:val="21"/>
                <w:highlight w:val="none"/>
                <w:lang w:eastAsia="zh-CN"/>
              </w:rPr>
              <w:t>）</w:t>
            </w:r>
          </w:p>
        </w:tc>
        <w:tc>
          <w:tcPr>
            <w:tcW w:w="611" w:type="dxa"/>
            <w:tcBorders>
              <w:tl2br w:val="nil"/>
              <w:tr2bl w:val="nil"/>
            </w:tcBorders>
          </w:tcPr>
          <w:p w14:paraId="2417DB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1</w:t>
            </w:r>
          </w:p>
        </w:tc>
        <w:tc>
          <w:tcPr>
            <w:tcW w:w="610" w:type="dxa"/>
            <w:tcBorders>
              <w:tl2br w:val="nil"/>
              <w:tr2bl w:val="nil"/>
            </w:tcBorders>
          </w:tcPr>
          <w:p w14:paraId="7F6AE7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2</w:t>
            </w:r>
          </w:p>
        </w:tc>
        <w:tc>
          <w:tcPr>
            <w:tcW w:w="610" w:type="dxa"/>
            <w:tcBorders>
              <w:tl2br w:val="nil"/>
              <w:tr2bl w:val="nil"/>
            </w:tcBorders>
          </w:tcPr>
          <w:p w14:paraId="73ACA1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3</w:t>
            </w:r>
          </w:p>
        </w:tc>
        <w:tc>
          <w:tcPr>
            <w:tcW w:w="610" w:type="dxa"/>
            <w:tcBorders>
              <w:tl2br w:val="nil"/>
              <w:tr2bl w:val="nil"/>
            </w:tcBorders>
          </w:tcPr>
          <w:p w14:paraId="272AFB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4</w:t>
            </w:r>
          </w:p>
        </w:tc>
        <w:tc>
          <w:tcPr>
            <w:tcW w:w="608" w:type="dxa"/>
            <w:tcBorders>
              <w:tl2br w:val="nil"/>
              <w:tr2bl w:val="nil"/>
            </w:tcBorders>
          </w:tcPr>
          <w:p w14:paraId="0D0A92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5</w:t>
            </w:r>
          </w:p>
        </w:tc>
        <w:tc>
          <w:tcPr>
            <w:tcW w:w="611" w:type="dxa"/>
            <w:tcBorders>
              <w:tl2br w:val="nil"/>
              <w:tr2bl w:val="nil"/>
            </w:tcBorders>
          </w:tcPr>
          <w:p w14:paraId="4B2DBF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6</w:t>
            </w:r>
          </w:p>
        </w:tc>
        <w:tc>
          <w:tcPr>
            <w:tcW w:w="613" w:type="dxa"/>
            <w:tcBorders>
              <w:tl2br w:val="nil"/>
              <w:tr2bl w:val="nil"/>
            </w:tcBorders>
          </w:tcPr>
          <w:p w14:paraId="1F12FE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7</w:t>
            </w:r>
          </w:p>
        </w:tc>
        <w:tc>
          <w:tcPr>
            <w:tcW w:w="608" w:type="dxa"/>
            <w:tcBorders>
              <w:tl2br w:val="nil"/>
              <w:tr2bl w:val="nil"/>
            </w:tcBorders>
          </w:tcPr>
          <w:p w14:paraId="2A7D5C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8</w:t>
            </w:r>
          </w:p>
        </w:tc>
        <w:tc>
          <w:tcPr>
            <w:tcW w:w="610" w:type="dxa"/>
            <w:tcBorders>
              <w:tl2br w:val="nil"/>
              <w:tr2bl w:val="nil"/>
            </w:tcBorders>
          </w:tcPr>
          <w:p w14:paraId="6714F2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9</w:t>
            </w:r>
          </w:p>
        </w:tc>
        <w:tc>
          <w:tcPr>
            <w:tcW w:w="611" w:type="dxa"/>
            <w:tcBorders>
              <w:tl2br w:val="nil"/>
              <w:tr2bl w:val="nil"/>
            </w:tcBorders>
          </w:tcPr>
          <w:p w14:paraId="190C86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spacing w:val="-6"/>
                <w:kern w:val="0"/>
                <w:sz w:val="21"/>
                <w:szCs w:val="21"/>
                <w:highlight w:val="none"/>
              </w:rPr>
              <w:t>10</w:t>
            </w:r>
          </w:p>
        </w:tc>
        <w:tc>
          <w:tcPr>
            <w:tcW w:w="611" w:type="dxa"/>
            <w:tcBorders>
              <w:tl2br w:val="nil"/>
              <w:tr2bl w:val="nil"/>
            </w:tcBorders>
          </w:tcPr>
          <w:p w14:paraId="4A3C57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spacing w:val="-6"/>
                <w:kern w:val="0"/>
                <w:sz w:val="21"/>
                <w:szCs w:val="21"/>
                <w:highlight w:val="none"/>
              </w:rPr>
              <w:t>11</w:t>
            </w:r>
          </w:p>
        </w:tc>
        <w:tc>
          <w:tcPr>
            <w:tcW w:w="601" w:type="dxa"/>
            <w:tcBorders>
              <w:tl2br w:val="nil"/>
              <w:tr2bl w:val="nil"/>
            </w:tcBorders>
          </w:tcPr>
          <w:p w14:paraId="7641544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spacing w:val="-6"/>
                <w:kern w:val="0"/>
                <w:sz w:val="21"/>
                <w:szCs w:val="21"/>
                <w:highlight w:val="none"/>
              </w:rPr>
              <w:t>12</w:t>
            </w:r>
          </w:p>
        </w:tc>
      </w:tr>
      <w:tr w14:paraId="0B723A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2" w:type="dxa"/>
            <w:tcBorders>
              <w:tl2br w:val="nil"/>
              <w:tr2bl w:val="nil"/>
            </w:tcBorders>
          </w:tcPr>
          <w:p w14:paraId="762B86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春</w:t>
            </w:r>
            <w:r>
              <w:rPr>
                <w:rFonts w:hint="default" w:ascii="Times New Roman" w:hAnsi="Times New Roman" w:cs="Times New Roman"/>
                <w:snapToGrid w:val="0"/>
                <w:color w:val="auto"/>
                <w:spacing w:val="-1"/>
                <w:kern w:val="0"/>
                <w:sz w:val="21"/>
                <w:szCs w:val="21"/>
                <w:highlight w:val="none"/>
              </w:rPr>
              <w:t>季</w:t>
            </w:r>
          </w:p>
        </w:tc>
        <w:tc>
          <w:tcPr>
            <w:tcW w:w="611" w:type="dxa"/>
            <w:tcBorders>
              <w:tl2br w:val="nil"/>
              <w:tr2bl w:val="nil"/>
            </w:tcBorders>
            <w:vAlign w:val="bottom"/>
          </w:tcPr>
          <w:p w14:paraId="54D67F8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2.80 </w:t>
            </w:r>
          </w:p>
        </w:tc>
        <w:tc>
          <w:tcPr>
            <w:tcW w:w="610" w:type="dxa"/>
            <w:tcBorders>
              <w:tl2br w:val="nil"/>
              <w:tr2bl w:val="nil"/>
            </w:tcBorders>
            <w:vAlign w:val="bottom"/>
          </w:tcPr>
          <w:p w14:paraId="3066F37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2.75 </w:t>
            </w:r>
          </w:p>
        </w:tc>
        <w:tc>
          <w:tcPr>
            <w:tcW w:w="610" w:type="dxa"/>
            <w:tcBorders>
              <w:tl2br w:val="nil"/>
              <w:tr2bl w:val="nil"/>
            </w:tcBorders>
            <w:vAlign w:val="bottom"/>
          </w:tcPr>
          <w:p w14:paraId="12E397B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2.46 </w:t>
            </w:r>
          </w:p>
        </w:tc>
        <w:tc>
          <w:tcPr>
            <w:tcW w:w="610" w:type="dxa"/>
            <w:tcBorders>
              <w:tl2br w:val="nil"/>
              <w:tr2bl w:val="nil"/>
            </w:tcBorders>
            <w:vAlign w:val="bottom"/>
          </w:tcPr>
          <w:p w14:paraId="28B2460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2.61 </w:t>
            </w:r>
          </w:p>
        </w:tc>
        <w:tc>
          <w:tcPr>
            <w:tcW w:w="608" w:type="dxa"/>
            <w:tcBorders>
              <w:tl2br w:val="nil"/>
              <w:tr2bl w:val="nil"/>
            </w:tcBorders>
            <w:vAlign w:val="bottom"/>
          </w:tcPr>
          <w:p w14:paraId="73682B2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2.49 </w:t>
            </w:r>
          </w:p>
        </w:tc>
        <w:tc>
          <w:tcPr>
            <w:tcW w:w="611" w:type="dxa"/>
            <w:tcBorders>
              <w:tl2br w:val="nil"/>
              <w:tr2bl w:val="nil"/>
            </w:tcBorders>
            <w:vAlign w:val="bottom"/>
          </w:tcPr>
          <w:p w14:paraId="422EEA3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2.20 </w:t>
            </w:r>
          </w:p>
        </w:tc>
        <w:tc>
          <w:tcPr>
            <w:tcW w:w="613" w:type="dxa"/>
            <w:tcBorders>
              <w:tl2br w:val="nil"/>
              <w:tr2bl w:val="nil"/>
            </w:tcBorders>
            <w:vAlign w:val="bottom"/>
          </w:tcPr>
          <w:p w14:paraId="142FFF7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2.32 </w:t>
            </w:r>
          </w:p>
        </w:tc>
        <w:tc>
          <w:tcPr>
            <w:tcW w:w="608" w:type="dxa"/>
            <w:tcBorders>
              <w:tl2br w:val="nil"/>
              <w:tr2bl w:val="nil"/>
            </w:tcBorders>
            <w:vAlign w:val="bottom"/>
          </w:tcPr>
          <w:p w14:paraId="256B101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2.18 </w:t>
            </w:r>
          </w:p>
        </w:tc>
        <w:tc>
          <w:tcPr>
            <w:tcW w:w="610" w:type="dxa"/>
            <w:tcBorders>
              <w:tl2br w:val="nil"/>
              <w:tr2bl w:val="nil"/>
            </w:tcBorders>
            <w:vAlign w:val="bottom"/>
          </w:tcPr>
          <w:p w14:paraId="78008DE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2.25 </w:t>
            </w:r>
          </w:p>
        </w:tc>
        <w:tc>
          <w:tcPr>
            <w:tcW w:w="611" w:type="dxa"/>
            <w:tcBorders>
              <w:tl2br w:val="nil"/>
              <w:tr2bl w:val="nil"/>
            </w:tcBorders>
            <w:vAlign w:val="bottom"/>
          </w:tcPr>
          <w:p w14:paraId="5AA3DE3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2.36 </w:t>
            </w:r>
          </w:p>
        </w:tc>
        <w:tc>
          <w:tcPr>
            <w:tcW w:w="611" w:type="dxa"/>
            <w:tcBorders>
              <w:tl2br w:val="nil"/>
              <w:tr2bl w:val="nil"/>
            </w:tcBorders>
            <w:vAlign w:val="bottom"/>
          </w:tcPr>
          <w:p w14:paraId="03D6BB9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2.61 </w:t>
            </w:r>
          </w:p>
        </w:tc>
        <w:tc>
          <w:tcPr>
            <w:tcW w:w="601" w:type="dxa"/>
            <w:tcBorders>
              <w:tl2br w:val="nil"/>
              <w:tr2bl w:val="nil"/>
            </w:tcBorders>
            <w:vAlign w:val="bottom"/>
          </w:tcPr>
          <w:p w14:paraId="4C3D263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2.46 </w:t>
            </w:r>
          </w:p>
        </w:tc>
      </w:tr>
      <w:tr w14:paraId="262BBFD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32" w:type="dxa"/>
            <w:tcBorders>
              <w:tl2br w:val="nil"/>
              <w:tr2bl w:val="nil"/>
            </w:tcBorders>
          </w:tcPr>
          <w:p w14:paraId="709AEC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夏</w:t>
            </w:r>
            <w:r>
              <w:rPr>
                <w:rFonts w:hint="default" w:ascii="Times New Roman" w:hAnsi="Times New Roman" w:cs="Times New Roman"/>
                <w:snapToGrid w:val="0"/>
                <w:color w:val="auto"/>
                <w:spacing w:val="-1"/>
                <w:kern w:val="0"/>
                <w:sz w:val="21"/>
                <w:szCs w:val="21"/>
                <w:highlight w:val="none"/>
              </w:rPr>
              <w:t>季</w:t>
            </w:r>
          </w:p>
        </w:tc>
        <w:tc>
          <w:tcPr>
            <w:tcW w:w="611" w:type="dxa"/>
            <w:tcBorders>
              <w:tl2br w:val="nil"/>
              <w:tr2bl w:val="nil"/>
            </w:tcBorders>
            <w:vAlign w:val="bottom"/>
          </w:tcPr>
          <w:p w14:paraId="2A62CD8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2.75 </w:t>
            </w:r>
          </w:p>
        </w:tc>
        <w:tc>
          <w:tcPr>
            <w:tcW w:w="610" w:type="dxa"/>
            <w:tcBorders>
              <w:tl2br w:val="nil"/>
              <w:tr2bl w:val="nil"/>
            </w:tcBorders>
            <w:vAlign w:val="bottom"/>
          </w:tcPr>
          <w:p w14:paraId="6AE64A1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2.69 </w:t>
            </w:r>
          </w:p>
        </w:tc>
        <w:tc>
          <w:tcPr>
            <w:tcW w:w="610" w:type="dxa"/>
            <w:tcBorders>
              <w:tl2br w:val="nil"/>
              <w:tr2bl w:val="nil"/>
            </w:tcBorders>
            <w:vAlign w:val="bottom"/>
          </w:tcPr>
          <w:p w14:paraId="7DC02F8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2.74 </w:t>
            </w:r>
          </w:p>
        </w:tc>
        <w:tc>
          <w:tcPr>
            <w:tcW w:w="610" w:type="dxa"/>
            <w:tcBorders>
              <w:tl2br w:val="nil"/>
              <w:tr2bl w:val="nil"/>
            </w:tcBorders>
            <w:vAlign w:val="bottom"/>
          </w:tcPr>
          <w:p w14:paraId="6617EFF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2.84 </w:t>
            </w:r>
          </w:p>
        </w:tc>
        <w:tc>
          <w:tcPr>
            <w:tcW w:w="608" w:type="dxa"/>
            <w:tcBorders>
              <w:tl2br w:val="nil"/>
              <w:tr2bl w:val="nil"/>
            </w:tcBorders>
            <w:vAlign w:val="bottom"/>
          </w:tcPr>
          <w:p w14:paraId="5CCAD8F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2.71 </w:t>
            </w:r>
          </w:p>
        </w:tc>
        <w:tc>
          <w:tcPr>
            <w:tcW w:w="611" w:type="dxa"/>
            <w:tcBorders>
              <w:tl2br w:val="nil"/>
              <w:tr2bl w:val="nil"/>
            </w:tcBorders>
            <w:vAlign w:val="bottom"/>
          </w:tcPr>
          <w:p w14:paraId="5FE24CE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13" w:type="dxa"/>
            <w:tcBorders>
              <w:tl2br w:val="nil"/>
              <w:tr2bl w:val="nil"/>
            </w:tcBorders>
            <w:vAlign w:val="bottom"/>
          </w:tcPr>
          <w:p w14:paraId="4C3DD73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2.24 </w:t>
            </w:r>
          </w:p>
        </w:tc>
        <w:tc>
          <w:tcPr>
            <w:tcW w:w="608" w:type="dxa"/>
            <w:tcBorders>
              <w:tl2br w:val="nil"/>
              <w:tr2bl w:val="nil"/>
            </w:tcBorders>
            <w:vAlign w:val="bottom"/>
          </w:tcPr>
          <w:p w14:paraId="133DF4F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2.18 </w:t>
            </w:r>
          </w:p>
        </w:tc>
        <w:tc>
          <w:tcPr>
            <w:tcW w:w="610" w:type="dxa"/>
            <w:tcBorders>
              <w:tl2br w:val="nil"/>
              <w:tr2bl w:val="nil"/>
            </w:tcBorders>
            <w:vAlign w:val="bottom"/>
          </w:tcPr>
          <w:p w14:paraId="0108E49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2.31 </w:t>
            </w:r>
          </w:p>
        </w:tc>
        <w:tc>
          <w:tcPr>
            <w:tcW w:w="611" w:type="dxa"/>
            <w:tcBorders>
              <w:tl2br w:val="nil"/>
              <w:tr2bl w:val="nil"/>
            </w:tcBorders>
            <w:vAlign w:val="bottom"/>
          </w:tcPr>
          <w:p w14:paraId="47F415B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2.56 </w:t>
            </w:r>
          </w:p>
        </w:tc>
        <w:tc>
          <w:tcPr>
            <w:tcW w:w="611" w:type="dxa"/>
            <w:tcBorders>
              <w:tl2br w:val="nil"/>
              <w:tr2bl w:val="nil"/>
            </w:tcBorders>
            <w:vAlign w:val="bottom"/>
          </w:tcPr>
          <w:p w14:paraId="388FFC0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2.53 </w:t>
            </w:r>
          </w:p>
        </w:tc>
        <w:tc>
          <w:tcPr>
            <w:tcW w:w="601" w:type="dxa"/>
            <w:tcBorders>
              <w:tl2br w:val="nil"/>
              <w:tr2bl w:val="nil"/>
            </w:tcBorders>
            <w:vAlign w:val="bottom"/>
          </w:tcPr>
          <w:p w14:paraId="0F87779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2.48 </w:t>
            </w:r>
          </w:p>
        </w:tc>
      </w:tr>
      <w:tr w14:paraId="4A252A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2" w:type="dxa"/>
            <w:tcBorders>
              <w:tl2br w:val="nil"/>
              <w:tr2bl w:val="nil"/>
            </w:tcBorders>
          </w:tcPr>
          <w:p w14:paraId="765BE6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秋季</w:t>
            </w:r>
          </w:p>
        </w:tc>
        <w:tc>
          <w:tcPr>
            <w:tcW w:w="611" w:type="dxa"/>
            <w:tcBorders>
              <w:tl2br w:val="nil"/>
              <w:tr2bl w:val="nil"/>
            </w:tcBorders>
            <w:vAlign w:val="bottom"/>
          </w:tcPr>
          <w:p w14:paraId="2086114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2.25 </w:t>
            </w:r>
          </w:p>
        </w:tc>
        <w:tc>
          <w:tcPr>
            <w:tcW w:w="610" w:type="dxa"/>
            <w:tcBorders>
              <w:tl2br w:val="nil"/>
              <w:tr2bl w:val="nil"/>
            </w:tcBorders>
            <w:vAlign w:val="bottom"/>
          </w:tcPr>
          <w:p w14:paraId="167F038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10" w:type="dxa"/>
            <w:tcBorders>
              <w:tl2br w:val="nil"/>
              <w:tr2bl w:val="nil"/>
            </w:tcBorders>
            <w:vAlign w:val="bottom"/>
          </w:tcPr>
          <w:p w14:paraId="2F0D743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2.29 </w:t>
            </w:r>
          </w:p>
        </w:tc>
        <w:tc>
          <w:tcPr>
            <w:tcW w:w="610" w:type="dxa"/>
            <w:tcBorders>
              <w:tl2br w:val="nil"/>
              <w:tr2bl w:val="nil"/>
            </w:tcBorders>
            <w:vAlign w:val="bottom"/>
          </w:tcPr>
          <w:p w14:paraId="25C7C14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2.08 </w:t>
            </w:r>
          </w:p>
        </w:tc>
        <w:tc>
          <w:tcPr>
            <w:tcW w:w="608" w:type="dxa"/>
            <w:tcBorders>
              <w:tl2br w:val="nil"/>
              <w:tr2bl w:val="nil"/>
            </w:tcBorders>
            <w:vAlign w:val="bottom"/>
          </w:tcPr>
          <w:p w14:paraId="1A11BB7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2.03 </w:t>
            </w:r>
          </w:p>
        </w:tc>
        <w:tc>
          <w:tcPr>
            <w:tcW w:w="611" w:type="dxa"/>
            <w:tcBorders>
              <w:tl2br w:val="nil"/>
              <w:tr2bl w:val="nil"/>
            </w:tcBorders>
            <w:vAlign w:val="bottom"/>
          </w:tcPr>
          <w:p w14:paraId="6FFBA39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1.87 </w:t>
            </w:r>
          </w:p>
        </w:tc>
        <w:tc>
          <w:tcPr>
            <w:tcW w:w="613" w:type="dxa"/>
            <w:tcBorders>
              <w:tl2br w:val="nil"/>
              <w:tr2bl w:val="nil"/>
            </w:tcBorders>
            <w:vAlign w:val="bottom"/>
          </w:tcPr>
          <w:p w14:paraId="73F80EB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1.82 </w:t>
            </w:r>
          </w:p>
        </w:tc>
        <w:tc>
          <w:tcPr>
            <w:tcW w:w="608" w:type="dxa"/>
            <w:tcBorders>
              <w:tl2br w:val="nil"/>
              <w:tr2bl w:val="nil"/>
            </w:tcBorders>
            <w:vAlign w:val="bottom"/>
          </w:tcPr>
          <w:p w14:paraId="1A9EBA0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1.84 </w:t>
            </w:r>
          </w:p>
        </w:tc>
        <w:tc>
          <w:tcPr>
            <w:tcW w:w="610" w:type="dxa"/>
            <w:tcBorders>
              <w:tl2br w:val="nil"/>
              <w:tr2bl w:val="nil"/>
            </w:tcBorders>
            <w:vAlign w:val="bottom"/>
          </w:tcPr>
          <w:p w14:paraId="1B66300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1.68 </w:t>
            </w:r>
          </w:p>
        </w:tc>
        <w:tc>
          <w:tcPr>
            <w:tcW w:w="611" w:type="dxa"/>
            <w:tcBorders>
              <w:tl2br w:val="nil"/>
              <w:tr2bl w:val="nil"/>
            </w:tcBorders>
            <w:vAlign w:val="bottom"/>
          </w:tcPr>
          <w:p w14:paraId="674435A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1.80 </w:t>
            </w:r>
          </w:p>
        </w:tc>
        <w:tc>
          <w:tcPr>
            <w:tcW w:w="611" w:type="dxa"/>
            <w:tcBorders>
              <w:tl2br w:val="nil"/>
              <w:tr2bl w:val="nil"/>
            </w:tcBorders>
            <w:vAlign w:val="bottom"/>
          </w:tcPr>
          <w:p w14:paraId="2AFA87B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2.08 </w:t>
            </w:r>
          </w:p>
        </w:tc>
        <w:tc>
          <w:tcPr>
            <w:tcW w:w="601" w:type="dxa"/>
            <w:tcBorders>
              <w:tl2br w:val="nil"/>
              <w:tr2bl w:val="nil"/>
            </w:tcBorders>
            <w:vAlign w:val="bottom"/>
          </w:tcPr>
          <w:p w14:paraId="329D071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2.10 </w:t>
            </w:r>
          </w:p>
        </w:tc>
      </w:tr>
      <w:tr w14:paraId="7D345C5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732" w:type="dxa"/>
            <w:tcBorders>
              <w:tl2br w:val="nil"/>
              <w:tr2bl w:val="nil"/>
            </w:tcBorders>
          </w:tcPr>
          <w:p w14:paraId="35F043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4"/>
                <w:kern w:val="0"/>
                <w:sz w:val="21"/>
                <w:szCs w:val="21"/>
                <w:highlight w:val="none"/>
              </w:rPr>
              <w:t>冬</w:t>
            </w:r>
            <w:r>
              <w:rPr>
                <w:rFonts w:hint="default" w:ascii="Times New Roman" w:hAnsi="Times New Roman" w:cs="Times New Roman"/>
                <w:snapToGrid w:val="0"/>
                <w:color w:val="auto"/>
                <w:spacing w:val="-2"/>
                <w:kern w:val="0"/>
                <w:sz w:val="21"/>
                <w:szCs w:val="21"/>
                <w:highlight w:val="none"/>
              </w:rPr>
              <w:t>季</w:t>
            </w:r>
          </w:p>
        </w:tc>
        <w:tc>
          <w:tcPr>
            <w:tcW w:w="611" w:type="dxa"/>
            <w:tcBorders>
              <w:tl2br w:val="nil"/>
              <w:tr2bl w:val="nil"/>
            </w:tcBorders>
            <w:vAlign w:val="bottom"/>
          </w:tcPr>
          <w:p w14:paraId="7C796C7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1.56 </w:t>
            </w:r>
          </w:p>
        </w:tc>
        <w:tc>
          <w:tcPr>
            <w:tcW w:w="610" w:type="dxa"/>
            <w:tcBorders>
              <w:tl2br w:val="nil"/>
              <w:tr2bl w:val="nil"/>
            </w:tcBorders>
            <w:vAlign w:val="bottom"/>
          </w:tcPr>
          <w:p w14:paraId="7020F75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1.54 </w:t>
            </w:r>
          </w:p>
        </w:tc>
        <w:tc>
          <w:tcPr>
            <w:tcW w:w="610" w:type="dxa"/>
            <w:tcBorders>
              <w:tl2br w:val="nil"/>
              <w:tr2bl w:val="nil"/>
            </w:tcBorders>
            <w:vAlign w:val="bottom"/>
          </w:tcPr>
          <w:p w14:paraId="755D32C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1.60 </w:t>
            </w:r>
          </w:p>
        </w:tc>
        <w:tc>
          <w:tcPr>
            <w:tcW w:w="610" w:type="dxa"/>
            <w:tcBorders>
              <w:tl2br w:val="nil"/>
              <w:tr2bl w:val="nil"/>
            </w:tcBorders>
            <w:vAlign w:val="bottom"/>
          </w:tcPr>
          <w:p w14:paraId="01E1237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1.53 </w:t>
            </w:r>
          </w:p>
        </w:tc>
        <w:tc>
          <w:tcPr>
            <w:tcW w:w="608" w:type="dxa"/>
            <w:tcBorders>
              <w:tl2br w:val="nil"/>
              <w:tr2bl w:val="nil"/>
            </w:tcBorders>
            <w:vAlign w:val="bottom"/>
          </w:tcPr>
          <w:p w14:paraId="65D71C9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1.54 </w:t>
            </w:r>
          </w:p>
        </w:tc>
        <w:tc>
          <w:tcPr>
            <w:tcW w:w="611" w:type="dxa"/>
            <w:tcBorders>
              <w:tl2br w:val="nil"/>
              <w:tr2bl w:val="nil"/>
            </w:tcBorders>
            <w:vAlign w:val="bottom"/>
          </w:tcPr>
          <w:p w14:paraId="3FB3D5F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1.51 </w:t>
            </w:r>
          </w:p>
        </w:tc>
        <w:tc>
          <w:tcPr>
            <w:tcW w:w="613" w:type="dxa"/>
            <w:tcBorders>
              <w:tl2br w:val="nil"/>
              <w:tr2bl w:val="nil"/>
            </w:tcBorders>
            <w:vAlign w:val="bottom"/>
          </w:tcPr>
          <w:p w14:paraId="086406E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1.36 </w:t>
            </w:r>
          </w:p>
        </w:tc>
        <w:tc>
          <w:tcPr>
            <w:tcW w:w="608" w:type="dxa"/>
            <w:tcBorders>
              <w:tl2br w:val="nil"/>
              <w:tr2bl w:val="nil"/>
            </w:tcBorders>
            <w:vAlign w:val="bottom"/>
          </w:tcPr>
          <w:p w14:paraId="1B52AAC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1.34 </w:t>
            </w:r>
          </w:p>
        </w:tc>
        <w:tc>
          <w:tcPr>
            <w:tcW w:w="610" w:type="dxa"/>
            <w:tcBorders>
              <w:tl2br w:val="nil"/>
              <w:tr2bl w:val="nil"/>
            </w:tcBorders>
            <w:vAlign w:val="bottom"/>
          </w:tcPr>
          <w:p w14:paraId="1C11C0B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1.45 </w:t>
            </w:r>
          </w:p>
        </w:tc>
        <w:tc>
          <w:tcPr>
            <w:tcW w:w="611" w:type="dxa"/>
            <w:tcBorders>
              <w:tl2br w:val="nil"/>
              <w:tr2bl w:val="nil"/>
            </w:tcBorders>
            <w:vAlign w:val="bottom"/>
          </w:tcPr>
          <w:p w14:paraId="7DF310A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1.34 </w:t>
            </w:r>
          </w:p>
        </w:tc>
        <w:tc>
          <w:tcPr>
            <w:tcW w:w="611" w:type="dxa"/>
            <w:tcBorders>
              <w:tl2br w:val="nil"/>
              <w:tr2bl w:val="nil"/>
            </w:tcBorders>
            <w:vAlign w:val="bottom"/>
          </w:tcPr>
          <w:p w14:paraId="57E6385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1.23 </w:t>
            </w:r>
          </w:p>
        </w:tc>
        <w:tc>
          <w:tcPr>
            <w:tcW w:w="601" w:type="dxa"/>
            <w:tcBorders>
              <w:tl2br w:val="nil"/>
              <w:tr2bl w:val="nil"/>
            </w:tcBorders>
            <w:vAlign w:val="bottom"/>
          </w:tcPr>
          <w:p w14:paraId="1D1E46D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1.49 </w:t>
            </w:r>
          </w:p>
        </w:tc>
      </w:tr>
      <w:tr w14:paraId="739323E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732" w:type="dxa"/>
            <w:tcBorders>
              <w:tl2br w:val="nil"/>
              <w:tr2bl w:val="nil"/>
            </w:tcBorders>
          </w:tcPr>
          <w:p w14:paraId="52E6C3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小</w:t>
            </w:r>
            <w:r>
              <w:rPr>
                <w:rFonts w:hint="default" w:ascii="Times New Roman" w:hAnsi="Times New Roman" w:cs="Times New Roman"/>
                <w:snapToGrid w:val="0"/>
                <w:color w:val="auto"/>
                <w:spacing w:val="-2"/>
                <w:kern w:val="0"/>
                <w:sz w:val="21"/>
                <w:szCs w:val="21"/>
                <w:highlight w:val="none"/>
              </w:rPr>
              <w:t>时（</w:t>
            </w:r>
            <w:r>
              <w:rPr>
                <w:rFonts w:hint="default" w:ascii="Times New Roman" w:hAnsi="Times New Roman" w:eastAsia="Times New Roman" w:cs="Times New Roman"/>
                <w:snapToGrid w:val="0"/>
                <w:color w:val="auto"/>
                <w:spacing w:val="-2"/>
                <w:kern w:val="0"/>
                <w:sz w:val="21"/>
                <w:szCs w:val="21"/>
                <w:highlight w:val="none"/>
              </w:rPr>
              <w:t>h</w:t>
            </w:r>
            <w:r>
              <w:rPr>
                <w:rFonts w:hint="eastAsia" w:eastAsia="宋体" w:cs="Times New Roman"/>
                <w:snapToGrid w:val="0"/>
                <w:color w:val="auto"/>
                <w:spacing w:val="-2"/>
                <w:kern w:val="0"/>
                <w:sz w:val="21"/>
                <w:szCs w:val="21"/>
                <w:highlight w:val="none"/>
                <w:lang w:eastAsia="zh-CN"/>
              </w:rPr>
              <w:t>）</w:t>
            </w:r>
          </w:p>
          <w:p w14:paraId="75FAA9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风速（</w:t>
            </w:r>
            <w:r>
              <w:rPr>
                <w:rFonts w:hint="default" w:ascii="Times New Roman" w:hAnsi="Times New Roman" w:eastAsia="Times New Roman" w:cs="Times New Roman"/>
                <w:snapToGrid w:val="0"/>
                <w:color w:val="auto"/>
                <w:spacing w:val="-1"/>
                <w:kern w:val="0"/>
                <w:sz w:val="21"/>
                <w:szCs w:val="21"/>
                <w:highlight w:val="none"/>
              </w:rPr>
              <w:t>m/s</w:t>
            </w:r>
            <w:r>
              <w:rPr>
                <w:rFonts w:hint="eastAsia" w:eastAsia="宋体" w:cs="Times New Roman"/>
                <w:snapToGrid w:val="0"/>
                <w:color w:val="auto"/>
                <w:spacing w:val="-1"/>
                <w:kern w:val="0"/>
                <w:sz w:val="21"/>
                <w:szCs w:val="21"/>
                <w:highlight w:val="none"/>
                <w:lang w:eastAsia="zh-CN"/>
              </w:rPr>
              <w:t>）</w:t>
            </w:r>
          </w:p>
        </w:tc>
        <w:tc>
          <w:tcPr>
            <w:tcW w:w="611" w:type="dxa"/>
            <w:tcBorders>
              <w:tl2br w:val="nil"/>
              <w:tr2bl w:val="nil"/>
            </w:tcBorders>
            <w:vAlign w:val="center"/>
          </w:tcPr>
          <w:p w14:paraId="602FB7E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13</w:t>
            </w:r>
          </w:p>
        </w:tc>
        <w:tc>
          <w:tcPr>
            <w:tcW w:w="610" w:type="dxa"/>
            <w:tcBorders>
              <w:tl2br w:val="nil"/>
              <w:tr2bl w:val="nil"/>
            </w:tcBorders>
            <w:vAlign w:val="center"/>
          </w:tcPr>
          <w:p w14:paraId="60C4901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14</w:t>
            </w:r>
          </w:p>
        </w:tc>
        <w:tc>
          <w:tcPr>
            <w:tcW w:w="610" w:type="dxa"/>
            <w:tcBorders>
              <w:tl2br w:val="nil"/>
              <w:tr2bl w:val="nil"/>
            </w:tcBorders>
            <w:vAlign w:val="center"/>
          </w:tcPr>
          <w:p w14:paraId="1BAC65C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15</w:t>
            </w:r>
          </w:p>
        </w:tc>
        <w:tc>
          <w:tcPr>
            <w:tcW w:w="610" w:type="dxa"/>
            <w:tcBorders>
              <w:tl2br w:val="nil"/>
              <w:tr2bl w:val="nil"/>
            </w:tcBorders>
            <w:vAlign w:val="center"/>
          </w:tcPr>
          <w:p w14:paraId="33F4F22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16</w:t>
            </w:r>
          </w:p>
        </w:tc>
        <w:tc>
          <w:tcPr>
            <w:tcW w:w="608" w:type="dxa"/>
            <w:tcBorders>
              <w:tl2br w:val="nil"/>
              <w:tr2bl w:val="nil"/>
            </w:tcBorders>
            <w:vAlign w:val="center"/>
          </w:tcPr>
          <w:p w14:paraId="7CE4A4D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17</w:t>
            </w:r>
          </w:p>
        </w:tc>
        <w:tc>
          <w:tcPr>
            <w:tcW w:w="611" w:type="dxa"/>
            <w:tcBorders>
              <w:tl2br w:val="nil"/>
              <w:tr2bl w:val="nil"/>
            </w:tcBorders>
            <w:vAlign w:val="center"/>
          </w:tcPr>
          <w:p w14:paraId="17B857A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18</w:t>
            </w:r>
          </w:p>
        </w:tc>
        <w:tc>
          <w:tcPr>
            <w:tcW w:w="613" w:type="dxa"/>
            <w:tcBorders>
              <w:tl2br w:val="nil"/>
              <w:tr2bl w:val="nil"/>
            </w:tcBorders>
            <w:vAlign w:val="center"/>
          </w:tcPr>
          <w:p w14:paraId="655B5E2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19</w:t>
            </w:r>
          </w:p>
        </w:tc>
        <w:tc>
          <w:tcPr>
            <w:tcW w:w="608" w:type="dxa"/>
            <w:tcBorders>
              <w:tl2br w:val="nil"/>
              <w:tr2bl w:val="nil"/>
            </w:tcBorders>
            <w:vAlign w:val="center"/>
          </w:tcPr>
          <w:p w14:paraId="745266E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20</w:t>
            </w:r>
          </w:p>
        </w:tc>
        <w:tc>
          <w:tcPr>
            <w:tcW w:w="610" w:type="dxa"/>
            <w:tcBorders>
              <w:tl2br w:val="nil"/>
              <w:tr2bl w:val="nil"/>
            </w:tcBorders>
            <w:vAlign w:val="center"/>
          </w:tcPr>
          <w:p w14:paraId="5D848B3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21</w:t>
            </w:r>
          </w:p>
        </w:tc>
        <w:tc>
          <w:tcPr>
            <w:tcW w:w="611" w:type="dxa"/>
            <w:tcBorders>
              <w:tl2br w:val="nil"/>
              <w:tr2bl w:val="nil"/>
            </w:tcBorders>
            <w:vAlign w:val="center"/>
          </w:tcPr>
          <w:p w14:paraId="4825988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22</w:t>
            </w:r>
          </w:p>
        </w:tc>
        <w:tc>
          <w:tcPr>
            <w:tcW w:w="611" w:type="dxa"/>
            <w:tcBorders>
              <w:tl2br w:val="nil"/>
              <w:tr2bl w:val="nil"/>
            </w:tcBorders>
            <w:vAlign w:val="center"/>
          </w:tcPr>
          <w:p w14:paraId="0466005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23</w:t>
            </w:r>
          </w:p>
        </w:tc>
        <w:tc>
          <w:tcPr>
            <w:tcW w:w="601" w:type="dxa"/>
            <w:tcBorders>
              <w:tl2br w:val="nil"/>
              <w:tr2bl w:val="nil"/>
            </w:tcBorders>
            <w:vAlign w:val="center"/>
          </w:tcPr>
          <w:p w14:paraId="136F854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24</w:t>
            </w:r>
          </w:p>
        </w:tc>
      </w:tr>
      <w:tr w14:paraId="628E14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2" w:type="dxa"/>
            <w:tcBorders>
              <w:tl2br w:val="nil"/>
              <w:tr2bl w:val="nil"/>
            </w:tcBorders>
          </w:tcPr>
          <w:p w14:paraId="1F297E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春</w:t>
            </w:r>
            <w:r>
              <w:rPr>
                <w:rFonts w:hint="default" w:ascii="Times New Roman" w:hAnsi="Times New Roman" w:cs="Times New Roman"/>
                <w:snapToGrid w:val="0"/>
                <w:color w:val="auto"/>
                <w:spacing w:val="-1"/>
                <w:kern w:val="0"/>
                <w:sz w:val="21"/>
                <w:szCs w:val="21"/>
                <w:highlight w:val="none"/>
              </w:rPr>
              <w:t>季</w:t>
            </w:r>
          </w:p>
        </w:tc>
        <w:tc>
          <w:tcPr>
            <w:tcW w:w="611" w:type="dxa"/>
            <w:tcBorders>
              <w:tl2br w:val="nil"/>
              <w:tr2bl w:val="nil"/>
            </w:tcBorders>
            <w:vAlign w:val="bottom"/>
          </w:tcPr>
          <w:p w14:paraId="402DAD7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10" w:type="dxa"/>
            <w:tcBorders>
              <w:tl2br w:val="nil"/>
              <w:tr2bl w:val="nil"/>
            </w:tcBorders>
            <w:vAlign w:val="bottom"/>
          </w:tcPr>
          <w:p w14:paraId="3A0F186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2.33 </w:t>
            </w:r>
          </w:p>
        </w:tc>
        <w:tc>
          <w:tcPr>
            <w:tcW w:w="610" w:type="dxa"/>
            <w:tcBorders>
              <w:tl2br w:val="nil"/>
              <w:tr2bl w:val="nil"/>
            </w:tcBorders>
            <w:vAlign w:val="bottom"/>
          </w:tcPr>
          <w:p w14:paraId="2BE43C1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2.41 </w:t>
            </w:r>
          </w:p>
        </w:tc>
        <w:tc>
          <w:tcPr>
            <w:tcW w:w="610" w:type="dxa"/>
            <w:tcBorders>
              <w:tl2br w:val="nil"/>
              <w:tr2bl w:val="nil"/>
            </w:tcBorders>
            <w:vAlign w:val="bottom"/>
          </w:tcPr>
          <w:p w14:paraId="1B56A74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08" w:type="dxa"/>
            <w:tcBorders>
              <w:tl2br w:val="nil"/>
              <w:tr2bl w:val="nil"/>
            </w:tcBorders>
            <w:vAlign w:val="bottom"/>
          </w:tcPr>
          <w:p w14:paraId="21F18BC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2.48 </w:t>
            </w:r>
          </w:p>
        </w:tc>
        <w:tc>
          <w:tcPr>
            <w:tcW w:w="611" w:type="dxa"/>
            <w:tcBorders>
              <w:tl2br w:val="nil"/>
              <w:tr2bl w:val="nil"/>
            </w:tcBorders>
            <w:vAlign w:val="bottom"/>
          </w:tcPr>
          <w:p w14:paraId="6FAB9F4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2.51 </w:t>
            </w:r>
          </w:p>
        </w:tc>
        <w:tc>
          <w:tcPr>
            <w:tcW w:w="613" w:type="dxa"/>
            <w:tcBorders>
              <w:tl2br w:val="nil"/>
              <w:tr2bl w:val="nil"/>
            </w:tcBorders>
            <w:vAlign w:val="bottom"/>
          </w:tcPr>
          <w:p w14:paraId="4CCF600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2.51 </w:t>
            </w:r>
          </w:p>
        </w:tc>
        <w:tc>
          <w:tcPr>
            <w:tcW w:w="608" w:type="dxa"/>
            <w:tcBorders>
              <w:tl2br w:val="nil"/>
              <w:tr2bl w:val="nil"/>
            </w:tcBorders>
            <w:vAlign w:val="bottom"/>
          </w:tcPr>
          <w:p w14:paraId="7D12323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10" w:type="dxa"/>
            <w:tcBorders>
              <w:tl2br w:val="nil"/>
              <w:tr2bl w:val="nil"/>
            </w:tcBorders>
            <w:vAlign w:val="bottom"/>
          </w:tcPr>
          <w:p w14:paraId="537772F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2.09 </w:t>
            </w:r>
          </w:p>
        </w:tc>
        <w:tc>
          <w:tcPr>
            <w:tcW w:w="611" w:type="dxa"/>
            <w:tcBorders>
              <w:tl2br w:val="nil"/>
              <w:tr2bl w:val="nil"/>
            </w:tcBorders>
            <w:vAlign w:val="bottom"/>
          </w:tcPr>
          <w:p w14:paraId="1F2F393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2.42 </w:t>
            </w:r>
          </w:p>
        </w:tc>
        <w:tc>
          <w:tcPr>
            <w:tcW w:w="611" w:type="dxa"/>
            <w:tcBorders>
              <w:tl2br w:val="nil"/>
              <w:tr2bl w:val="nil"/>
            </w:tcBorders>
            <w:vAlign w:val="bottom"/>
          </w:tcPr>
          <w:p w14:paraId="7681DCD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2.76 </w:t>
            </w:r>
          </w:p>
        </w:tc>
        <w:tc>
          <w:tcPr>
            <w:tcW w:w="601" w:type="dxa"/>
            <w:tcBorders>
              <w:tl2br w:val="nil"/>
              <w:tr2bl w:val="nil"/>
            </w:tcBorders>
            <w:vAlign w:val="bottom"/>
          </w:tcPr>
          <w:p w14:paraId="282CDFE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2.73 </w:t>
            </w:r>
          </w:p>
        </w:tc>
      </w:tr>
      <w:tr w14:paraId="0AF6464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32" w:type="dxa"/>
            <w:tcBorders>
              <w:tl2br w:val="nil"/>
              <w:tr2bl w:val="nil"/>
            </w:tcBorders>
          </w:tcPr>
          <w:p w14:paraId="2DED73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夏</w:t>
            </w:r>
            <w:r>
              <w:rPr>
                <w:rFonts w:hint="default" w:ascii="Times New Roman" w:hAnsi="Times New Roman" w:cs="Times New Roman"/>
                <w:snapToGrid w:val="0"/>
                <w:color w:val="auto"/>
                <w:spacing w:val="-1"/>
                <w:kern w:val="0"/>
                <w:sz w:val="21"/>
                <w:szCs w:val="21"/>
                <w:highlight w:val="none"/>
              </w:rPr>
              <w:t>季</w:t>
            </w:r>
          </w:p>
        </w:tc>
        <w:tc>
          <w:tcPr>
            <w:tcW w:w="611" w:type="dxa"/>
            <w:tcBorders>
              <w:tl2br w:val="nil"/>
              <w:tr2bl w:val="nil"/>
            </w:tcBorders>
            <w:vAlign w:val="bottom"/>
          </w:tcPr>
          <w:p w14:paraId="78ECF0B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2.41 </w:t>
            </w:r>
          </w:p>
        </w:tc>
        <w:tc>
          <w:tcPr>
            <w:tcW w:w="610" w:type="dxa"/>
            <w:tcBorders>
              <w:tl2br w:val="nil"/>
              <w:tr2bl w:val="nil"/>
            </w:tcBorders>
            <w:vAlign w:val="bottom"/>
          </w:tcPr>
          <w:p w14:paraId="4FEC570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2.47 </w:t>
            </w:r>
          </w:p>
        </w:tc>
        <w:tc>
          <w:tcPr>
            <w:tcW w:w="610" w:type="dxa"/>
            <w:tcBorders>
              <w:tl2br w:val="nil"/>
              <w:tr2bl w:val="nil"/>
            </w:tcBorders>
            <w:vAlign w:val="bottom"/>
          </w:tcPr>
          <w:p w14:paraId="7B029A3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2.42 </w:t>
            </w:r>
          </w:p>
        </w:tc>
        <w:tc>
          <w:tcPr>
            <w:tcW w:w="610" w:type="dxa"/>
            <w:tcBorders>
              <w:tl2br w:val="nil"/>
              <w:tr2bl w:val="nil"/>
            </w:tcBorders>
            <w:vAlign w:val="bottom"/>
          </w:tcPr>
          <w:p w14:paraId="1B884A5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2.56 </w:t>
            </w:r>
          </w:p>
        </w:tc>
        <w:tc>
          <w:tcPr>
            <w:tcW w:w="608" w:type="dxa"/>
            <w:tcBorders>
              <w:tl2br w:val="nil"/>
              <w:tr2bl w:val="nil"/>
            </w:tcBorders>
            <w:vAlign w:val="bottom"/>
          </w:tcPr>
          <w:p w14:paraId="15CB997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2.67 </w:t>
            </w:r>
          </w:p>
        </w:tc>
        <w:tc>
          <w:tcPr>
            <w:tcW w:w="611" w:type="dxa"/>
            <w:tcBorders>
              <w:tl2br w:val="nil"/>
              <w:tr2bl w:val="nil"/>
            </w:tcBorders>
            <w:vAlign w:val="bottom"/>
          </w:tcPr>
          <w:p w14:paraId="66A8600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2.57 </w:t>
            </w:r>
          </w:p>
        </w:tc>
        <w:tc>
          <w:tcPr>
            <w:tcW w:w="613" w:type="dxa"/>
            <w:tcBorders>
              <w:tl2br w:val="nil"/>
              <w:tr2bl w:val="nil"/>
            </w:tcBorders>
            <w:vAlign w:val="bottom"/>
          </w:tcPr>
          <w:p w14:paraId="762F51B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2.68 </w:t>
            </w:r>
          </w:p>
        </w:tc>
        <w:tc>
          <w:tcPr>
            <w:tcW w:w="608" w:type="dxa"/>
            <w:tcBorders>
              <w:tl2br w:val="nil"/>
              <w:tr2bl w:val="nil"/>
            </w:tcBorders>
            <w:vAlign w:val="bottom"/>
          </w:tcPr>
          <w:p w14:paraId="685D2B1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2.78 </w:t>
            </w:r>
          </w:p>
        </w:tc>
        <w:tc>
          <w:tcPr>
            <w:tcW w:w="610" w:type="dxa"/>
            <w:tcBorders>
              <w:tl2br w:val="nil"/>
              <w:tr2bl w:val="nil"/>
            </w:tcBorders>
            <w:vAlign w:val="bottom"/>
          </w:tcPr>
          <w:p w14:paraId="78F43C4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2.51 </w:t>
            </w:r>
          </w:p>
        </w:tc>
        <w:tc>
          <w:tcPr>
            <w:tcW w:w="611" w:type="dxa"/>
            <w:tcBorders>
              <w:tl2br w:val="nil"/>
              <w:tr2bl w:val="nil"/>
            </w:tcBorders>
            <w:vAlign w:val="bottom"/>
          </w:tcPr>
          <w:p w14:paraId="599AD83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2.38 </w:t>
            </w:r>
          </w:p>
        </w:tc>
        <w:tc>
          <w:tcPr>
            <w:tcW w:w="611" w:type="dxa"/>
            <w:tcBorders>
              <w:tl2br w:val="nil"/>
              <w:tr2bl w:val="nil"/>
            </w:tcBorders>
            <w:vAlign w:val="bottom"/>
          </w:tcPr>
          <w:p w14:paraId="11C3C88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2.63 </w:t>
            </w:r>
          </w:p>
        </w:tc>
        <w:tc>
          <w:tcPr>
            <w:tcW w:w="601" w:type="dxa"/>
            <w:tcBorders>
              <w:tl2br w:val="nil"/>
              <w:tr2bl w:val="nil"/>
            </w:tcBorders>
            <w:vAlign w:val="bottom"/>
          </w:tcPr>
          <w:p w14:paraId="738CB32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2.77 </w:t>
            </w:r>
          </w:p>
        </w:tc>
      </w:tr>
      <w:tr w14:paraId="567467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2" w:type="dxa"/>
            <w:tcBorders>
              <w:tl2br w:val="nil"/>
              <w:tr2bl w:val="nil"/>
            </w:tcBorders>
          </w:tcPr>
          <w:p w14:paraId="28762D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秋季</w:t>
            </w:r>
          </w:p>
        </w:tc>
        <w:tc>
          <w:tcPr>
            <w:tcW w:w="611" w:type="dxa"/>
            <w:tcBorders>
              <w:tl2br w:val="nil"/>
              <w:tr2bl w:val="nil"/>
            </w:tcBorders>
            <w:vAlign w:val="bottom"/>
          </w:tcPr>
          <w:p w14:paraId="4039D43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1.97 </w:t>
            </w:r>
          </w:p>
        </w:tc>
        <w:tc>
          <w:tcPr>
            <w:tcW w:w="610" w:type="dxa"/>
            <w:tcBorders>
              <w:tl2br w:val="nil"/>
              <w:tr2bl w:val="nil"/>
            </w:tcBorders>
            <w:vAlign w:val="bottom"/>
          </w:tcPr>
          <w:p w14:paraId="5735B5C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1.93 </w:t>
            </w:r>
          </w:p>
        </w:tc>
        <w:tc>
          <w:tcPr>
            <w:tcW w:w="610" w:type="dxa"/>
            <w:tcBorders>
              <w:tl2br w:val="nil"/>
              <w:tr2bl w:val="nil"/>
            </w:tcBorders>
            <w:vAlign w:val="bottom"/>
          </w:tcPr>
          <w:p w14:paraId="76EAA5F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1.83 </w:t>
            </w:r>
          </w:p>
        </w:tc>
        <w:tc>
          <w:tcPr>
            <w:tcW w:w="610" w:type="dxa"/>
            <w:tcBorders>
              <w:tl2br w:val="nil"/>
              <w:tr2bl w:val="nil"/>
            </w:tcBorders>
            <w:vAlign w:val="bottom"/>
          </w:tcPr>
          <w:p w14:paraId="314CEE9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1.75 </w:t>
            </w:r>
          </w:p>
        </w:tc>
        <w:tc>
          <w:tcPr>
            <w:tcW w:w="608" w:type="dxa"/>
            <w:tcBorders>
              <w:tl2br w:val="nil"/>
              <w:tr2bl w:val="nil"/>
            </w:tcBorders>
            <w:vAlign w:val="bottom"/>
          </w:tcPr>
          <w:p w14:paraId="3710965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1.78 </w:t>
            </w:r>
          </w:p>
        </w:tc>
        <w:tc>
          <w:tcPr>
            <w:tcW w:w="611" w:type="dxa"/>
            <w:tcBorders>
              <w:tl2br w:val="nil"/>
              <w:tr2bl w:val="nil"/>
            </w:tcBorders>
            <w:vAlign w:val="bottom"/>
          </w:tcPr>
          <w:p w14:paraId="0C101AD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1.77 </w:t>
            </w:r>
          </w:p>
        </w:tc>
        <w:tc>
          <w:tcPr>
            <w:tcW w:w="613" w:type="dxa"/>
            <w:tcBorders>
              <w:tl2br w:val="nil"/>
              <w:tr2bl w:val="nil"/>
            </w:tcBorders>
            <w:vAlign w:val="bottom"/>
          </w:tcPr>
          <w:p w14:paraId="133D4A7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1.46 </w:t>
            </w:r>
          </w:p>
        </w:tc>
        <w:tc>
          <w:tcPr>
            <w:tcW w:w="608" w:type="dxa"/>
            <w:tcBorders>
              <w:tl2br w:val="nil"/>
              <w:tr2bl w:val="nil"/>
            </w:tcBorders>
            <w:vAlign w:val="bottom"/>
          </w:tcPr>
          <w:p w14:paraId="491E941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1.55 </w:t>
            </w:r>
          </w:p>
        </w:tc>
        <w:tc>
          <w:tcPr>
            <w:tcW w:w="610" w:type="dxa"/>
            <w:tcBorders>
              <w:tl2br w:val="nil"/>
              <w:tr2bl w:val="nil"/>
            </w:tcBorders>
            <w:vAlign w:val="bottom"/>
          </w:tcPr>
          <w:p w14:paraId="733E5A2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1.80 </w:t>
            </w:r>
          </w:p>
        </w:tc>
        <w:tc>
          <w:tcPr>
            <w:tcW w:w="611" w:type="dxa"/>
            <w:tcBorders>
              <w:tl2br w:val="nil"/>
              <w:tr2bl w:val="nil"/>
            </w:tcBorders>
            <w:vAlign w:val="bottom"/>
          </w:tcPr>
          <w:p w14:paraId="3AAF96E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1.97 </w:t>
            </w:r>
          </w:p>
        </w:tc>
        <w:tc>
          <w:tcPr>
            <w:tcW w:w="611" w:type="dxa"/>
            <w:tcBorders>
              <w:tl2br w:val="nil"/>
              <w:tr2bl w:val="nil"/>
            </w:tcBorders>
            <w:vAlign w:val="bottom"/>
          </w:tcPr>
          <w:p w14:paraId="5BE63F9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2.13 </w:t>
            </w:r>
          </w:p>
        </w:tc>
        <w:tc>
          <w:tcPr>
            <w:tcW w:w="601" w:type="dxa"/>
            <w:tcBorders>
              <w:tl2br w:val="nil"/>
              <w:tr2bl w:val="nil"/>
            </w:tcBorders>
            <w:vAlign w:val="bottom"/>
          </w:tcPr>
          <w:p w14:paraId="1A0430D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1.94 </w:t>
            </w:r>
          </w:p>
        </w:tc>
      </w:tr>
      <w:tr w14:paraId="6A563C1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732" w:type="dxa"/>
            <w:tcBorders>
              <w:tl2br w:val="nil"/>
              <w:tr2bl w:val="nil"/>
            </w:tcBorders>
          </w:tcPr>
          <w:p w14:paraId="27A763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4"/>
                <w:kern w:val="0"/>
                <w:sz w:val="21"/>
                <w:szCs w:val="21"/>
                <w:highlight w:val="none"/>
              </w:rPr>
              <w:t>冬</w:t>
            </w:r>
            <w:r>
              <w:rPr>
                <w:rFonts w:hint="default" w:ascii="Times New Roman" w:hAnsi="Times New Roman" w:cs="Times New Roman"/>
                <w:snapToGrid w:val="0"/>
                <w:color w:val="auto"/>
                <w:spacing w:val="-2"/>
                <w:kern w:val="0"/>
                <w:sz w:val="21"/>
                <w:szCs w:val="21"/>
                <w:highlight w:val="none"/>
              </w:rPr>
              <w:t>季</w:t>
            </w:r>
          </w:p>
        </w:tc>
        <w:tc>
          <w:tcPr>
            <w:tcW w:w="611" w:type="dxa"/>
            <w:tcBorders>
              <w:tl2br w:val="nil"/>
              <w:tr2bl w:val="nil"/>
            </w:tcBorders>
            <w:vAlign w:val="bottom"/>
          </w:tcPr>
          <w:p w14:paraId="7219929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1.61 </w:t>
            </w:r>
          </w:p>
        </w:tc>
        <w:tc>
          <w:tcPr>
            <w:tcW w:w="610" w:type="dxa"/>
            <w:tcBorders>
              <w:tl2br w:val="nil"/>
              <w:tr2bl w:val="nil"/>
            </w:tcBorders>
            <w:vAlign w:val="bottom"/>
          </w:tcPr>
          <w:p w14:paraId="4C1349B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1.65 </w:t>
            </w:r>
          </w:p>
        </w:tc>
        <w:tc>
          <w:tcPr>
            <w:tcW w:w="610" w:type="dxa"/>
            <w:tcBorders>
              <w:tl2br w:val="nil"/>
              <w:tr2bl w:val="nil"/>
            </w:tcBorders>
            <w:vAlign w:val="bottom"/>
          </w:tcPr>
          <w:p w14:paraId="29A7D58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1.54 </w:t>
            </w:r>
          </w:p>
        </w:tc>
        <w:tc>
          <w:tcPr>
            <w:tcW w:w="610" w:type="dxa"/>
            <w:tcBorders>
              <w:tl2br w:val="nil"/>
              <w:tr2bl w:val="nil"/>
            </w:tcBorders>
            <w:vAlign w:val="bottom"/>
          </w:tcPr>
          <w:p w14:paraId="6D5D468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1.38 </w:t>
            </w:r>
          </w:p>
        </w:tc>
        <w:tc>
          <w:tcPr>
            <w:tcW w:w="608" w:type="dxa"/>
            <w:tcBorders>
              <w:tl2br w:val="nil"/>
              <w:tr2bl w:val="nil"/>
            </w:tcBorders>
            <w:vAlign w:val="bottom"/>
          </w:tcPr>
          <w:p w14:paraId="605D9A3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1.47 </w:t>
            </w:r>
          </w:p>
        </w:tc>
        <w:tc>
          <w:tcPr>
            <w:tcW w:w="611" w:type="dxa"/>
            <w:tcBorders>
              <w:tl2br w:val="nil"/>
              <w:tr2bl w:val="nil"/>
            </w:tcBorders>
            <w:vAlign w:val="bottom"/>
          </w:tcPr>
          <w:p w14:paraId="6203C07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1.27 </w:t>
            </w:r>
          </w:p>
        </w:tc>
        <w:tc>
          <w:tcPr>
            <w:tcW w:w="613" w:type="dxa"/>
            <w:tcBorders>
              <w:tl2br w:val="nil"/>
              <w:tr2bl w:val="nil"/>
            </w:tcBorders>
            <w:vAlign w:val="bottom"/>
          </w:tcPr>
          <w:p w14:paraId="43D5137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1.02 </w:t>
            </w:r>
          </w:p>
        </w:tc>
        <w:tc>
          <w:tcPr>
            <w:tcW w:w="608" w:type="dxa"/>
            <w:tcBorders>
              <w:tl2br w:val="nil"/>
              <w:tr2bl w:val="nil"/>
            </w:tcBorders>
            <w:vAlign w:val="bottom"/>
          </w:tcPr>
          <w:p w14:paraId="66DAF31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0.84 </w:t>
            </w:r>
          </w:p>
        </w:tc>
        <w:tc>
          <w:tcPr>
            <w:tcW w:w="610" w:type="dxa"/>
            <w:tcBorders>
              <w:tl2br w:val="nil"/>
              <w:tr2bl w:val="nil"/>
            </w:tcBorders>
            <w:vAlign w:val="bottom"/>
          </w:tcPr>
          <w:p w14:paraId="694E452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1.18 </w:t>
            </w:r>
          </w:p>
        </w:tc>
        <w:tc>
          <w:tcPr>
            <w:tcW w:w="611" w:type="dxa"/>
            <w:tcBorders>
              <w:tl2br w:val="nil"/>
              <w:tr2bl w:val="nil"/>
            </w:tcBorders>
            <w:vAlign w:val="bottom"/>
          </w:tcPr>
          <w:p w14:paraId="2CC9266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1.35 </w:t>
            </w:r>
          </w:p>
        </w:tc>
        <w:tc>
          <w:tcPr>
            <w:tcW w:w="611" w:type="dxa"/>
            <w:tcBorders>
              <w:tl2br w:val="nil"/>
              <w:tr2bl w:val="nil"/>
            </w:tcBorders>
            <w:vAlign w:val="bottom"/>
          </w:tcPr>
          <w:p w14:paraId="155BC60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1.49 </w:t>
            </w:r>
          </w:p>
        </w:tc>
        <w:tc>
          <w:tcPr>
            <w:tcW w:w="601" w:type="dxa"/>
            <w:tcBorders>
              <w:tl2br w:val="nil"/>
              <w:tr2bl w:val="nil"/>
            </w:tcBorders>
            <w:vAlign w:val="bottom"/>
          </w:tcPr>
          <w:p w14:paraId="38D025B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1.63 </w:t>
            </w:r>
          </w:p>
        </w:tc>
      </w:tr>
    </w:tbl>
    <w:p w14:paraId="643CCBDF">
      <w:pPr>
        <w:pageBreakBefore w:val="0"/>
        <w:wordWrap/>
        <w:topLinePunct w:val="0"/>
        <w:bidi w:val="0"/>
        <w:adjustRightInd w:val="0"/>
        <w:snapToGrid w:val="0"/>
        <w:ind w:left="0" w:leftChars="0" w:right="0" w:firstLine="0" w:firstLineChars="0"/>
        <w:jc w:val="both"/>
        <w:rPr>
          <w:rFonts w:hint="default" w:ascii="Times New Roman" w:hAnsi="Times New Roman" w:cs="Times New Roman"/>
          <w:b/>
          <w:bCs/>
          <w:color w:val="auto"/>
          <w:sz w:val="21"/>
          <w:szCs w:val="21"/>
          <w:highlight w:val="none"/>
        </w:rPr>
      </w:pPr>
    </w:p>
    <w:p w14:paraId="4C8B6767">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图5.2-2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年各月平均风速变化曲线图</w:t>
      </w:r>
    </w:p>
    <w:p w14:paraId="7AFB67B7">
      <w:pPr>
        <w:pageBreakBefore w:val="0"/>
        <w:wordWrap/>
        <w:topLinePunct w:val="0"/>
        <w:bidi w:val="0"/>
        <w:adjustRightInd w:val="0"/>
        <w:snapToGrid w:val="0"/>
        <w:ind w:left="0" w:leftChars="0" w:right="0" w:firstLine="0" w:firstLineChars="0"/>
        <w:jc w:val="both"/>
        <w:rPr>
          <w:rFonts w:hint="default" w:ascii="Times New Roman" w:hAnsi="Times New Roman" w:cs="Times New Roman"/>
          <w:b/>
          <w:bCs/>
          <w:color w:val="auto"/>
          <w:sz w:val="21"/>
          <w:szCs w:val="21"/>
          <w:highlight w:val="none"/>
        </w:rPr>
      </w:pPr>
    </w:p>
    <w:p w14:paraId="108158EA">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图5.2-3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年季小时平均风速日变化曲线图</w:t>
      </w:r>
    </w:p>
    <w:p w14:paraId="612DA8ED">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eastAsia" w:cs="Times New Roman"/>
          <w:color w:val="auto"/>
          <w:highlight w:val="none"/>
          <w:lang w:eastAsia="zh-CN"/>
        </w:rPr>
        <w:t>3.</w:t>
      </w:r>
      <w:r>
        <w:rPr>
          <w:rFonts w:hint="default" w:ascii="Times New Roman" w:hAnsi="Times New Roman" w:cs="Times New Roman"/>
          <w:color w:val="auto"/>
          <w:highlight w:val="none"/>
        </w:rPr>
        <w:t>污染系数</w:t>
      </w:r>
    </w:p>
    <w:p w14:paraId="4D9EEE78">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污染系数是用某风向的频率与该风向平均风速的比来表示的，值越大则其下风向受污染的概率也越大。根据</w:t>
      </w:r>
      <w:r>
        <w:rPr>
          <w:rFonts w:hint="default" w:ascii="Times New Roman" w:hAnsi="Times New Roman" w:cs="Times New Roman"/>
          <w:color w:val="auto"/>
          <w:highlight w:val="none"/>
          <w:lang w:eastAsia="zh-CN"/>
        </w:rPr>
        <w:t>吐鲁番气象站</w:t>
      </w:r>
      <w:r>
        <w:rPr>
          <w:rFonts w:hint="default" w:ascii="Times New Roman" w:hAnsi="Times New Roman" w:cs="Times New Roman"/>
          <w:color w:val="auto"/>
          <w:highlight w:val="none"/>
        </w:rPr>
        <w:t xml:space="preserve"> 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年气象统计资料，项目区域污染系数统计结果见表5.2-</w:t>
      </w:r>
      <w:r>
        <w:rPr>
          <w:rFonts w:hint="eastAsia" w:cs="Times New Roman"/>
          <w:color w:val="auto"/>
          <w:highlight w:val="none"/>
          <w:lang w:val="en-US" w:eastAsia="zh-CN"/>
        </w:rPr>
        <w:t>8</w:t>
      </w:r>
      <w:r>
        <w:rPr>
          <w:rFonts w:hint="default" w:ascii="Times New Roman" w:hAnsi="Times New Roman" w:cs="Times New Roman"/>
          <w:color w:val="auto"/>
          <w:highlight w:val="none"/>
        </w:rPr>
        <w:t>、图5.2-6。</w:t>
      </w:r>
    </w:p>
    <w:p w14:paraId="6CB36154">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sectPr>
          <w:footerReference r:id="rId20" w:type="first"/>
          <w:footerReference r:id="rId19"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3FAD53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年各月、季及全年风向频率表%</w:t>
      </w:r>
    </w:p>
    <w:tbl>
      <w:tblPr>
        <w:tblStyle w:val="121"/>
        <w:tblW w:w="499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56"/>
        <w:gridCol w:w="752"/>
        <w:gridCol w:w="752"/>
        <w:gridCol w:w="752"/>
        <w:gridCol w:w="752"/>
        <w:gridCol w:w="752"/>
        <w:gridCol w:w="752"/>
        <w:gridCol w:w="752"/>
        <w:gridCol w:w="752"/>
        <w:gridCol w:w="752"/>
        <w:gridCol w:w="752"/>
        <w:gridCol w:w="752"/>
        <w:gridCol w:w="752"/>
        <w:gridCol w:w="752"/>
        <w:gridCol w:w="752"/>
        <w:gridCol w:w="752"/>
        <w:gridCol w:w="753"/>
        <w:gridCol w:w="759"/>
      </w:tblGrid>
      <w:tr w14:paraId="3A6839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3" w:type="pct"/>
            <w:tcBorders>
              <w:tl2br w:val="nil"/>
              <w:tr2bl w:val="nil"/>
            </w:tcBorders>
            <w:vAlign w:val="center"/>
          </w:tcPr>
          <w:p w14:paraId="2B34CC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c>
          <w:tcPr>
            <w:tcW w:w="275" w:type="pct"/>
            <w:tcBorders>
              <w:tl2br w:val="nil"/>
              <w:tr2bl w:val="nil"/>
            </w:tcBorders>
            <w:vAlign w:val="center"/>
          </w:tcPr>
          <w:p w14:paraId="164F2C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F6A94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5D844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2E0D0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0F73D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260F78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E27A7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1988A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95C87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31FE6C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B2E03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CF2B6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7143F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57CB4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B33D3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4657B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7" w:type="pct"/>
            <w:tcBorders>
              <w:tl2br w:val="nil"/>
              <w:tr2bl w:val="nil"/>
            </w:tcBorders>
            <w:vAlign w:val="center"/>
          </w:tcPr>
          <w:p w14:paraId="0F29E4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r>
      <w:tr w14:paraId="6BF7C4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5" w:hRule="atLeast"/>
        </w:trPr>
        <w:tc>
          <w:tcPr>
            <w:tcW w:w="313" w:type="pct"/>
            <w:tcBorders>
              <w:tl2br w:val="nil"/>
              <w:tr2bl w:val="nil"/>
            </w:tcBorders>
            <w:vAlign w:val="center"/>
          </w:tcPr>
          <w:p w14:paraId="19C332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12AFF1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B82B8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F9374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2D92E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CAE3E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AD7D4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3A751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9EDC3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1B439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1E8B4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2678E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27E1E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87DB5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899BC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E0A14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3CF0E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637F78C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601404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3" w:hRule="atLeast"/>
        </w:trPr>
        <w:tc>
          <w:tcPr>
            <w:tcW w:w="313" w:type="pct"/>
            <w:tcBorders>
              <w:tl2br w:val="nil"/>
              <w:tr2bl w:val="nil"/>
            </w:tcBorders>
            <w:vAlign w:val="center"/>
          </w:tcPr>
          <w:p w14:paraId="3E20C6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FD921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7F571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F743C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4DB0B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E95D4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21EDB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9F9D4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4048B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4440D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A3C2F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B62B4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EC45B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CB396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4BC62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07B1F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99B27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42022E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0F60D2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6DA0C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9428C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BD2B6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53C33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501C0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CCDB5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F6088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33242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22CA4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D48FE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F48F7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D58C6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A756D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E3EBF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884B3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992F6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7EA11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2C4711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2A8554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19998A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962CB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86982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8B41D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D8C7C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4727B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3F539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9187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5AFDF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C1013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FAAFB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BB26F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E6ABF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D0E13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355C8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449F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4A787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502E78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32DCAC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7C6B3B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2E6408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C6C8A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75D86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DE05F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35855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52D44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A5074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629AD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08322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F95E4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E1DC3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97B66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D7C76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FD56E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C4363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59D3A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2AEC2A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41EC8E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A603F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E4F6E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B74F5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8E870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AD1C3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D3B88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6BBE4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BFB85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98DD6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704D3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7D5FF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FE1A7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BB69A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9BE12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98409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64A9A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C3E99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4CA547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031189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7BE3C7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7AC34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761A1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345FE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02357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1F2CC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03018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E30D6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9B905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B4DA2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D4D2A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A335B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B8F8B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384BA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5BC26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90AF3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AE948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5AA01C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66192C0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79B018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582DE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6CD73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3C3A4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C2B00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B7388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CD474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32E2F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55FB7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2FDE8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FCCE6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97617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5733F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22F32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A3341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8528E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F2BAD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08819F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24E123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5" w:hRule="atLeast"/>
        </w:trPr>
        <w:tc>
          <w:tcPr>
            <w:tcW w:w="313" w:type="pct"/>
            <w:tcBorders>
              <w:tl2br w:val="nil"/>
              <w:tr2bl w:val="nil"/>
            </w:tcBorders>
            <w:vAlign w:val="center"/>
          </w:tcPr>
          <w:p w14:paraId="3EC3A7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476841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2D465F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EBD00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835A2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54A5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3EEC5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EEAC4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C8207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46B6A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F9C9B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BD9AE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CAFDD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C9B49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19B67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911AA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30670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225A0F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623538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1D48D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9D130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25D29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E6F19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546C4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F93E3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6A8FE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E3D42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8D6C9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83576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689C7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54624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BBA9D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91A80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C54E4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CB640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4AF4F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4D962E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1D3C6E6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6" w:hRule="atLeast"/>
        </w:trPr>
        <w:tc>
          <w:tcPr>
            <w:tcW w:w="313" w:type="pct"/>
            <w:tcBorders>
              <w:tl2br w:val="nil"/>
              <w:tr2bl w:val="nil"/>
            </w:tcBorders>
            <w:vAlign w:val="center"/>
          </w:tcPr>
          <w:p w14:paraId="75C35B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05773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65A74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C2F6F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77372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B42EC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5EADB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56F01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3C482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FD916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D84B0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1BA0E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E8B0B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245B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61AB8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8011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13D64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7E3DCF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099B12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4B7F78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2FEC7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03FAB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CD1E8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16C2F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30D88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7E6C9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A7CE4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5CB8E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817FA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5CC70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3DB65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2E7B8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23647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AA270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B8CA0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D530D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3B1BF5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48F134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B0B11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5B92D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83EE3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6F91D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FC1CB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4D640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E730B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3B07A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1656FC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6CE49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76B0E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C9EF7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7E83E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2F6C5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3AB62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449B3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3B3D1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0B7826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r w14:paraId="3DDBBD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30BE4B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40C84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3A264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B811D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6B686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10D19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A261E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6077B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7626A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49D7E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EA234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CF788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C014C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89D28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25202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42FFB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505CA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3CE17F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r w14:paraId="14484E2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723D2D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457158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368D8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AB794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1B363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A505C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FB3F5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26BA2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D6B21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BB027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32903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16441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CF9A3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FB519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7DBE7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D7B4E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618E8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3A7F2C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r w14:paraId="745213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2D63F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31250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0432B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C8C61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F715F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8A031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79BB8C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95C5F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B2705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C1519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FE1D8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44A89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E6314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B081B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76E93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64C0D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EB0C9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210D4F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r w14:paraId="04FCCAD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3" w:type="pct"/>
            <w:tcBorders>
              <w:tl2br w:val="nil"/>
              <w:tr2bl w:val="nil"/>
            </w:tcBorders>
            <w:vAlign w:val="center"/>
          </w:tcPr>
          <w:p w14:paraId="0CC434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72C05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6B32B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8203D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737AD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58431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C3872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3D311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90AE5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46969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2C1E5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E73B9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96C3B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31CED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439FD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F6E0F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5D90D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056CE1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bl>
    <w:p w14:paraId="478A4C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年各月、季及全年风速频率表m/s</w:t>
      </w:r>
    </w:p>
    <w:tbl>
      <w:tblPr>
        <w:tblStyle w:val="121"/>
        <w:tblW w:w="499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56"/>
        <w:gridCol w:w="752"/>
        <w:gridCol w:w="752"/>
        <w:gridCol w:w="752"/>
        <w:gridCol w:w="752"/>
        <w:gridCol w:w="752"/>
        <w:gridCol w:w="752"/>
        <w:gridCol w:w="752"/>
        <w:gridCol w:w="752"/>
        <w:gridCol w:w="752"/>
        <w:gridCol w:w="752"/>
        <w:gridCol w:w="752"/>
        <w:gridCol w:w="752"/>
        <w:gridCol w:w="752"/>
        <w:gridCol w:w="752"/>
        <w:gridCol w:w="752"/>
        <w:gridCol w:w="753"/>
        <w:gridCol w:w="759"/>
      </w:tblGrid>
      <w:tr w14:paraId="1A49F4C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blHeader/>
        </w:trPr>
        <w:tc>
          <w:tcPr>
            <w:tcW w:w="313" w:type="pct"/>
            <w:tcBorders>
              <w:tl2br w:val="nil"/>
              <w:tr2bl w:val="nil"/>
            </w:tcBorders>
            <w:vAlign w:val="center"/>
          </w:tcPr>
          <w:p w14:paraId="4EE4DB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c>
          <w:tcPr>
            <w:tcW w:w="275" w:type="pct"/>
            <w:tcBorders>
              <w:tl2br w:val="nil"/>
              <w:tr2bl w:val="nil"/>
            </w:tcBorders>
            <w:vAlign w:val="center"/>
          </w:tcPr>
          <w:p w14:paraId="15597F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851BA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5447C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66FA0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37A3EE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E7999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64A2E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34488B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FD9D6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D7801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429D4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62B65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BC29B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33D62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CB8BE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1400D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7" w:type="pct"/>
            <w:tcBorders>
              <w:tl2br w:val="nil"/>
              <w:tr2bl w:val="nil"/>
            </w:tcBorders>
            <w:vAlign w:val="center"/>
          </w:tcPr>
          <w:p w14:paraId="330E19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r>
      <w:tr w14:paraId="79AE312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078CC7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1EAF7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2565B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51353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1D2B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A4EE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41B6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68083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C0D26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98BB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05FE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E708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6435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9AA0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F025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D3FA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30970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86935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1EEAD14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5C4FA5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F347F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6639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9B203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6524B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AF1D21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996D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49F3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98C16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C2EF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28E4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7A2F8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2588A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1532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3730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E67C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881CA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20A12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0D7782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6B913A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83793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90F26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C292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BDC2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5CD5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AF91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78A34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5C77D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F2238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9F4D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A3A4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8E61D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E6DFA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2BF5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FBE2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5AE8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14013F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449645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7677BC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485602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7D538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7C07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781F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E2653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DB04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E5E1E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0445A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F3BD5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41C50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B5D3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5A7D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8B58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FC93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97798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CC59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7B2564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6B935B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65DDEA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EB741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C10C9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D463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F3122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E278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3172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4A58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DDE42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CE46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834C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A8032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D5EF3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8324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36A6D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E3611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567FF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CAA09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E1901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39247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B6B5F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E851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074A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2B855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8FF2A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9A027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0F1E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8392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27284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28F9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AB84F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691F8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64FF2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C37A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869D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BBAD5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42801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03F88B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0E1C4B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A7A27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0CCFD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20FF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4F06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24F85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A58DC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03693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5EA4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A692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273A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7AE4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F7AA1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F71C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7FF22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621F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D98D6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DD034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5D167C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54CE7C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0297B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4DC9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F79A9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7D8A8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B6D4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2B251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61409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10A65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4C77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0826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C79B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A5E2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27257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A2AF9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30A9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F7E7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95626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5A95EC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3022F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80346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170E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A0E60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6164E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0C7D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C5D9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E82E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A2A2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B8C9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EF6A5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8DE3B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8F27A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E7315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1527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A9DE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83CD5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37D33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665CE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041BDB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A6179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C5B19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8F78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A4E55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94D9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61AB3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8145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9E65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CEC3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DC89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C286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3F167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DD78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C13C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647D0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124C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0E1E9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107F2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25996B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BADC8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32E5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A5EB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CF5ED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20BF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62E6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32FDA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EAC3F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0708D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6A64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B9D6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C2066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A51E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C6D9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3A903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0ADF4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D180F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477C54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85A37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1EE8F7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87CDF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B94FE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3752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D9F51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D9FA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3AF0F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400E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0380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768F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381F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02DC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A08A1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0FD8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F6AD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5CCB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D711B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31633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11DE8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44CE0C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204D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15171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38ABE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80B13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5B4F5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6FF7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E69B1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6965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415B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86CC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50E5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A358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146E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8EF7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699BE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E5168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14941E3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7F2155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19555B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8096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54711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7F0C5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9C06D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BEC3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3D13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DF8E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7989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350D8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D2FE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4DFA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96398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9A064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E9EA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02200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1604F4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2E31D7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7A8384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87B65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2C8B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236C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0804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2663D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CB7DB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B9E5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24023A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2F163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EC29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57DAA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25328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F426C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32AC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046E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FB30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7A84D5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099EE3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4552A0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4A1E0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581D3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2DC4E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D4D1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2E6F6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CE672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30DD8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C88B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EF883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3C06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FA82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ACBA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1D42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7AEAC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A96A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5FCE4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D19B3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7688F5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3" w:type="pct"/>
            <w:tcBorders>
              <w:tl2br w:val="nil"/>
              <w:tr2bl w:val="nil"/>
            </w:tcBorders>
            <w:vAlign w:val="center"/>
          </w:tcPr>
          <w:p w14:paraId="17BED6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8A6DB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D78F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FD51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5280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53C42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79ED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AAC0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0FE6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A9D27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67D2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6F7B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26963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7C710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9E67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37E97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55C9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F10C0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bl>
    <w:p w14:paraId="1D183A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黑体" w:cs="Times New Roman"/>
          <w:snapToGrid w:val="0"/>
          <w:color w:val="auto"/>
          <w:kern w:val="0"/>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年各月、季及全年污染系数表</w:t>
      </w:r>
    </w:p>
    <w:tbl>
      <w:tblPr>
        <w:tblStyle w:val="121"/>
        <w:tblW w:w="499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56"/>
        <w:gridCol w:w="752"/>
        <w:gridCol w:w="752"/>
        <w:gridCol w:w="752"/>
        <w:gridCol w:w="752"/>
        <w:gridCol w:w="752"/>
        <w:gridCol w:w="752"/>
        <w:gridCol w:w="752"/>
        <w:gridCol w:w="752"/>
        <w:gridCol w:w="752"/>
        <w:gridCol w:w="752"/>
        <w:gridCol w:w="752"/>
        <w:gridCol w:w="752"/>
        <w:gridCol w:w="752"/>
        <w:gridCol w:w="752"/>
        <w:gridCol w:w="752"/>
        <w:gridCol w:w="753"/>
        <w:gridCol w:w="759"/>
      </w:tblGrid>
      <w:tr w14:paraId="3D3DF3A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blHeader/>
        </w:trPr>
        <w:tc>
          <w:tcPr>
            <w:tcW w:w="313" w:type="pct"/>
            <w:tcBorders>
              <w:tl2br w:val="nil"/>
              <w:tr2bl w:val="nil"/>
            </w:tcBorders>
            <w:vAlign w:val="center"/>
          </w:tcPr>
          <w:p w14:paraId="01973B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c>
          <w:tcPr>
            <w:tcW w:w="275" w:type="pct"/>
            <w:tcBorders>
              <w:tl2br w:val="nil"/>
              <w:tr2bl w:val="nil"/>
            </w:tcBorders>
            <w:vAlign w:val="center"/>
          </w:tcPr>
          <w:p w14:paraId="1E5812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F2B07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23A621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DBB6B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07EA4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7BB60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5CB07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51048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38528F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C452E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4FF6E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23B9E5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724BE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77AD4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890B2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22C12B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7" w:type="pct"/>
            <w:tcBorders>
              <w:tl2br w:val="nil"/>
              <w:tr2bl w:val="nil"/>
            </w:tcBorders>
            <w:vAlign w:val="center"/>
          </w:tcPr>
          <w:p w14:paraId="47CC15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r>
      <w:tr w14:paraId="7010D1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8B221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AC0EB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168E0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F0F6F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34C4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64F87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6436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2CD1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FF28C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009F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651F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7E6C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5483B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9C865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3175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6293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4640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B850D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46A5C4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3E71D4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7400E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2A33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E21C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2B25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8404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C77D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D25D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1777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C360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6460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5BA2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BFCBA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9A34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9129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B765B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148E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DF55E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7C5C8F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956CA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13DFDD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A255A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8728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01B2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AA30F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53EE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269D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44860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F1939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9F6E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B969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9502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E203D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28C2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FA9A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03456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6A091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E756A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50D379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2EB51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47F0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7C134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51BA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0083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35D26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365C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794E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E1254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96B7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71C0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22CA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53B50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DCE7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58842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770F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49239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577767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BFE27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2609F4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326E7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F481C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3E28B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7532C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CA41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AEE7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E8AAA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1D88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7103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964D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DDBA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8A079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F0F9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A100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3BD1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A8200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DDECC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26DE55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57951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66868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7A7A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085C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2EA3B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B1CB2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C96E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B4A18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5F7B0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0EA1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9518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FDDD0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A281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CFB50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69CA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A154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7139C1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1FE557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F0B94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3746E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A253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1141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484F8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917D6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57F16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66E3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228C2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60180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C5557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2890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17AC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D269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260A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3299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4F4A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2A88D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4A90F8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29435A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112D4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B5483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5DA5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C38A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C39A0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62409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364F4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C0A5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F6F1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8876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273CE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E474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0251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1193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3944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B8BA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C949F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13B0AB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62315C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388C2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10B9D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919C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7E745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226A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CF4A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2C72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25D14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DC32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1484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270B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3212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51D1C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8A2EA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BE4C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4FD5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29FF3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B7DDD4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00AD6C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12832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13B6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7145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6436E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F8B0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E9CA1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5ACA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ADB0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71C5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7AD2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682DB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1728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D706D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A7F9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CA9A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6BEC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5E75B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1D843D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77C12E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6B220A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3D774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11C7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26995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EA46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951F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298D4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E1A46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4DA2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1D16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28A7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7A869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B7C9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BFA3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ECDC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907D0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0F41D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4BF80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2424E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667F8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A018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C146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3565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14A6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A256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5EDD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5460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4D69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4BB1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69F9D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78561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D9BC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72C8E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47C2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E99E7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37E3E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0DA865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AC85A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B7D83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C6E4A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E9282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1295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6C479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0112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CB04A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1025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0D9C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0F91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CB22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33E9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53AE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C3FD1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7AB8B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44EBE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0A3B2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AC85A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7631A1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5F2C6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D92C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3AFC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5961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3028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989A3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C5E4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17897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3726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6762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373A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171F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096A5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6A566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6491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B1B26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E6BC6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60E288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D68F8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42CA55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416D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7903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19F95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BF3C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BE901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B4DCF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B4EA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70C0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8544C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C4A5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421DC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5CEA2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317A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0A1F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4737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6DC9C4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180D7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B2C50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25108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BE3D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D5ED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C832B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62AAD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45E17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38F5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88EF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21C5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8D143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0842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D6A41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301BC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7562B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1CF1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2FC5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5709B1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0C5EB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3" w:type="pct"/>
            <w:tcBorders>
              <w:tl2br w:val="nil"/>
              <w:tr2bl w:val="nil"/>
            </w:tcBorders>
            <w:vAlign w:val="center"/>
          </w:tcPr>
          <w:p w14:paraId="66265A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2E5D6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9F32C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4FA80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4280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D5451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F5A7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206B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719A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5F983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E056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215B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F6A1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747EC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D4347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68F66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462DF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824C0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bl>
    <w:p w14:paraId="45098340">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sectPr>
          <w:pgSz w:w="16838" w:h="11906" w:orient="landscape"/>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09A9ED8A">
      <w:pPr>
        <w:pageBreakBefore w:val="0"/>
        <w:wordWrap/>
        <w:topLinePunct w:val="0"/>
        <w:bidi w:val="0"/>
        <w:adjustRightInd w:val="0"/>
        <w:snapToGrid w:val="0"/>
        <w:ind w:left="0" w:leftChars="0" w:right="0" w:firstLine="422"/>
        <w:jc w:val="center"/>
        <w:rPr>
          <w:rFonts w:hint="default" w:ascii="Times New Roman" w:hAnsi="Times New Roman" w:cs="Times New Roman"/>
          <w:color w:val="auto"/>
          <w:highlight w:val="none"/>
        </w:rPr>
      </w:pPr>
    </w:p>
    <w:p w14:paraId="34787002">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图5.2-4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年各月、季及全年风向玫瑰图</w:t>
      </w:r>
    </w:p>
    <w:p w14:paraId="16507569">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p>
    <w:p w14:paraId="0B3B376B">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p>
    <w:p w14:paraId="7663F301">
      <w:pPr>
        <w:pageBreakBefore w:val="0"/>
        <w:wordWrap/>
        <w:topLinePunct w:val="0"/>
        <w:bidi w:val="0"/>
        <w:adjustRightInd w:val="0"/>
        <w:snapToGrid w:val="0"/>
        <w:ind w:left="0" w:leftChars="0" w:right="0" w:firstLine="422"/>
        <w:jc w:val="center"/>
        <w:rPr>
          <w:rFonts w:hint="default" w:ascii="Times New Roman" w:hAnsi="Times New Roman" w:cs="Times New Roman"/>
          <w:color w:val="auto"/>
          <w:highlight w:val="none"/>
        </w:rPr>
      </w:pPr>
    </w:p>
    <w:p w14:paraId="392E7413">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图5.2-5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年各月、季及全年风速玫瑰图</w:t>
      </w:r>
    </w:p>
    <w:p w14:paraId="1FEE40CB">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p>
    <w:p w14:paraId="2863426E">
      <w:pPr>
        <w:pageBreakBefore w:val="0"/>
        <w:wordWrap/>
        <w:topLinePunct w:val="0"/>
        <w:bidi w:val="0"/>
        <w:adjustRightInd w:val="0"/>
        <w:snapToGrid w:val="0"/>
        <w:spacing w:line="191" w:lineRule="auto"/>
        <w:ind w:left="0" w:leftChars="0" w:right="0" w:firstLine="482"/>
        <w:rPr>
          <w:rFonts w:hint="default" w:ascii="Times New Roman" w:hAnsi="Times New Roman" w:cs="Times New Roman"/>
          <w:b/>
          <w:bCs/>
          <w:color w:val="auto"/>
          <w:highlight w:val="none"/>
        </w:rPr>
      </w:pPr>
    </w:p>
    <w:p w14:paraId="068A825C">
      <w:pPr>
        <w:pageBreakBefore w:val="0"/>
        <w:wordWrap/>
        <w:topLinePunct w:val="0"/>
        <w:bidi w:val="0"/>
        <w:adjustRightInd w:val="0"/>
        <w:snapToGrid w:val="0"/>
        <w:spacing w:line="191" w:lineRule="auto"/>
        <w:ind w:left="0" w:leftChars="0" w:right="0" w:firstLine="482"/>
        <w:rPr>
          <w:rFonts w:hint="default" w:ascii="Times New Roman" w:hAnsi="Times New Roman" w:cs="Times New Roman"/>
          <w:b/>
          <w:bCs/>
          <w:color w:val="auto"/>
          <w:highlight w:val="none"/>
        </w:rPr>
      </w:pPr>
    </w:p>
    <w:p w14:paraId="4DAD2447">
      <w:pPr>
        <w:pageBreakBefore w:val="0"/>
        <w:wordWrap/>
        <w:topLinePunct w:val="0"/>
        <w:bidi w:val="0"/>
        <w:adjustRightInd w:val="0"/>
        <w:snapToGrid w:val="0"/>
        <w:spacing w:line="191" w:lineRule="auto"/>
        <w:ind w:left="0" w:leftChars="0" w:right="0" w:firstLine="482"/>
        <w:rPr>
          <w:rFonts w:hint="default" w:ascii="Times New Roman" w:hAnsi="Times New Roman" w:cs="Times New Roman"/>
          <w:b/>
          <w:bCs/>
          <w:color w:val="auto"/>
          <w:highlight w:val="none"/>
        </w:rPr>
      </w:pPr>
    </w:p>
    <w:p w14:paraId="0906DD0C">
      <w:pPr>
        <w:pStyle w:val="53"/>
        <w:pageBreakBefore w:val="0"/>
        <w:wordWrap/>
        <w:topLinePunct w:val="0"/>
        <w:bidi w:val="0"/>
        <w:adjustRightInd w:val="0"/>
        <w:snapToGrid w:val="0"/>
        <w:ind w:left="0" w:leftChars="0" w:right="0" w:firstLine="422"/>
        <w:jc w:val="center"/>
        <w:rPr>
          <w:rFonts w:hint="default" w:ascii="Times New Roman" w:hAnsi="Times New Roman" w:cs="Times New Roman"/>
          <w:color w:val="auto"/>
          <w:highlight w:val="none"/>
        </w:rPr>
      </w:pPr>
    </w:p>
    <w:p w14:paraId="0681D765">
      <w:pPr>
        <w:pStyle w:val="53"/>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图5.2-6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年各月、季及全年污染系数图</w:t>
      </w:r>
    </w:p>
    <w:p w14:paraId="2E55ACDB">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5.2.2环境空气影响预测与评价</w:t>
      </w:r>
    </w:p>
    <w:p w14:paraId="5BBD4924">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bookmarkStart w:id="175" w:name="_Toc402788857"/>
      <w:bookmarkStart w:id="176" w:name="_Toc22331_WPSOffice_Level2"/>
      <w:bookmarkStart w:id="177" w:name="_Toc16054_WPSOffice_Level2"/>
      <w:r>
        <w:rPr>
          <w:rFonts w:hint="default" w:ascii="Times New Roman" w:hAnsi="Times New Roman" w:cs="Times New Roman"/>
          <w:color w:val="auto"/>
          <w:highlight w:val="none"/>
        </w:rPr>
        <w:t>（1）预测模型</w:t>
      </w:r>
    </w:p>
    <w:p w14:paraId="474E8C91">
      <w:pPr>
        <w:pStyle w:val="138"/>
        <w:pageBreakBefore w:val="0"/>
        <w:wordWrap/>
        <w:topLinePunct w:val="0"/>
        <w:bidi w:val="0"/>
        <w:adjustRightInd w:val="0"/>
        <w:snapToGrid w:val="0"/>
        <w:spacing w:line="360" w:lineRule="auto"/>
        <w:ind w:left="0" w:leftChars="0" w:right="0" w:firstLine="472"/>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本项目大气评价等级为一级评价，根据《环境影响评价技术导则 大气环境》（HJ2.2-2018）的相关规定：“一级评价项目应采用进一步预测模型开展大气环境影响预测与评价”。本次预测采用进一步预测模型中的AERMOD模型。AERMOD是一个稳态烟羽扩散模式，可基于大气边界层数据特征模拟点源、面源、体源等排放出的污染物在短期（小时平均、日平均）、长期（年平均）的浓度分布，适用于农村或城市地区、简单或复杂地形。AERMOD模式使用每小时连续预处理气象数据模拟大于等于1小时平均时间的浓度分布。</w:t>
      </w:r>
    </w:p>
    <w:p w14:paraId="37CA223A">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（2）预测模型参数</w:t>
      </w:r>
    </w:p>
    <w:p w14:paraId="082AAEE0">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1）地形数据</w:t>
      </w:r>
    </w:p>
    <w:p w14:paraId="75119C47">
      <w:pPr>
        <w:pageBreakBefore w:val="0"/>
        <w:wordWrap/>
        <w:topLinePunct w:val="0"/>
        <w:bidi w:val="0"/>
        <w:adjustRightInd w:val="0"/>
        <w:snapToGrid w:val="0"/>
        <w:ind w:left="0" w:leftChars="0" w:right="0" w:firstLine="472"/>
        <w:rPr>
          <w:rFonts w:hint="default" w:ascii="Times New Roman" w:hAnsi="Times New Roman" w:cs="Times New Roman"/>
          <w:b/>
          <w:bCs/>
          <w:color w:val="auto"/>
          <w:sz w:val="21"/>
          <w:szCs w:val="21"/>
          <w:highlight w:val="none"/>
        </w:rPr>
      </w:pPr>
      <w:r>
        <w:rPr>
          <w:rFonts w:hint="default" w:ascii="Times New Roman" w:hAnsi="Times New Roman" w:cs="Times New Roman"/>
          <w:color w:val="auto"/>
          <w:spacing w:val="-2"/>
          <w:highlight w:val="none"/>
        </w:rPr>
        <w:t>地形数据范围覆盖评价范围，地形采用航天飞机雷达拓扑测绘SRTM的90m分辨率数据（即东西向网格间距3″、南北向网格间距为3″</w:t>
      </w:r>
      <w:r>
        <w:rPr>
          <w:rFonts w:hint="eastAsia" w:cs="Times New Roman"/>
          <w:color w:val="auto"/>
          <w:spacing w:val="-2"/>
          <w:highlight w:val="none"/>
          <w:lang w:eastAsia="zh-CN"/>
        </w:rPr>
        <w:t>）</w:t>
      </w:r>
      <w:r>
        <w:rPr>
          <w:rFonts w:hint="default" w:ascii="Times New Roman" w:hAnsi="Times New Roman" w:cs="Times New Roman"/>
          <w:color w:val="auto"/>
          <w:spacing w:val="-2"/>
          <w:highlight w:val="none"/>
        </w:rPr>
        <w:t>，格式为DEM。</w:t>
      </w:r>
    </w:p>
    <w:p w14:paraId="24F432CA">
      <w:pPr>
        <w:pageBreakBefore w:val="0"/>
        <w:wordWrap/>
        <w:topLinePunct w:val="0"/>
        <w:bidi w:val="0"/>
        <w:adjustRightInd w:val="0"/>
        <w:snapToGrid w:val="0"/>
        <w:ind w:left="0" w:leftChars="0" w:right="0" w:firstLine="0" w:firstLineChars="0"/>
        <w:jc w:val="center"/>
        <w:rPr>
          <w:rFonts w:hint="default" w:ascii="Times New Roman" w:hAnsi="Times New Roman" w:cs="Times New Roman"/>
          <w:color w:val="auto"/>
          <w:szCs w:val="32"/>
          <w:highlight w:val="none"/>
        </w:rPr>
      </w:pPr>
    </w:p>
    <w:p w14:paraId="4F9E8A3D">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图5.2-7  DEM数据地形高程图</w:t>
      </w:r>
    </w:p>
    <w:p w14:paraId="1F4F01A6">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2）地表参数</w:t>
      </w:r>
    </w:p>
    <w:p w14:paraId="070DAA5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szCs w:val="32"/>
          <w:highlight w:val="none"/>
        </w:rPr>
        <w:t>地表反照率（Albedo</w:t>
      </w:r>
      <w:r>
        <w:rPr>
          <w:rFonts w:hint="eastAsia" w:cs="Times New Roman"/>
          <w:color w:val="auto"/>
          <w:szCs w:val="32"/>
          <w:highlight w:val="none"/>
          <w:lang w:eastAsia="zh-CN"/>
        </w:rPr>
        <w:t>）</w:t>
      </w:r>
      <w:r>
        <w:rPr>
          <w:rFonts w:hint="default" w:ascii="Times New Roman" w:hAnsi="Times New Roman" w:cs="Times New Roman"/>
          <w:color w:val="auto"/>
          <w:szCs w:val="32"/>
          <w:highlight w:val="none"/>
        </w:rPr>
        <w:t>、BOWEN率和地表粗糙度（RoughnessLength</w:t>
      </w:r>
      <w:r>
        <w:rPr>
          <w:rFonts w:hint="eastAsia" w:cs="Times New Roman"/>
          <w:color w:val="auto"/>
          <w:szCs w:val="32"/>
          <w:highlight w:val="none"/>
          <w:lang w:eastAsia="zh-CN"/>
        </w:rPr>
        <w:t>）</w:t>
      </w:r>
      <w:r>
        <w:rPr>
          <w:rFonts w:hint="default" w:ascii="Times New Roman" w:hAnsi="Times New Roman" w:cs="Times New Roman"/>
          <w:color w:val="auto"/>
          <w:szCs w:val="32"/>
          <w:highlight w:val="none"/>
        </w:rPr>
        <w:t>的选择与地表状况有关，本次评价将项目土地利用类型划分为1个扇区，扇区地表类型为沙漠化荒地。</w:t>
      </w:r>
    </w:p>
    <w:p w14:paraId="251242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地表参数取值一览表</w:t>
      </w:r>
    </w:p>
    <w:tbl>
      <w:tblPr>
        <w:tblStyle w:val="121"/>
        <w:tblW w:w="8530" w:type="dxa"/>
        <w:tblInd w:w="15" w:type="dxa"/>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
      <w:tblGrid>
        <w:gridCol w:w="1414"/>
        <w:gridCol w:w="1422"/>
        <w:gridCol w:w="1422"/>
        <w:gridCol w:w="1407"/>
        <w:gridCol w:w="1421"/>
        <w:gridCol w:w="1444"/>
      </w:tblGrid>
      <w:tr w14:paraId="6E33A4BB">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90" w:hRule="atLeast"/>
        </w:trPr>
        <w:tc>
          <w:tcPr>
            <w:tcW w:w="1414" w:type="dxa"/>
            <w:tcBorders>
              <w:tl2br w:val="nil"/>
              <w:tr2bl w:val="nil"/>
            </w:tcBorders>
          </w:tcPr>
          <w:p w14:paraId="4E306C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422" w:type="dxa"/>
            <w:tcBorders>
              <w:tl2br w:val="nil"/>
              <w:tr2bl w:val="nil"/>
            </w:tcBorders>
          </w:tcPr>
          <w:p w14:paraId="4F3563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扇区</w:t>
            </w:r>
          </w:p>
        </w:tc>
        <w:tc>
          <w:tcPr>
            <w:tcW w:w="1422" w:type="dxa"/>
            <w:tcBorders>
              <w:tl2br w:val="nil"/>
              <w:tr2bl w:val="nil"/>
            </w:tcBorders>
          </w:tcPr>
          <w:p w14:paraId="5E4AE7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时段</w:t>
            </w:r>
          </w:p>
        </w:tc>
        <w:tc>
          <w:tcPr>
            <w:tcW w:w="1407" w:type="dxa"/>
            <w:tcBorders>
              <w:tl2br w:val="nil"/>
              <w:tr2bl w:val="nil"/>
            </w:tcBorders>
          </w:tcPr>
          <w:p w14:paraId="43F711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正午反照率</w:t>
            </w:r>
          </w:p>
        </w:tc>
        <w:tc>
          <w:tcPr>
            <w:tcW w:w="1421" w:type="dxa"/>
            <w:tcBorders>
              <w:tl2br w:val="nil"/>
              <w:tr2bl w:val="nil"/>
            </w:tcBorders>
          </w:tcPr>
          <w:p w14:paraId="645561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BOWEN</w:t>
            </w:r>
          </w:p>
        </w:tc>
        <w:tc>
          <w:tcPr>
            <w:tcW w:w="1444" w:type="dxa"/>
            <w:tcBorders>
              <w:tl2br w:val="nil"/>
              <w:tr2bl w:val="nil"/>
            </w:tcBorders>
          </w:tcPr>
          <w:p w14:paraId="5A36EF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粗糙度</w:t>
            </w:r>
          </w:p>
        </w:tc>
      </w:tr>
      <w:tr w14:paraId="6F8BA503">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45" w:hRule="atLeast"/>
        </w:trPr>
        <w:tc>
          <w:tcPr>
            <w:tcW w:w="1414" w:type="dxa"/>
            <w:tcBorders>
              <w:tl2br w:val="nil"/>
              <w:tr2bl w:val="nil"/>
            </w:tcBorders>
          </w:tcPr>
          <w:p w14:paraId="616BBC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22" w:type="dxa"/>
            <w:tcBorders>
              <w:tl2br w:val="nil"/>
              <w:tr2bl w:val="nil"/>
            </w:tcBorders>
          </w:tcPr>
          <w:p w14:paraId="0B8132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0-360</w:t>
            </w:r>
          </w:p>
        </w:tc>
        <w:tc>
          <w:tcPr>
            <w:tcW w:w="1422" w:type="dxa"/>
            <w:tcBorders>
              <w:tl2br w:val="nil"/>
              <w:tr2bl w:val="nil"/>
            </w:tcBorders>
          </w:tcPr>
          <w:p w14:paraId="0380CA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全年</w:t>
            </w:r>
          </w:p>
        </w:tc>
        <w:tc>
          <w:tcPr>
            <w:tcW w:w="1407" w:type="dxa"/>
            <w:tcBorders>
              <w:tl2br w:val="nil"/>
              <w:tr2bl w:val="nil"/>
            </w:tcBorders>
          </w:tcPr>
          <w:p w14:paraId="3C8981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0</w:t>
            </w:r>
            <w:r>
              <w:rPr>
                <w:rFonts w:hint="default" w:ascii="Times New Roman" w:hAnsi="Times New Roman" w:cs="Times New Roman"/>
                <w:color w:val="auto"/>
                <w:sz w:val="21"/>
                <w:szCs w:val="21"/>
                <w:highlight w:val="none"/>
              </w:rPr>
              <w:t>.3275</w:t>
            </w:r>
          </w:p>
        </w:tc>
        <w:tc>
          <w:tcPr>
            <w:tcW w:w="1421" w:type="dxa"/>
            <w:tcBorders>
              <w:tl2br w:val="nil"/>
              <w:tr2bl w:val="nil"/>
            </w:tcBorders>
          </w:tcPr>
          <w:p w14:paraId="72F3B2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7</w:t>
            </w:r>
            <w:r>
              <w:rPr>
                <w:rFonts w:hint="default" w:ascii="Times New Roman" w:hAnsi="Times New Roman" w:cs="Times New Roman"/>
                <w:color w:val="auto"/>
                <w:sz w:val="21"/>
                <w:szCs w:val="21"/>
                <w:highlight w:val="none"/>
              </w:rPr>
              <w:t>.75</w:t>
            </w:r>
          </w:p>
        </w:tc>
        <w:tc>
          <w:tcPr>
            <w:tcW w:w="1444" w:type="dxa"/>
            <w:tcBorders>
              <w:tl2br w:val="nil"/>
              <w:tr2bl w:val="nil"/>
            </w:tcBorders>
          </w:tcPr>
          <w:p w14:paraId="1B2CEC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0</w:t>
            </w:r>
            <w:r>
              <w:rPr>
                <w:rFonts w:hint="default" w:ascii="Times New Roman" w:hAnsi="Times New Roman" w:cs="Times New Roman"/>
                <w:color w:val="auto"/>
                <w:sz w:val="21"/>
                <w:szCs w:val="21"/>
                <w:highlight w:val="none"/>
              </w:rPr>
              <w:t>.2625</w:t>
            </w:r>
          </w:p>
        </w:tc>
      </w:tr>
    </w:tbl>
    <w:p w14:paraId="714D7E3E">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3）干湿沉降</w:t>
      </w:r>
    </w:p>
    <w:p w14:paraId="4DF2B52B">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在计算颗粒物</w:t>
      </w:r>
      <w:r>
        <w:rPr>
          <w:rFonts w:hint="eastAsia" w:cs="Times New Roman"/>
          <w:color w:val="auto"/>
          <w:szCs w:val="32"/>
          <w:highlight w:val="none"/>
          <w:lang w:val="en-US" w:eastAsia="zh-CN"/>
        </w:rPr>
        <w:t>TSP、</w:t>
      </w:r>
      <w:r>
        <w:rPr>
          <w:rFonts w:hint="default" w:ascii="Times New Roman" w:hAnsi="Times New Roman" w:cs="Times New Roman"/>
          <w:color w:val="auto"/>
          <w:szCs w:val="32"/>
          <w:highlight w:val="none"/>
        </w:rPr>
        <w:t>PM</w:t>
      </w:r>
      <w:r>
        <w:rPr>
          <w:rFonts w:hint="default" w:ascii="Times New Roman" w:hAnsi="Times New Roman" w:cs="Times New Roman"/>
          <w:color w:val="auto"/>
          <w:szCs w:val="32"/>
          <w:highlight w:val="none"/>
          <w:vertAlign w:val="subscript"/>
        </w:rPr>
        <w:t>10</w:t>
      </w:r>
      <w:r>
        <w:rPr>
          <w:rFonts w:hint="default" w:ascii="Times New Roman" w:hAnsi="Times New Roman" w:cs="Times New Roman"/>
          <w:color w:val="auto"/>
          <w:szCs w:val="32"/>
          <w:highlight w:val="none"/>
        </w:rPr>
        <w:t>浓度时，不考虑干湿沉降的影响。</w:t>
      </w:r>
    </w:p>
    <w:p w14:paraId="140EC262">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4）城市/农村</w:t>
      </w:r>
    </w:p>
    <w:p w14:paraId="6BCEFBE5">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项目位于</w:t>
      </w:r>
      <w:r>
        <w:rPr>
          <w:rFonts w:hint="eastAsia" w:cs="Times New Roman"/>
          <w:color w:val="auto"/>
          <w:szCs w:val="32"/>
          <w:highlight w:val="none"/>
          <w:lang w:val="en-US" w:eastAsia="zh-CN"/>
        </w:rPr>
        <w:t>矿产业加工区</w:t>
      </w:r>
      <w:r>
        <w:rPr>
          <w:rFonts w:hint="default" w:ascii="Times New Roman" w:hAnsi="Times New Roman" w:cs="Times New Roman"/>
          <w:color w:val="auto"/>
          <w:szCs w:val="32"/>
          <w:highlight w:val="none"/>
        </w:rPr>
        <w:t>，距离规划建成区较远，属于农村地区。</w:t>
      </w:r>
    </w:p>
    <w:p w14:paraId="358A982C">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5）岸边熏烟</w:t>
      </w:r>
    </w:p>
    <w:p w14:paraId="276E6D17">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项目周边无大型水体，不考虑岸边熏烟。</w:t>
      </w:r>
    </w:p>
    <w:p w14:paraId="789AEACC">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6）建筑物下洗</w:t>
      </w:r>
    </w:p>
    <w:p w14:paraId="393AEC1E">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根据项目污染源排放参数及周边主要建筑分布情况，计算的各污染源排放高度均大于GEP烟囱高度，不考虑建筑物下洗。</w:t>
      </w:r>
    </w:p>
    <w:p w14:paraId="163E076A">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7）地面气象数据</w:t>
      </w:r>
    </w:p>
    <w:p w14:paraId="386845B7">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地面气象数据利用</w:t>
      </w:r>
      <w:r>
        <w:rPr>
          <w:rFonts w:hint="default" w:ascii="Times New Roman" w:hAnsi="Times New Roman" w:cs="Times New Roman"/>
          <w:color w:val="auto"/>
          <w:szCs w:val="32"/>
          <w:highlight w:val="none"/>
          <w:lang w:eastAsia="zh-CN"/>
        </w:rPr>
        <w:t>吐鲁番气象站</w:t>
      </w:r>
      <w:r>
        <w:rPr>
          <w:rFonts w:hint="default" w:ascii="Times New Roman" w:hAnsi="Times New Roman" w:cs="Times New Roman"/>
          <w:color w:val="auto"/>
          <w:szCs w:val="32"/>
          <w:highlight w:val="none"/>
          <w:lang w:val="en-US" w:eastAsia="zh-CN"/>
        </w:rPr>
        <w:t>2023</w:t>
      </w:r>
      <w:r>
        <w:rPr>
          <w:rFonts w:hint="default" w:ascii="Times New Roman" w:hAnsi="Times New Roman" w:cs="Times New Roman"/>
          <w:color w:val="auto"/>
          <w:szCs w:val="32"/>
          <w:highlight w:val="none"/>
        </w:rPr>
        <w:t>年逐日、逐时气象观测资料，数据项目包括：时间（年、月、日、时）、风向、风速、干球温度、总云量。</w:t>
      </w:r>
    </w:p>
    <w:p w14:paraId="10221C42">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（3）计算点设置</w:t>
      </w:r>
    </w:p>
    <w:p w14:paraId="01F5CD1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预测以</w:t>
      </w:r>
      <w:r>
        <w:rPr>
          <w:rFonts w:hint="default" w:ascii="Times New Roman" w:hAnsi="Times New Roman" w:cs="Times New Roman"/>
          <w:color w:val="auto"/>
          <w:highlight w:val="none"/>
          <w:lang w:val="en-US" w:eastAsia="zh-CN"/>
        </w:rPr>
        <w:t>厂中心</w:t>
      </w:r>
      <w:r>
        <w:rPr>
          <w:rFonts w:hint="default" w:ascii="Times New Roman" w:hAnsi="Times New Roman" w:cs="Times New Roman"/>
          <w:color w:val="auto"/>
          <w:highlight w:val="none"/>
        </w:rPr>
        <w:t>为原点（</w:t>
      </w:r>
      <w:r>
        <w:rPr>
          <w:rFonts w:hint="default" w:ascii="Times New Roman" w:hAnsi="Times New Roman" w:eastAsia="Times New Roman" w:cs="Times New Roman"/>
          <w:color w:val="auto"/>
          <w:highlight w:val="none"/>
        </w:rPr>
        <w:t>0</w:t>
      </w:r>
      <w:r>
        <w:rPr>
          <w:rFonts w:hint="default" w:ascii="Times New Roman" w:hAnsi="Times New Roman" w:cs="Times New Roman"/>
          <w:color w:val="auto"/>
          <w:highlight w:val="none"/>
        </w:rPr>
        <w:t>，</w:t>
      </w:r>
      <w:r>
        <w:rPr>
          <w:rFonts w:hint="default" w:ascii="Times New Roman" w:hAnsi="Times New Roman" w:eastAsia="Times New Roman" w:cs="Times New Roman"/>
          <w:color w:val="auto"/>
          <w:highlight w:val="none"/>
        </w:rPr>
        <w:t>0</w:t>
      </w:r>
      <w:r>
        <w:rPr>
          <w:rFonts w:hint="eastAsia" w:eastAsia="宋体" w:cs="Times New Roman"/>
          <w:color w:val="auto"/>
          <w:highlight w:val="none"/>
          <w:lang w:eastAsia="zh-CN"/>
        </w:rPr>
        <w:t>）</w:t>
      </w:r>
      <w:r>
        <w:rPr>
          <w:rFonts w:hint="default" w:ascii="Times New Roman" w:hAnsi="Times New Roman" w:cs="Times New Roman"/>
          <w:color w:val="auto"/>
          <w:highlight w:val="none"/>
        </w:rPr>
        <w:t>，计算各网格点的环境空气地面浓度值，并对各关心点（敏感点和监测点）进行特定点的计算。预测网格设置见表5.2</w:t>
      </w:r>
      <w:r>
        <w:rPr>
          <w:rFonts w:hint="default" w:ascii="Times New Roman" w:hAnsi="Times New Roman" w:eastAsia="Times New Roman" w:cs="Times New Roman"/>
          <w:color w:val="auto"/>
          <w:highlight w:val="none"/>
        </w:rPr>
        <w:t>-</w:t>
      </w:r>
      <w:r>
        <w:rPr>
          <w:rFonts w:hint="eastAsia" w:eastAsia="宋体" w:cs="Times New Roman"/>
          <w:color w:val="auto"/>
          <w:highlight w:val="none"/>
          <w:lang w:val="en-US" w:eastAsia="zh-CN"/>
        </w:rPr>
        <w:t>10</w:t>
      </w:r>
      <w:r>
        <w:rPr>
          <w:rFonts w:hint="default" w:ascii="Times New Roman" w:hAnsi="Times New Roman" w:cs="Times New Roman"/>
          <w:color w:val="auto"/>
          <w:highlight w:val="none"/>
        </w:rPr>
        <w:t>、环境保护目标见表5.2-1</w:t>
      </w:r>
      <w:r>
        <w:rPr>
          <w:rFonts w:hint="eastAsia" w:cs="Times New Roman"/>
          <w:color w:val="auto"/>
          <w:highlight w:val="none"/>
          <w:lang w:val="en-US" w:eastAsia="zh-CN"/>
        </w:rPr>
        <w:t>1</w:t>
      </w:r>
      <w:r>
        <w:rPr>
          <w:rFonts w:hint="default" w:ascii="Times New Roman" w:hAnsi="Times New Roman" w:cs="Times New Roman"/>
          <w:color w:val="auto"/>
          <w:highlight w:val="none"/>
        </w:rPr>
        <w:t>。</w:t>
      </w:r>
    </w:p>
    <w:p w14:paraId="7CDA8C5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预测网格设置</w:t>
      </w:r>
    </w:p>
    <w:tbl>
      <w:tblPr>
        <w:tblStyle w:val="1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58"/>
        <w:gridCol w:w="2890"/>
        <w:gridCol w:w="3284"/>
      </w:tblGrid>
      <w:tr w14:paraId="62573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000" w:type="pct"/>
            <w:gridSpan w:val="3"/>
            <w:tcBorders>
              <w:top w:val="single" w:color="000000" w:sz="12" w:space="0"/>
              <w:left w:val="nil"/>
              <w:bottom w:val="single" w:color="000000" w:sz="2" w:space="0"/>
              <w:right w:val="nil"/>
            </w:tcBorders>
            <w:vAlign w:val="center"/>
          </w:tcPr>
          <w:p w14:paraId="258F9F8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sz w:val="21"/>
                <w:szCs w:val="21"/>
                <w:highlight w:val="none"/>
              </w:rPr>
              <w:t>近</w:t>
            </w:r>
            <w:r>
              <w:rPr>
                <w:rFonts w:hint="default" w:ascii="Times New Roman" w:hAnsi="Times New Roman" w:eastAsia="宋体" w:cs="Times New Roman"/>
                <w:color w:val="auto"/>
                <w:spacing w:val="9"/>
                <w:sz w:val="21"/>
                <w:szCs w:val="21"/>
                <w:highlight w:val="none"/>
              </w:rPr>
              <w:t>密远疏的直角坐标网格方法</w:t>
            </w:r>
          </w:p>
        </w:tc>
      </w:tr>
      <w:tr w14:paraId="5C964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465" w:type="pct"/>
            <w:vMerge w:val="restart"/>
            <w:tcBorders>
              <w:top w:val="single" w:color="000000" w:sz="2" w:space="0"/>
              <w:left w:val="nil"/>
              <w:bottom w:val="single" w:color="000000" w:sz="2" w:space="0"/>
            </w:tcBorders>
            <w:vAlign w:val="center"/>
          </w:tcPr>
          <w:p w14:paraId="23A80D8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sz w:val="21"/>
                <w:szCs w:val="21"/>
                <w:highlight w:val="none"/>
              </w:rPr>
              <w:t>预</w:t>
            </w:r>
            <w:r>
              <w:rPr>
                <w:rFonts w:hint="default" w:ascii="Times New Roman" w:hAnsi="Times New Roman" w:eastAsia="宋体" w:cs="Times New Roman"/>
                <w:color w:val="auto"/>
                <w:spacing w:val="8"/>
                <w:sz w:val="21"/>
                <w:szCs w:val="21"/>
                <w:highlight w:val="none"/>
              </w:rPr>
              <w:t>测网格点距离</w:t>
            </w:r>
          </w:p>
        </w:tc>
        <w:tc>
          <w:tcPr>
            <w:tcW w:w="1655" w:type="pct"/>
            <w:tcBorders>
              <w:top w:val="single" w:color="000000" w:sz="2" w:space="0"/>
              <w:bottom w:val="single" w:color="000000" w:sz="2" w:space="0"/>
            </w:tcBorders>
            <w:vAlign w:val="center"/>
          </w:tcPr>
          <w:p w14:paraId="4D42B9C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距</w:t>
            </w:r>
            <w:r>
              <w:rPr>
                <w:rFonts w:hint="default" w:ascii="Times New Roman" w:hAnsi="Times New Roman" w:eastAsia="宋体" w:cs="Times New Roman"/>
                <w:color w:val="auto"/>
                <w:spacing w:val="6"/>
                <w:sz w:val="21"/>
                <w:szCs w:val="21"/>
                <w:highlight w:val="none"/>
              </w:rPr>
              <w:t>离</w:t>
            </w:r>
            <w:r>
              <w:rPr>
                <w:rFonts w:hint="default" w:ascii="Times New Roman" w:hAnsi="Times New Roman" w:eastAsia="宋体" w:cs="Times New Roman"/>
                <w:color w:val="auto"/>
                <w:spacing w:val="4"/>
                <w:sz w:val="21"/>
                <w:szCs w:val="21"/>
                <w:highlight w:val="none"/>
              </w:rPr>
              <w:t>中心位置（</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p>
        </w:tc>
        <w:tc>
          <w:tcPr>
            <w:tcW w:w="1880" w:type="pct"/>
            <w:tcBorders>
              <w:top w:val="single" w:color="000000" w:sz="2" w:space="0"/>
              <w:bottom w:val="single" w:color="000000" w:sz="2" w:space="0"/>
              <w:right w:val="nil"/>
            </w:tcBorders>
            <w:vAlign w:val="center"/>
          </w:tcPr>
          <w:p w14:paraId="66CE701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网</w:t>
            </w:r>
            <w:r>
              <w:rPr>
                <w:rFonts w:hint="default" w:ascii="Times New Roman" w:hAnsi="Times New Roman" w:eastAsia="宋体" w:cs="Times New Roman"/>
                <w:color w:val="auto"/>
                <w:spacing w:val="3"/>
                <w:sz w:val="21"/>
                <w:szCs w:val="21"/>
                <w:highlight w:val="none"/>
              </w:rPr>
              <w:t>格距离</w:t>
            </w:r>
          </w:p>
        </w:tc>
      </w:tr>
      <w:tr w14:paraId="021C9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465" w:type="pct"/>
            <w:vMerge w:val="continue"/>
            <w:tcBorders>
              <w:top w:val="single" w:color="000000" w:sz="2" w:space="0"/>
              <w:left w:val="nil"/>
              <w:bottom w:val="single" w:color="000000" w:sz="12" w:space="0"/>
            </w:tcBorders>
            <w:vAlign w:val="center"/>
          </w:tcPr>
          <w:p w14:paraId="10AD68F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655" w:type="pct"/>
            <w:tcBorders>
              <w:top w:val="single" w:color="000000" w:sz="2" w:space="0"/>
              <w:bottom w:val="single" w:color="000000" w:sz="12" w:space="0"/>
            </w:tcBorders>
            <w:vAlign w:val="center"/>
          </w:tcPr>
          <w:p w14:paraId="6CA1725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3"/>
                <w:sz w:val="21"/>
                <w:szCs w:val="21"/>
                <w:highlight w:val="none"/>
              </w:rPr>
              <w:t>a</w:t>
            </w:r>
            <w:r>
              <w:rPr>
                <w:rFonts w:hint="default" w:ascii="Times New Roman" w:hAnsi="Times New Roman" w:eastAsia="宋体" w:cs="Times New Roman"/>
                <w:color w:val="auto"/>
                <w:spacing w:val="5"/>
                <w:position w:val="3"/>
                <w:sz w:val="21"/>
                <w:szCs w:val="21"/>
                <w:highlight w:val="none"/>
              </w:rPr>
              <w:t>≤</w:t>
            </w:r>
            <w:r>
              <w:rPr>
                <w:rFonts w:hint="default" w:ascii="Times New Roman" w:hAnsi="Times New Roman" w:eastAsia="宋体" w:cs="Times New Roman"/>
                <w:color w:val="auto"/>
                <w:spacing w:val="4"/>
                <w:position w:val="3"/>
                <w:sz w:val="21"/>
                <w:szCs w:val="21"/>
                <w:highlight w:val="none"/>
              </w:rPr>
              <w:t>5000</w:t>
            </w:r>
          </w:p>
        </w:tc>
        <w:tc>
          <w:tcPr>
            <w:tcW w:w="1880" w:type="pct"/>
            <w:tcBorders>
              <w:top w:val="single" w:color="000000" w:sz="2" w:space="0"/>
              <w:bottom w:val="single" w:color="000000" w:sz="12" w:space="0"/>
              <w:right w:val="nil"/>
            </w:tcBorders>
            <w:vAlign w:val="center"/>
          </w:tcPr>
          <w:p w14:paraId="6BD28DB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10</w:t>
            </w:r>
          </w:p>
        </w:tc>
      </w:tr>
    </w:tbl>
    <w:p w14:paraId="3EFF85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表5.2-1</w:t>
      </w:r>
      <w:r>
        <w:rPr>
          <w:rFonts w:hint="eastAsia"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环境保护目标分布位置一览表</w:t>
      </w:r>
    </w:p>
    <w:tbl>
      <w:tblPr>
        <w:tblStyle w:val="78"/>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56" w:type="dxa"/>
          <w:left w:w="77" w:type="dxa"/>
          <w:bottom w:w="56" w:type="dxa"/>
          <w:right w:w="77" w:type="dxa"/>
        </w:tblCellMar>
      </w:tblPr>
      <w:tblGrid>
        <w:gridCol w:w="1004"/>
        <w:gridCol w:w="1000"/>
        <w:gridCol w:w="1369"/>
        <w:gridCol w:w="1369"/>
        <w:gridCol w:w="794"/>
        <w:gridCol w:w="673"/>
        <w:gridCol w:w="709"/>
        <w:gridCol w:w="915"/>
        <w:gridCol w:w="1048"/>
      </w:tblGrid>
      <w:tr w14:paraId="374C59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vMerge w:val="restart"/>
            <w:tcBorders>
              <w:tl2br w:val="nil"/>
              <w:tr2bl w:val="nil"/>
            </w:tcBorders>
            <w:shd w:val="clear" w:color="auto" w:fill="auto"/>
            <w:vAlign w:val="center"/>
          </w:tcPr>
          <w:p w14:paraId="1FCD025E">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环境要素</w:t>
            </w:r>
          </w:p>
        </w:tc>
        <w:tc>
          <w:tcPr>
            <w:tcW w:w="579" w:type="pct"/>
            <w:vMerge w:val="restart"/>
            <w:tcBorders>
              <w:tl2br w:val="nil"/>
              <w:tr2bl w:val="nil"/>
            </w:tcBorders>
            <w:shd w:val="clear" w:color="auto" w:fill="auto"/>
            <w:vAlign w:val="center"/>
          </w:tcPr>
          <w:p w14:paraId="50F76726">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名称</w:t>
            </w:r>
          </w:p>
        </w:tc>
        <w:tc>
          <w:tcPr>
            <w:tcW w:w="1426" w:type="pct"/>
            <w:gridSpan w:val="2"/>
            <w:tcBorders>
              <w:tl2br w:val="nil"/>
              <w:tr2bl w:val="nil"/>
            </w:tcBorders>
            <w:shd w:val="clear" w:color="auto" w:fill="auto"/>
            <w:vAlign w:val="center"/>
          </w:tcPr>
          <w:p w14:paraId="7C3F2382">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坐标/m</w:t>
            </w:r>
          </w:p>
        </w:tc>
        <w:tc>
          <w:tcPr>
            <w:tcW w:w="463" w:type="pct"/>
            <w:vMerge w:val="restart"/>
            <w:tcBorders>
              <w:tl2br w:val="nil"/>
              <w:tr2bl w:val="nil"/>
            </w:tcBorders>
            <w:shd w:val="clear" w:color="auto" w:fill="auto"/>
            <w:vAlign w:val="center"/>
          </w:tcPr>
          <w:p w14:paraId="0C99C212">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环境功能区</w:t>
            </w:r>
          </w:p>
        </w:tc>
        <w:tc>
          <w:tcPr>
            <w:tcW w:w="395" w:type="pct"/>
            <w:vMerge w:val="restart"/>
            <w:tcBorders>
              <w:tl2br w:val="nil"/>
              <w:tr2bl w:val="nil"/>
            </w:tcBorders>
            <w:shd w:val="clear" w:color="auto" w:fill="auto"/>
            <w:vAlign w:val="center"/>
          </w:tcPr>
          <w:p w14:paraId="69B6FF26">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保护对象</w:t>
            </w:r>
          </w:p>
        </w:tc>
        <w:tc>
          <w:tcPr>
            <w:tcW w:w="415" w:type="pct"/>
            <w:vMerge w:val="restart"/>
            <w:tcBorders>
              <w:tl2br w:val="nil"/>
              <w:tr2bl w:val="nil"/>
            </w:tcBorders>
            <w:shd w:val="clear" w:color="auto" w:fill="auto"/>
            <w:vAlign w:val="center"/>
          </w:tcPr>
          <w:p w14:paraId="73D1CE7A">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保护内容</w:t>
            </w:r>
          </w:p>
        </w:tc>
        <w:tc>
          <w:tcPr>
            <w:tcW w:w="531" w:type="pct"/>
            <w:vMerge w:val="restart"/>
            <w:tcBorders>
              <w:tl2br w:val="nil"/>
              <w:tr2bl w:val="nil"/>
            </w:tcBorders>
            <w:shd w:val="clear" w:color="auto" w:fill="auto"/>
            <w:vAlign w:val="center"/>
          </w:tcPr>
          <w:p w14:paraId="013A5CE8">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相对厂址方位</w:t>
            </w:r>
          </w:p>
        </w:tc>
        <w:tc>
          <w:tcPr>
            <w:tcW w:w="606" w:type="pct"/>
            <w:vMerge w:val="restart"/>
            <w:tcBorders>
              <w:tl2br w:val="nil"/>
              <w:tr2bl w:val="nil"/>
            </w:tcBorders>
            <w:shd w:val="clear" w:color="auto" w:fill="auto"/>
            <w:vAlign w:val="center"/>
          </w:tcPr>
          <w:p w14:paraId="2F993D5E">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相对厂界距离</w:t>
            </w:r>
          </w:p>
        </w:tc>
      </w:tr>
      <w:tr w14:paraId="37C3FE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vMerge w:val="continue"/>
            <w:tcBorders>
              <w:tl2br w:val="nil"/>
              <w:tr2bl w:val="nil"/>
            </w:tcBorders>
            <w:shd w:val="clear" w:color="auto" w:fill="auto"/>
            <w:vAlign w:val="center"/>
          </w:tcPr>
          <w:p w14:paraId="6E51F57C">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579" w:type="pct"/>
            <w:vMerge w:val="continue"/>
            <w:tcBorders>
              <w:tl2br w:val="nil"/>
              <w:tr2bl w:val="nil"/>
            </w:tcBorders>
            <w:shd w:val="clear" w:color="auto" w:fill="auto"/>
            <w:vAlign w:val="center"/>
          </w:tcPr>
          <w:p w14:paraId="4C979970">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712" w:type="pct"/>
            <w:tcBorders>
              <w:tl2br w:val="nil"/>
              <w:tr2bl w:val="nil"/>
            </w:tcBorders>
            <w:shd w:val="clear" w:color="auto" w:fill="auto"/>
            <w:vAlign w:val="center"/>
          </w:tcPr>
          <w:p w14:paraId="090D9AB7">
            <w:pPr>
              <w:keepNext w:val="0"/>
              <w:keepLines w:val="0"/>
              <w:pageBreakBefore w:val="0"/>
              <w:widowControl/>
              <w:kinsoku w:val="0"/>
              <w:wordWrap/>
              <w:overflowPunct/>
              <w:topLinePunct w:val="0"/>
              <w:autoSpaceDE w:val="0"/>
              <w:autoSpaceDN w:val="0"/>
              <w:bidi w:val="0"/>
              <w:adjustRightInd w:val="0"/>
              <w:snapToGrid w:val="0"/>
              <w:spacing w:before="74" w:line="240" w:lineRule="auto"/>
              <w:ind w:left="0" w:leftChars="0" w:right="0"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snapToGrid w:val="0"/>
                <w:color w:val="auto"/>
                <w:spacing w:val="5"/>
                <w:kern w:val="0"/>
                <w:sz w:val="21"/>
                <w:szCs w:val="21"/>
                <w:highlight w:val="none"/>
                <w:lang w:eastAsia="zh-CN"/>
              </w:rPr>
              <w:t>经度</w:t>
            </w:r>
          </w:p>
        </w:tc>
        <w:tc>
          <w:tcPr>
            <w:tcW w:w="713" w:type="pct"/>
            <w:tcBorders>
              <w:tl2br w:val="nil"/>
              <w:tr2bl w:val="nil"/>
            </w:tcBorders>
            <w:shd w:val="clear" w:color="auto" w:fill="auto"/>
            <w:vAlign w:val="center"/>
          </w:tcPr>
          <w:p w14:paraId="10F8BE3C">
            <w:pPr>
              <w:keepNext w:val="0"/>
              <w:keepLines w:val="0"/>
              <w:pageBreakBefore w:val="0"/>
              <w:widowControl/>
              <w:kinsoku w:val="0"/>
              <w:wordWrap/>
              <w:overflowPunct/>
              <w:topLinePunct w:val="0"/>
              <w:autoSpaceDE w:val="0"/>
              <w:autoSpaceDN w:val="0"/>
              <w:bidi w:val="0"/>
              <w:adjustRightInd w:val="0"/>
              <w:snapToGrid w:val="0"/>
              <w:spacing w:before="74" w:line="240" w:lineRule="auto"/>
              <w:ind w:left="0" w:leftChars="0" w:right="0"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snapToGrid w:val="0"/>
                <w:color w:val="auto"/>
                <w:spacing w:val="4"/>
                <w:kern w:val="0"/>
                <w:sz w:val="21"/>
                <w:szCs w:val="21"/>
                <w:highlight w:val="none"/>
                <w:lang w:eastAsia="zh-CN"/>
              </w:rPr>
              <w:t>纬度</w:t>
            </w:r>
          </w:p>
        </w:tc>
        <w:tc>
          <w:tcPr>
            <w:tcW w:w="463" w:type="pct"/>
            <w:vMerge w:val="continue"/>
            <w:tcBorders>
              <w:tl2br w:val="nil"/>
              <w:tr2bl w:val="nil"/>
            </w:tcBorders>
            <w:shd w:val="clear" w:color="auto" w:fill="auto"/>
            <w:vAlign w:val="center"/>
          </w:tcPr>
          <w:p w14:paraId="028EBB51">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395" w:type="pct"/>
            <w:vMerge w:val="continue"/>
            <w:tcBorders>
              <w:tl2br w:val="nil"/>
              <w:tr2bl w:val="nil"/>
            </w:tcBorders>
            <w:shd w:val="clear" w:color="auto" w:fill="auto"/>
            <w:vAlign w:val="center"/>
          </w:tcPr>
          <w:p w14:paraId="6A8EB585">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415" w:type="pct"/>
            <w:vMerge w:val="continue"/>
            <w:tcBorders>
              <w:tl2br w:val="nil"/>
              <w:tr2bl w:val="nil"/>
            </w:tcBorders>
            <w:shd w:val="clear" w:color="auto" w:fill="auto"/>
            <w:vAlign w:val="center"/>
          </w:tcPr>
          <w:p w14:paraId="42EEFAC1">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531" w:type="pct"/>
            <w:vMerge w:val="continue"/>
            <w:tcBorders>
              <w:tl2br w:val="nil"/>
              <w:tr2bl w:val="nil"/>
            </w:tcBorders>
            <w:shd w:val="clear" w:color="auto" w:fill="auto"/>
            <w:vAlign w:val="center"/>
          </w:tcPr>
          <w:p w14:paraId="1D857C40">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606" w:type="pct"/>
            <w:vMerge w:val="continue"/>
            <w:tcBorders>
              <w:tl2br w:val="nil"/>
              <w:tr2bl w:val="nil"/>
            </w:tcBorders>
            <w:shd w:val="clear" w:color="auto" w:fill="auto"/>
            <w:vAlign w:val="center"/>
          </w:tcPr>
          <w:p w14:paraId="5CDB47E1">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r>
      <w:tr w14:paraId="1B7AB2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tcBorders>
              <w:tl2br w:val="nil"/>
              <w:tr2bl w:val="nil"/>
            </w:tcBorders>
            <w:shd w:val="clear" w:color="auto" w:fill="auto"/>
            <w:vAlign w:val="center"/>
          </w:tcPr>
          <w:p w14:paraId="6A6EB757">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579" w:type="pct"/>
            <w:tcBorders>
              <w:tl2br w:val="nil"/>
              <w:tr2bl w:val="nil"/>
            </w:tcBorders>
            <w:shd w:val="clear" w:color="auto" w:fill="auto"/>
            <w:vAlign w:val="center"/>
          </w:tcPr>
          <w:p w14:paraId="209D41CD">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玉尔门村</w:t>
            </w:r>
          </w:p>
        </w:tc>
        <w:tc>
          <w:tcPr>
            <w:tcW w:w="712" w:type="pct"/>
            <w:tcBorders>
              <w:tl2br w:val="nil"/>
              <w:tr2bl w:val="nil"/>
            </w:tcBorders>
            <w:shd w:val="clear" w:color="auto" w:fill="auto"/>
            <w:vAlign w:val="center"/>
          </w:tcPr>
          <w:p w14:paraId="54D3B3EC">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89°47′37.295″</w:t>
            </w:r>
          </w:p>
        </w:tc>
        <w:tc>
          <w:tcPr>
            <w:tcW w:w="713" w:type="pct"/>
            <w:tcBorders>
              <w:tl2br w:val="nil"/>
              <w:tr2bl w:val="nil"/>
            </w:tcBorders>
            <w:shd w:val="clear" w:color="auto" w:fill="auto"/>
            <w:vAlign w:val="center"/>
          </w:tcPr>
          <w:p w14:paraId="523C5E0F">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42°37′51.607″</w:t>
            </w:r>
          </w:p>
        </w:tc>
        <w:tc>
          <w:tcPr>
            <w:tcW w:w="463" w:type="pct"/>
            <w:tcBorders>
              <w:tl2br w:val="nil"/>
              <w:tr2bl w:val="nil"/>
            </w:tcBorders>
            <w:shd w:val="clear" w:color="auto" w:fill="auto"/>
            <w:vAlign w:val="center"/>
          </w:tcPr>
          <w:p w14:paraId="541EE107">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2类区</w:t>
            </w:r>
          </w:p>
        </w:tc>
        <w:tc>
          <w:tcPr>
            <w:tcW w:w="395" w:type="pct"/>
            <w:tcBorders>
              <w:tl2br w:val="nil"/>
              <w:tr2bl w:val="nil"/>
            </w:tcBorders>
            <w:shd w:val="clear" w:color="auto" w:fill="auto"/>
            <w:vAlign w:val="center"/>
          </w:tcPr>
          <w:p w14:paraId="5CA11CA4">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415" w:type="pct"/>
            <w:tcBorders>
              <w:tl2br w:val="nil"/>
              <w:tr2bl w:val="nil"/>
            </w:tcBorders>
            <w:shd w:val="clear" w:color="auto" w:fill="auto"/>
            <w:vAlign w:val="center"/>
          </w:tcPr>
          <w:p w14:paraId="11EF1EE3">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rPr>
              <w:t>人</w:t>
            </w:r>
          </w:p>
        </w:tc>
        <w:tc>
          <w:tcPr>
            <w:tcW w:w="531" w:type="pct"/>
            <w:tcBorders>
              <w:tl2br w:val="nil"/>
              <w:tr2bl w:val="nil"/>
            </w:tcBorders>
            <w:shd w:val="clear" w:color="auto" w:fill="auto"/>
            <w:vAlign w:val="center"/>
          </w:tcPr>
          <w:p w14:paraId="6C0B4798">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西北</w:t>
            </w:r>
          </w:p>
        </w:tc>
        <w:tc>
          <w:tcPr>
            <w:tcW w:w="606" w:type="pct"/>
            <w:tcBorders>
              <w:tl2br w:val="nil"/>
              <w:tr2bl w:val="nil"/>
            </w:tcBorders>
            <w:shd w:val="clear" w:color="auto" w:fill="auto"/>
            <w:vAlign w:val="center"/>
          </w:tcPr>
          <w:p w14:paraId="5484C3FB">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rPr>
              <w:t>m</w:t>
            </w:r>
          </w:p>
        </w:tc>
      </w:tr>
    </w:tbl>
    <w:p w14:paraId="0E19115C">
      <w:pPr>
        <w:pStyle w:val="2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）污染源参数</w:t>
      </w:r>
    </w:p>
    <w:p w14:paraId="163071B4">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有组织污染源参数具体见表5.2-11，无组织污染源见表5.2-12，非正常工况下污染源见表5.2-13。根据项目现场踏勘及调查结果可知，大气环境评价范围内无在建、拟建项目，故本次不叠加在建、拟建项目的污染源。</w:t>
      </w:r>
    </w:p>
    <w:p w14:paraId="63FB523D">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）预测周期</w:t>
      </w:r>
    </w:p>
    <w:p w14:paraId="76510E47">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本次评价选取评价基准年202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年作为预测周期，预测时段取连续1年。</w:t>
      </w:r>
    </w:p>
    <w:p w14:paraId="6A5908E5">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）预测因子</w:t>
      </w:r>
    </w:p>
    <w:p w14:paraId="68C8A9E5">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根据项目大气污染物排放特点，选择有质量标准的主要污染物颗粒物（PM</w:t>
      </w:r>
      <w:r>
        <w:rPr>
          <w:rFonts w:hint="default" w:ascii="Times New Roman" w:hAnsi="Times New Roman" w:eastAsia="宋体" w:cs="Times New Roman"/>
          <w:color w:val="auto"/>
          <w:highlight w:val="none"/>
          <w:vertAlign w:val="subscript"/>
        </w:rPr>
        <w:t>10</w:t>
      </w:r>
      <w:r>
        <w:rPr>
          <w:rFonts w:hint="default" w:ascii="Times New Roman" w:hAnsi="Times New Roman" w:eastAsia="宋体" w:cs="Times New Roman"/>
          <w:color w:val="auto"/>
          <w:highlight w:val="none"/>
        </w:rPr>
        <w:t>）、总悬浮颗粒物（TSP）</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硫酸雾</w:t>
      </w:r>
      <w:r>
        <w:rPr>
          <w:rFonts w:hint="default" w:ascii="Times New Roman" w:hAnsi="Times New Roman" w:eastAsia="宋体" w:cs="Times New Roman"/>
          <w:color w:val="auto"/>
          <w:highlight w:val="none"/>
        </w:rPr>
        <w:t>进行预测。</w:t>
      </w:r>
    </w:p>
    <w:p w14:paraId="1583738C">
      <w:pPr>
        <w:pStyle w:val="24"/>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034CE7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bookmarkStart w:id="178" w:name="_Hlk151419166"/>
      <w:bookmarkStart w:id="179" w:name="_Hlk150731582"/>
      <w:r>
        <w:rPr>
          <w:rFonts w:hint="default" w:ascii="Times New Roman" w:hAnsi="Times New Roman" w:cs="Times New Roman"/>
          <w:b/>
          <w:bCs/>
          <w:color w:val="auto"/>
          <w:sz w:val="21"/>
          <w:szCs w:val="21"/>
          <w:highlight w:val="none"/>
        </w:rPr>
        <w:t>表5.2-1</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正常工况下有组织废气排放情况表</w:t>
      </w:r>
    </w:p>
    <w:bookmarkEnd w:id="178"/>
    <w:tbl>
      <w:tblPr>
        <w:tblStyle w:val="3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1044"/>
        <w:gridCol w:w="1277"/>
        <w:gridCol w:w="1310"/>
        <w:gridCol w:w="1216"/>
        <w:gridCol w:w="895"/>
        <w:gridCol w:w="1055"/>
        <w:gridCol w:w="746"/>
        <w:gridCol w:w="826"/>
        <w:gridCol w:w="1553"/>
        <w:gridCol w:w="973"/>
        <w:gridCol w:w="1782"/>
        <w:gridCol w:w="1130"/>
      </w:tblGrid>
      <w:tr w14:paraId="00B7E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vMerge w:val="restart"/>
            <w:tcBorders>
              <w:tl2br w:val="nil"/>
              <w:tr2bl w:val="nil"/>
            </w:tcBorders>
            <w:shd w:val="clear" w:color="auto" w:fill="auto"/>
            <w:vAlign w:val="center"/>
          </w:tcPr>
          <w:p w14:paraId="1C950A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名称</w:t>
            </w:r>
          </w:p>
        </w:tc>
        <w:tc>
          <w:tcPr>
            <w:tcW w:w="936" w:type="pct"/>
            <w:gridSpan w:val="2"/>
            <w:tcBorders>
              <w:tl2br w:val="nil"/>
              <w:tr2bl w:val="nil"/>
            </w:tcBorders>
            <w:shd w:val="clear" w:color="auto" w:fill="auto"/>
            <w:vAlign w:val="center"/>
          </w:tcPr>
          <w:p w14:paraId="6FA18E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排气筒底部中心坐标</w:t>
            </w:r>
            <w:r>
              <w:rPr>
                <w:rFonts w:hint="eastAsia" w:cs="Times New Roman"/>
                <w:b/>
                <w:bCs/>
                <w:color w:val="auto"/>
                <w:spacing w:val="-20"/>
                <w:sz w:val="21"/>
                <w:szCs w:val="21"/>
                <w:highlight w:val="none"/>
                <w:lang w:eastAsia="zh-CN"/>
              </w:rPr>
              <w:t>（</w:t>
            </w:r>
            <w:r>
              <w:rPr>
                <w:rFonts w:hint="default" w:ascii="Times New Roman" w:hAnsi="Times New Roman" w:eastAsia="宋体" w:cs="Times New Roman"/>
                <w:b/>
                <w:bCs/>
                <w:color w:val="auto"/>
                <w:spacing w:val="-20"/>
                <w:sz w:val="21"/>
                <w:szCs w:val="21"/>
                <w:highlight w:val="none"/>
                <w:lang w:eastAsia="zh-CN"/>
              </w:rPr>
              <w:t>o</w:t>
            </w:r>
            <w:r>
              <w:rPr>
                <w:rFonts w:hint="eastAsia" w:cs="Times New Roman"/>
                <w:b/>
                <w:bCs/>
                <w:color w:val="auto"/>
                <w:spacing w:val="-20"/>
                <w:sz w:val="21"/>
                <w:szCs w:val="21"/>
                <w:highlight w:val="none"/>
                <w:lang w:eastAsia="zh-CN"/>
              </w:rPr>
              <w:t>）</w:t>
            </w:r>
          </w:p>
        </w:tc>
        <w:tc>
          <w:tcPr>
            <w:tcW w:w="440" w:type="pct"/>
            <w:vMerge w:val="restart"/>
            <w:tcBorders>
              <w:tl2br w:val="nil"/>
              <w:tr2bl w:val="nil"/>
            </w:tcBorders>
            <w:shd w:val="clear" w:color="auto" w:fill="auto"/>
            <w:vAlign w:val="center"/>
          </w:tcPr>
          <w:p w14:paraId="7F8B6E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底部</w:t>
            </w:r>
            <w:r>
              <w:rPr>
                <w:rFonts w:hint="eastAsia" w:cs="Times New Roman"/>
                <w:b/>
                <w:bCs/>
                <w:color w:val="auto"/>
                <w:spacing w:val="-20"/>
                <w:sz w:val="21"/>
                <w:szCs w:val="21"/>
                <w:highlight w:val="none"/>
                <w:lang w:eastAsia="zh-CN"/>
              </w:rPr>
              <w:t>海拔</w:t>
            </w:r>
            <w:r>
              <w:rPr>
                <w:rFonts w:hint="default" w:ascii="Times New Roman" w:hAnsi="Times New Roman" w:eastAsia="宋体" w:cs="Times New Roman"/>
                <w:b/>
                <w:bCs/>
                <w:color w:val="auto"/>
                <w:spacing w:val="-20"/>
                <w:sz w:val="21"/>
                <w:szCs w:val="21"/>
                <w:highlight w:val="none"/>
                <w:lang w:eastAsia="zh-CN"/>
              </w:rPr>
              <w:t>/m</w:t>
            </w:r>
          </w:p>
        </w:tc>
        <w:tc>
          <w:tcPr>
            <w:tcW w:w="324" w:type="pct"/>
            <w:vMerge w:val="restart"/>
            <w:tcBorders>
              <w:tl2br w:val="nil"/>
              <w:tr2bl w:val="nil"/>
            </w:tcBorders>
            <w:shd w:val="clear" w:color="auto" w:fill="auto"/>
            <w:vAlign w:val="center"/>
          </w:tcPr>
          <w:p w14:paraId="21CA04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排放高度/m</w:t>
            </w:r>
          </w:p>
        </w:tc>
        <w:tc>
          <w:tcPr>
            <w:tcW w:w="382" w:type="pct"/>
            <w:vMerge w:val="restart"/>
            <w:tcBorders>
              <w:tl2br w:val="nil"/>
              <w:tr2bl w:val="nil"/>
            </w:tcBorders>
            <w:shd w:val="clear" w:color="auto" w:fill="auto"/>
            <w:vAlign w:val="center"/>
          </w:tcPr>
          <w:p w14:paraId="45AF55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排气筒内径/m</w:t>
            </w:r>
          </w:p>
        </w:tc>
        <w:tc>
          <w:tcPr>
            <w:tcW w:w="270" w:type="pct"/>
            <w:vMerge w:val="restart"/>
            <w:tcBorders>
              <w:tl2br w:val="nil"/>
              <w:tr2bl w:val="nil"/>
            </w:tcBorders>
            <w:shd w:val="clear" w:color="auto" w:fill="auto"/>
            <w:vAlign w:val="center"/>
          </w:tcPr>
          <w:p w14:paraId="29446C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流速/m/s</w:t>
            </w:r>
          </w:p>
        </w:tc>
        <w:tc>
          <w:tcPr>
            <w:tcW w:w="299" w:type="pct"/>
            <w:vMerge w:val="restart"/>
            <w:tcBorders>
              <w:tl2br w:val="nil"/>
              <w:tr2bl w:val="nil"/>
            </w:tcBorders>
            <w:shd w:val="clear" w:color="auto" w:fill="auto"/>
            <w:vAlign w:val="center"/>
          </w:tcPr>
          <w:p w14:paraId="5D0036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温度℃</w:t>
            </w:r>
          </w:p>
        </w:tc>
        <w:tc>
          <w:tcPr>
            <w:tcW w:w="562" w:type="pct"/>
            <w:vMerge w:val="restart"/>
            <w:tcBorders>
              <w:tl2br w:val="nil"/>
              <w:tr2bl w:val="nil"/>
            </w:tcBorders>
            <w:shd w:val="clear" w:color="auto" w:fill="auto"/>
            <w:vAlign w:val="center"/>
          </w:tcPr>
          <w:p w14:paraId="362D8C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排放小时数/h</w:t>
            </w:r>
          </w:p>
        </w:tc>
        <w:tc>
          <w:tcPr>
            <w:tcW w:w="352" w:type="pct"/>
            <w:vMerge w:val="restart"/>
            <w:tcBorders>
              <w:tl2br w:val="nil"/>
              <w:tr2bl w:val="nil"/>
            </w:tcBorders>
            <w:vAlign w:val="center"/>
          </w:tcPr>
          <w:p w14:paraId="6A79B0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排放工况</w:t>
            </w:r>
          </w:p>
        </w:tc>
        <w:tc>
          <w:tcPr>
            <w:tcW w:w="1054" w:type="pct"/>
            <w:gridSpan w:val="2"/>
            <w:tcBorders>
              <w:tl2br w:val="nil"/>
              <w:tr2bl w:val="nil"/>
            </w:tcBorders>
            <w:vAlign w:val="center"/>
          </w:tcPr>
          <w:p w14:paraId="747143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污染物排放速率/（kg/h）</w:t>
            </w:r>
          </w:p>
        </w:tc>
      </w:tr>
      <w:tr w14:paraId="3D79D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90" w:hRule="atLeast"/>
          <w:jc w:val="center"/>
        </w:trPr>
        <w:tc>
          <w:tcPr>
            <w:tcW w:w="378" w:type="pct"/>
            <w:vMerge w:val="continue"/>
            <w:tcBorders>
              <w:tl2br w:val="nil"/>
              <w:tr2bl w:val="nil"/>
            </w:tcBorders>
            <w:shd w:val="clear" w:color="auto" w:fill="auto"/>
            <w:vAlign w:val="center"/>
          </w:tcPr>
          <w:p w14:paraId="411E88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62" w:type="pct"/>
            <w:tcBorders>
              <w:tl2br w:val="nil"/>
              <w:tr2bl w:val="nil"/>
            </w:tcBorders>
            <w:shd w:val="clear" w:color="auto" w:fill="auto"/>
            <w:vAlign w:val="center"/>
          </w:tcPr>
          <w:p w14:paraId="2720EB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E</w:t>
            </w:r>
          </w:p>
        </w:tc>
        <w:tc>
          <w:tcPr>
            <w:tcW w:w="474" w:type="pct"/>
            <w:tcBorders>
              <w:tl2br w:val="nil"/>
              <w:tr2bl w:val="nil"/>
            </w:tcBorders>
            <w:shd w:val="clear" w:color="auto" w:fill="auto"/>
            <w:vAlign w:val="center"/>
          </w:tcPr>
          <w:p w14:paraId="3A0485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N</w:t>
            </w:r>
          </w:p>
        </w:tc>
        <w:tc>
          <w:tcPr>
            <w:tcW w:w="440" w:type="pct"/>
            <w:vMerge w:val="continue"/>
            <w:tcBorders>
              <w:tl2br w:val="nil"/>
              <w:tr2bl w:val="nil"/>
            </w:tcBorders>
            <w:shd w:val="clear" w:color="auto" w:fill="auto"/>
            <w:vAlign w:val="center"/>
          </w:tcPr>
          <w:p w14:paraId="3C483A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24" w:type="pct"/>
            <w:vMerge w:val="continue"/>
            <w:tcBorders>
              <w:tl2br w:val="nil"/>
              <w:tr2bl w:val="nil"/>
            </w:tcBorders>
            <w:shd w:val="clear" w:color="auto" w:fill="auto"/>
            <w:vAlign w:val="center"/>
          </w:tcPr>
          <w:p w14:paraId="7D75A3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82" w:type="pct"/>
            <w:vMerge w:val="continue"/>
            <w:tcBorders>
              <w:tl2br w:val="nil"/>
              <w:tr2bl w:val="nil"/>
            </w:tcBorders>
            <w:shd w:val="clear" w:color="auto" w:fill="auto"/>
            <w:vAlign w:val="center"/>
          </w:tcPr>
          <w:p w14:paraId="02FB98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70" w:type="pct"/>
            <w:vMerge w:val="continue"/>
            <w:tcBorders>
              <w:tl2br w:val="nil"/>
              <w:tr2bl w:val="nil"/>
            </w:tcBorders>
            <w:shd w:val="clear" w:color="auto" w:fill="auto"/>
            <w:vAlign w:val="center"/>
          </w:tcPr>
          <w:p w14:paraId="0C66A4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99" w:type="pct"/>
            <w:vMerge w:val="continue"/>
            <w:tcBorders>
              <w:tl2br w:val="nil"/>
              <w:tr2bl w:val="nil"/>
            </w:tcBorders>
            <w:shd w:val="clear" w:color="auto" w:fill="auto"/>
            <w:vAlign w:val="center"/>
          </w:tcPr>
          <w:p w14:paraId="48C34E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562" w:type="pct"/>
            <w:vMerge w:val="continue"/>
            <w:tcBorders>
              <w:tl2br w:val="nil"/>
              <w:tr2bl w:val="nil"/>
            </w:tcBorders>
            <w:shd w:val="clear" w:color="auto" w:fill="auto"/>
            <w:vAlign w:val="center"/>
          </w:tcPr>
          <w:p w14:paraId="287A65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52" w:type="pct"/>
            <w:vMerge w:val="continue"/>
            <w:tcBorders>
              <w:tl2br w:val="nil"/>
              <w:tr2bl w:val="nil"/>
            </w:tcBorders>
            <w:vAlign w:val="center"/>
          </w:tcPr>
          <w:p w14:paraId="489C06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645" w:type="pct"/>
            <w:tcBorders>
              <w:tl2br w:val="nil"/>
              <w:tr2bl w:val="nil"/>
            </w:tcBorders>
            <w:shd w:val="clear" w:color="auto" w:fill="auto"/>
            <w:vAlign w:val="center"/>
          </w:tcPr>
          <w:p w14:paraId="62218F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颗粒物（PM</w:t>
            </w:r>
            <w:r>
              <w:rPr>
                <w:rFonts w:hint="default" w:ascii="Times New Roman" w:hAnsi="Times New Roman" w:eastAsia="宋体" w:cs="Times New Roman"/>
                <w:b/>
                <w:bCs/>
                <w:color w:val="auto"/>
                <w:spacing w:val="-20"/>
                <w:sz w:val="21"/>
                <w:szCs w:val="21"/>
                <w:highlight w:val="none"/>
                <w:vertAlign w:val="subscript"/>
                <w:lang w:eastAsia="zh-CN"/>
              </w:rPr>
              <w:t>10</w:t>
            </w:r>
            <w:r>
              <w:rPr>
                <w:rFonts w:hint="default" w:ascii="Times New Roman" w:hAnsi="Times New Roman" w:eastAsia="宋体" w:cs="Times New Roman"/>
                <w:b/>
                <w:bCs/>
                <w:color w:val="auto"/>
                <w:spacing w:val="-20"/>
                <w:sz w:val="21"/>
                <w:szCs w:val="21"/>
                <w:highlight w:val="none"/>
                <w:lang w:eastAsia="zh-CN"/>
              </w:rPr>
              <w:t>）</w:t>
            </w:r>
          </w:p>
        </w:tc>
        <w:tc>
          <w:tcPr>
            <w:tcW w:w="408" w:type="pct"/>
            <w:tcBorders>
              <w:tl2br w:val="nil"/>
              <w:tr2bl w:val="nil"/>
            </w:tcBorders>
            <w:shd w:val="clear" w:color="auto" w:fill="auto"/>
            <w:vAlign w:val="center"/>
          </w:tcPr>
          <w:p w14:paraId="555882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val="en-US" w:eastAsia="zh-CN"/>
              </w:rPr>
            </w:pPr>
            <w:r>
              <w:rPr>
                <w:rFonts w:hint="eastAsia" w:cs="Times New Roman"/>
                <w:b/>
                <w:bCs/>
                <w:color w:val="auto"/>
                <w:spacing w:val="-20"/>
                <w:sz w:val="21"/>
                <w:szCs w:val="21"/>
                <w:highlight w:val="none"/>
                <w:lang w:val="en-US" w:eastAsia="zh-CN"/>
              </w:rPr>
              <w:t>硫酸雾</w:t>
            </w:r>
          </w:p>
        </w:tc>
      </w:tr>
      <w:tr w14:paraId="01D09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0C4AB7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DA001</w:t>
            </w:r>
          </w:p>
        </w:tc>
        <w:tc>
          <w:tcPr>
            <w:tcW w:w="462" w:type="pct"/>
            <w:tcBorders>
              <w:tl2br w:val="nil"/>
              <w:tr2bl w:val="nil"/>
            </w:tcBorders>
            <w:shd w:val="clear" w:color="auto" w:fill="auto"/>
            <w:vAlign w:val="center"/>
          </w:tcPr>
          <w:p w14:paraId="016F87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474" w:type="pct"/>
            <w:tcBorders>
              <w:tl2br w:val="nil"/>
              <w:tr2bl w:val="nil"/>
            </w:tcBorders>
            <w:shd w:val="clear" w:color="auto" w:fill="auto"/>
            <w:vAlign w:val="center"/>
          </w:tcPr>
          <w:p w14:paraId="3AF8A7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42°37′10″</w:t>
            </w:r>
          </w:p>
        </w:tc>
        <w:tc>
          <w:tcPr>
            <w:tcW w:w="440" w:type="pct"/>
            <w:tcBorders>
              <w:tl2br w:val="nil"/>
              <w:tr2bl w:val="nil"/>
            </w:tcBorders>
            <w:shd w:val="clear" w:color="auto" w:fill="auto"/>
            <w:vAlign w:val="center"/>
          </w:tcPr>
          <w:p w14:paraId="47FE6C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71414E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719347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0.2</w:t>
            </w:r>
          </w:p>
        </w:tc>
        <w:tc>
          <w:tcPr>
            <w:tcW w:w="270" w:type="pct"/>
            <w:tcBorders>
              <w:tl2br w:val="nil"/>
              <w:tr2bl w:val="nil"/>
            </w:tcBorders>
            <w:shd w:val="clear" w:color="auto" w:fill="auto"/>
            <w:vAlign w:val="center"/>
          </w:tcPr>
          <w:p w14:paraId="6B2A00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5.7</w:t>
            </w:r>
          </w:p>
        </w:tc>
        <w:tc>
          <w:tcPr>
            <w:tcW w:w="299" w:type="pct"/>
            <w:tcBorders>
              <w:tl2br w:val="nil"/>
              <w:tr2bl w:val="nil"/>
            </w:tcBorders>
            <w:shd w:val="clear" w:color="auto" w:fill="auto"/>
            <w:vAlign w:val="center"/>
          </w:tcPr>
          <w:p w14:paraId="7C0323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562" w:type="pct"/>
            <w:tcBorders>
              <w:tl2br w:val="nil"/>
              <w:tr2bl w:val="nil"/>
            </w:tcBorders>
            <w:shd w:val="clear" w:color="auto" w:fill="auto"/>
            <w:vAlign w:val="center"/>
          </w:tcPr>
          <w:p w14:paraId="6D13B8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6000</w:t>
            </w:r>
          </w:p>
        </w:tc>
        <w:tc>
          <w:tcPr>
            <w:tcW w:w="352" w:type="pct"/>
            <w:vMerge w:val="restart"/>
            <w:tcBorders>
              <w:tl2br w:val="nil"/>
              <w:tr2bl w:val="nil"/>
            </w:tcBorders>
            <w:vAlign w:val="center"/>
          </w:tcPr>
          <w:p w14:paraId="018AAC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正常工况</w:t>
            </w:r>
          </w:p>
        </w:tc>
        <w:tc>
          <w:tcPr>
            <w:tcW w:w="645" w:type="pct"/>
            <w:tcBorders>
              <w:tl2br w:val="nil"/>
              <w:tr2bl w:val="nil"/>
            </w:tcBorders>
            <w:shd w:val="clear" w:color="auto" w:fill="auto"/>
            <w:vAlign w:val="center"/>
          </w:tcPr>
          <w:p w14:paraId="249194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p>
        </w:tc>
        <w:tc>
          <w:tcPr>
            <w:tcW w:w="408" w:type="pct"/>
            <w:tcBorders>
              <w:tl2br w:val="nil"/>
              <w:tr2bl w:val="nil"/>
            </w:tcBorders>
            <w:shd w:val="clear" w:color="auto" w:fill="auto"/>
            <w:vAlign w:val="center"/>
          </w:tcPr>
          <w:p w14:paraId="3661D0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p>
        </w:tc>
      </w:tr>
      <w:tr w14:paraId="0AC95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15CA77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DA002</w:t>
            </w:r>
          </w:p>
        </w:tc>
        <w:tc>
          <w:tcPr>
            <w:tcW w:w="462" w:type="pct"/>
            <w:tcBorders>
              <w:tl2br w:val="nil"/>
              <w:tr2bl w:val="nil"/>
            </w:tcBorders>
            <w:shd w:val="clear" w:color="auto" w:fill="auto"/>
            <w:vAlign w:val="center"/>
          </w:tcPr>
          <w:p w14:paraId="2C7F96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89°49′39″</w:t>
            </w:r>
          </w:p>
        </w:tc>
        <w:tc>
          <w:tcPr>
            <w:tcW w:w="474" w:type="pct"/>
            <w:tcBorders>
              <w:tl2br w:val="nil"/>
              <w:tr2bl w:val="nil"/>
            </w:tcBorders>
            <w:shd w:val="clear" w:color="auto" w:fill="auto"/>
            <w:vAlign w:val="center"/>
          </w:tcPr>
          <w:p w14:paraId="575801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42°37′11″</w:t>
            </w:r>
          </w:p>
        </w:tc>
        <w:tc>
          <w:tcPr>
            <w:tcW w:w="440" w:type="pct"/>
            <w:tcBorders>
              <w:tl2br w:val="nil"/>
              <w:tr2bl w:val="nil"/>
            </w:tcBorders>
            <w:shd w:val="clear" w:color="auto" w:fill="auto"/>
            <w:vAlign w:val="center"/>
          </w:tcPr>
          <w:p w14:paraId="602824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4540E8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1E4FD5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0.2</w:t>
            </w:r>
          </w:p>
        </w:tc>
        <w:tc>
          <w:tcPr>
            <w:tcW w:w="270" w:type="pct"/>
            <w:tcBorders>
              <w:tl2br w:val="nil"/>
              <w:tr2bl w:val="nil"/>
            </w:tcBorders>
            <w:shd w:val="clear" w:color="auto" w:fill="auto"/>
            <w:vAlign w:val="center"/>
          </w:tcPr>
          <w:p w14:paraId="75A194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5.7</w:t>
            </w:r>
          </w:p>
        </w:tc>
        <w:tc>
          <w:tcPr>
            <w:tcW w:w="299" w:type="pct"/>
            <w:tcBorders>
              <w:tl2br w:val="nil"/>
              <w:tr2bl w:val="nil"/>
            </w:tcBorders>
            <w:shd w:val="clear" w:color="auto" w:fill="auto"/>
            <w:vAlign w:val="center"/>
          </w:tcPr>
          <w:p w14:paraId="05FD31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562" w:type="pct"/>
            <w:tcBorders>
              <w:tl2br w:val="nil"/>
              <w:tr2bl w:val="nil"/>
            </w:tcBorders>
            <w:shd w:val="clear" w:color="auto" w:fill="auto"/>
            <w:vAlign w:val="center"/>
          </w:tcPr>
          <w:p w14:paraId="504CD4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6000</w:t>
            </w:r>
          </w:p>
        </w:tc>
        <w:tc>
          <w:tcPr>
            <w:tcW w:w="352" w:type="pct"/>
            <w:vMerge w:val="continue"/>
            <w:tcBorders>
              <w:tl2br w:val="nil"/>
              <w:tr2bl w:val="nil"/>
            </w:tcBorders>
            <w:vAlign w:val="center"/>
          </w:tcPr>
          <w:p w14:paraId="40B785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645" w:type="pct"/>
            <w:tcBorders>
              <w:tl2br w:val="nil"/>
              <w:tr2bl w:val="nil"/>
            </w:tcBorders>
            <w:shd w:val="clear" w:color="auto" w:fill="auto"/>
            <w:vAlign w:val="center"/>
          </w:tcPr>
          <w:p w14:paraId="01513A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val="en-US" w:eastAsia="zh-CN"/>
              </w:rPr>
            </w:pPr>
          </w:p>
        </w:tc>
        <w:tc>
          <w:tcPr>
            <w:tcW w:w="408" w:type="pct"/>
            <w:tcBorders>
              <w:tl2br w:val="nil"/>
              <w:tr2bl w:val="nil"/>
            </w:tcBorders>
            <w:shd w:val="clear" w:color="auto" w:fill="auto"/>
            <w:vAlign w:val="center"/>
          </w:tcPr>
          <w:p w14:paraId="0AF0EF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p>
        </w:tc>
      </w:tr>
      <w:tr w14:paraId="11058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4521D5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DA003</w:t>
            </w:r>
          </w:p>
        </w:tc>
        <w:tc>
          <w:tcPr>
            <w:tcW w:w="462" w:type="pct"/>
            <w:tcBorders>
              <w:tl2br w:val="nil"/>
              <w:tr2bl w:val="nil"/>
            </w:tcBorders>
            <w:shd w:val="clear" w:color="auto" w:fill="auto"/>
            <w:vAlign w:val="center"/>
          </w:tcPr>
          <w:p w14:paraId="12BEB6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474" w:type="pct"/>
            <w:tcBorders>
              <w:tl2br w:val="nil"/>
              <w:tr2bl w:val="nil"/>
            </w:tcBorders>
            <w:shd w:val="clear" w:color="auto" w:fill="auto"/>
            <w:vAlign w:val="center"/>
          </w:tcPr>
          <w:p w14:paraId="6459C7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42°37′9″</w:t>
            </w:r>
          </w:p>
        </w:tc>
        <w:tc>
          <w:tcPr>
            <w:tcW w:w="440" w:type="pct"/>
            <w:tcBorders>
              <w:tl2br w:val="nil"/>
              <w:tr2bl w:val="nil"/>
            </w:tcBorders>
            <w:shd w:val="clear" w:color="auto" w:fill="auto"/>
            <w:vAlign w:val="center"/>
          </w:tcPr>
          <w:p w14:paraId="5A9243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7360BC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47498F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0.1</w:t>
            </w:r>
          </w:p>
        </w:tc>
        <w:tc>
          <w:tcPr>
            <w:tcW w:w="270" w:type="pct"/>
            <w:tcBorders>
              <w:tl2br w:val="nil"/>
              <w:tr2bl w:val="nil"/>
            </w:tcBorders>
            <w:shd w:val="clear" w:color="auto" w:fill="auto"/>
            <w:vAlign w:val="center"/>
          </w:tcPr>
          <w:p w14:paraId="012CA3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1.8</w:t>
            </w:r>
          </w:p>
        </w:tc>
        <w:tc>
          <w:tcPr>
            <w:tcW w:w="299" w:type="pct"/>
            <w:tcBorders>
              <w:tl2br w:val="nil"/>
              <w:tr2bl w:val="nil"/>
            </w:tcBorders>
            <w:shd w:val="clear" w:color="auto" w:fill="auto"/>
            <w:vAlign w:val="center"/>
          </w:tcPr>
          <w:p w14:paraId="0C5A42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562" w:type="pct"/>
            <w:tcBorders>
              <w:tl2br w:val="nil"/>
              <w:tr2bl w:val="nil"/>
            </w:tcBorders>
            <w:shd w:val="clear" w:color="auto" w:fill="auto"/>
            <w:vAlign w:val="center"/>
          </w:tcPr>
          <w:p w14:paraId="59937D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6000</w:t>
            </w:r>
          </w:p>
        </w:tc>
        <w:tc>
          <w:tcPr>
            <w:tcW w:w="352" w:type="pct"/>
            <w:vMerge w:val="continue"/>
            <w:tcBorders>
              <w:tl2br w:val="nil"/>
              <w:tr2bl w:val="nil"/>
            </w:tcBorders>
            <w:vAlign w:val="center"/>
          </w:tcPr>
          <w:p w14:paraId="0CB24D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645" w:type="pct"/>
            <w:tcBorders>
              <w:tl2br w:val="nil"/>
              <w:tr2bl w:val="nil"/>
            </w:tcBorders>
            <w:shd w:val="clear" w:color="auto" w:fill="auto"/>
            <w:vAlign w:val="center"/>
          </w:tcPr>
          <w:p w14:paraId="169026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p>
        </w:tc>
        <w:tc>
          <w:tcPr>
            <w:tcW w:w="408" w:type="pct"/>
            <w:tcBorders>
              <w:tl2br w:val="nil"/>
              <w:tr2bl w:val="nil"/>
            </w:tcBorders>
            <w:shd w:val="clear" w:color="auto" w:fill="auto"/>
            <w:vAlign w:val="center"/>
          </w:tcPr>
          <w:p w14:paraId="7D8254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p>
        </w:tc>
      </w:tr>
    </w:tbl>
    <w:p w14:paraId="1DEF94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表5.2-1</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正常工况下无组织废气排放情况表</w:t>
      </w:r>
    </w:p>
    <w:bookmarkEnd w:id="179"/>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647"/>
        <w:gridCol w:w="1131"/>
        <w:gridCol w:w="1855"/>
        <w:gridCol w:w="1404"/>
        <w:gridCol w:w="1404"/>
        <w:gridCol w:w="1835"/>
        <w:gridCol w:w="1518"/>
        <w:gridCol w:w="1656"/>
        <w:gridCol w:w="1379"/>
        <w:gridCol w:w="981"/>
      </w:tblGrid>
      <w:tr w14:paraId="61823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tblHeader/>
          <w:jc w:val="center"/>
        </w:trPr>
        <w:tc>
          <w:tcPr>
            <w:tcW w:w="234" w:type="pct"/>
            <w:vMerge w:val="restart"/>
            <w:tcBorders>
              <w:tl2br w:val="nil"/>
              <w:tr2bl w:val="nil"/>
            </w:tcBorders>
            <w:shd w:val="clear" w:color="auto" w:fill="auto"/>
            <w:vAlign w:val="center"/>
          </w:tcPr>
          <w:p w14:paraId="1AF0D8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编号</w:t>
            </w:r>
          </w:p>
        </w:tc>
        <w:tc>
          <w:tcPr>
            <w:tcW w:w="409" w:type="pct"/>
            <w:vMerge w:val="restart"/>
            <w:tcBorders>
              <w:tl2br w:val="nil"/>
              <w:tr2bl w:val="nil"/>
            </w:tcBorders>
            <w:vAlign w:val="center"/>
          </w:tcPr>
          <w:p w14:paraId="6227F2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名称</w:t>
            </w:r>
          </w:p>
        </w:tc>
        <w:tc>
          <w:tcPr>
            <w:tcW w:w="671" w:type="pct"/>
            <w:vMerge w:val="restart"/>
            <w:tcBorders>
              <w:tl2br w:val="nil"/>
              <w:tr2bl w:val="nil"/>
            </w:tcBorders>
            <w:shd w:val="clear" w:color="auto" w:fill="auto"/>
            <w:vAlign w:val="center"/>
          </w:tcPr>
          <w:p w14:paraId="7F3220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w:t>
            </w:r>
            <w:r>
              <w:rPr>
                <w:rFonts w:hint="eastAsia" w:cs="Times New Roman"/>
                <w:b/>
                <w:bCs/>
                <w:snapToGrid w:val="0"/>
                <w:color w:val="auto"/>
                <w:kern w:val="0"/>
                <w:sz w:val="21"/>
                <w:szCs w:val="21"/>
                <w:highlight w:val="none"/>
                <w:lang w:eastAsia="zh-CN"/>
              </w:rPr>
              <w:t>海拔</w:t>
            </w:r>
            <w:r>
              <w:rPr>
                <w:rFonts w:hint="default" w:ascii="Times New Roman" w:hAnsi="Times New Roman" w:eastAsia="宋体" w:cs="Times New Roman"/>
                <w:b/>
                <w:bCs/>
                <w:snapToGrid w:val="0"/>
                <w:color w:val="auto"/>
                <w:kern w:val="0"/>
                <w:sz w:val="21"/>
                <w:szCs w:val="21"/>
                <w:highlight w:val="none"/>
                <w:lang w:eastAsia="zh-CN"/>
              </w:rPr>
              <w:t>/m</w:t>
            </w:r>
          </w:p>
        </w:tc>
        <w:tc>
          <w:tcPr>
            <w:tcW w:w="508" w:type="pct"/>
            <w:vMerge w:val="restart"/>
            <w:tcBorders>
              <w:tl2br w:val="nil"/>
              <w:tr2bl w:val="nil"/>
            </w:tcBorders>
            <w:shd w:val="clear" w:color="auto" w:fill="auto"/>
            <w:vAlign w:val="center"/>
          </w:tcPr>
          <w:p w14:paraId="296F28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面源长度/m</w:t>
            </w:r>
          </w:p>
        </w:tc>
        <w:tc>
          <w:tcPr>
            <w:tcW w:w="508" w:type="pct"/>
            <w:vMerge w:val="restart"/>
            <w:tcBorders>
              <w:tl2br w:val="nil"/>
              <w:tr2bl w:val="nil"/>
            </w:tcBorders>
            <w:shd w:val="clear" w:color="auto" w:fill="auto"/>
            <w:vAlign w:val="center"/>
          </w:tcPr>
          <w:p w14:paraId="3107F3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面源宽度/m</w:t>
            </w:r>
          </w:p>
        </w:tc>
        <w:tc>
          <w:tcPr>
            <w:tcW w:w="664" w:type="pct"/>
            <w:vMerge w:val="restart"/>
            <w:tcBorders>
              <w:tl2br w:val="nil"/>
              <w:tr2bl w:val="nil"/>
            </w:tcBorders>
            <w:shd w:val="clear" w:color="auto" w:fill="auto"/>
            <w:vAlign w:val="center"/>
          </w:tcPr>
          <w:p w14:paraId="501CE2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面源有效排放高度/m</w:t>
            </w:r>
          </w:p>
        </w:tc>
        <w:tc>
          <w:tcPr>
            <w:tcW w:w="549" w:type="pct"/>
            <w:vMerge w:val="restart"/>
            <w:tcBorders>
              <w:tl2br w:val="nil"/>
              <w:tr2bl w:val="nil"/>
            </w:tcBorders>
            <w:shd w:val="clear" w:color="auto" w:fill="auto"/>
            <w:vAlign w:val="center"/>
          </w:tcPr>
          <w:p w14:paraId="6B7DD9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排放小时数/h</w:t>
            </w:r>
          </w:p>
        </w:tc>
        <w:tc>
          <w:tcPr>
            <w:tcW w:w="599" w:type="pct"/>
            <w:vMerge w:val="restart"/>
            <w:tcBorders>
              <w:tl2br w:val="nil"/>
              <w:tr2bl w:val="nil"/>
            </w:tcBorders>
            <w:vAlign w:val="center"/>
          </w:tcPr>
          <w:p w14:paraId="108215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排放工况</w:t>
            </w:r>
          </w:p>
        </w:tc>
        <w:tc>
          <w:tcPr>
            <w:tcW w:w="854" w:type="pct"/>
            <w:gridSpan w:val="2"/>
            <w:tcBorders>
              <w:tl2br w:val="nil"/>
              <w:tr2bl w:val="nil"/>
            </w:tcBorders>
            <w:vAlign w:val="center"/>
          </w:tcPr>
          <w:p w14:paraId="786617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污染物排放速率/（kg/h）</w:t>
            </w:r>
          </w:p>
        </w:tc>
      </w:tr>
      <w:tr w14:paraId="6E7DB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tblHeader/>
          <w:jc w:val="center"/>
        </w:trPr>
        <w:tc>
          <w:tcPr>
            <w:tcW w:w="234" w:type="pct"/>
            <w:vMerge w:val="continue"/>
            <w:tcBorders>
              <w:tl2br w:val="nil"/>
              <w:tr2bl w:val="nil"/>
            </w:tcBorders>
            <w:shd w:val="clear" w:color="auto" w:fill="auto"/>
            <w:vAlign w:val="center"/>
          </w:tcPr>
          <w:p w14:paraId="4DD82E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409" w:type="pct"/>
            <w:vMerge w:val="continue"/>
            <w:tcBorders>
              <w:tl2br w:val="nil"/>
              <w:tr2bl w:val="nil"/>
            </w:tcBorders>
            <w:vAlign w:val="center"/>
          </w:tcPr>
          <w:p w14:paraId="668614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671" w:type="pct"/>
            <w:vMerge w:val="continue"/>
            <w:tcBorders>
              <w:tl2br w:val="nil"/>
              <w:tr2bl w:val="nil"/>
            </w:tcBorders>
            <w:shd w:val="clear" w:color="auto" w:fill="auto"/>
            <w:vAlign w:val="center"/>
          </w:tcPr>
          <w:p w14:paraId="6ABB31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08" w:type="pct"/>
            <w:vMerge w:val="continue"/>
            <w:tcBorders>
              <w:tl2br w:val="nil"/>
              <w:tr2bl w:val="nil"/>
            </w:tcBorders>
            <w:shd w:val="clear" w:color="auto" w:fill="auto"/>
            <w:vAlign w:val="center"/>
          </w:tcPr>
          <w:p w14:paraId="10E6ED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08" w:type="pct"/>
            <w:vMerge w:val="continue"/>
            <w:tcBorders>
              <w:tl2br w:val="nil"/>
              <w:tr2bl w:val="nil"/>
            </w:tcBorders>
            <w:shd w:val="clear" w:color="auto" w:fill="auto"/>
            <w:vAlign w:val="center"/>
          </w:tcPr>
          <w:p w14:paraId="765207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664" w:type="pct"/>
            <w:vMerge w:val="continue"/>
            <w:tcBorders>
              <w:tl2br w:val="nil"/>
              <w:tr2bl w:val="nil"/>
            </w:tcBorders>
            <w:shd w:val="clear" w:color="auto" w:fill="auto"/>
            <w:vAlign w:val="center"/>
          </w:tcPr>
          <w:p w14:paraId="162EA1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49" w:type="pct"/>
            <w:vMerge w:val="continue"/>
            <w:tcBorders>
              <w:tl2br w:val="nil"/>
              <w:tr2bl w:val="nil"/>
            </w:tcBorders>
            <w:shd w:val="clear" w:color="auto" w:fill="auto"/>
            <w:vAlign w:val="center"/>
          </w:tcPr>
          <w:p w14:paraId="0BA807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99" w:type="pct"/>
            <w:vMerge w:val="continue"/>
            <w:tcBorders>
              <w:tl2br w:val="nil"/>
              <w:tr2bl w:val="nil"/>
            </w:tcBorders>
            <w:vAlign w:val="center"/>
          </w:tcPr>
          <w:p w14:paraId="61563E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499" w:type="pct"/>
            <w:tcBorders>
              <w:tl2br w:val="nil"/>
              <w:tr2bl w:val="nil"/>
            </w:tcBorders>
            <w:shd w:val="clear" w:color="auto" w:fill="auto"/>
            <w:vAlign w:val="center"/>
          </w:tcPr>
          <w:p w14:paraId="4E3442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sz w:val="21"/>
                <w:szCs w:val="21"/>
                <w:highlight w:val="none"/>
                <w:lang w:eastAsia="zh-CN"/>
              </w:rPr>
              <w:t>TSP</w:t>
            </w:r>
          </w:p>
        </w:tc>
        <w:tc>
          <w:tcPr>
            <w:tcW w:w="355" w:type="pct"/>
            <w:tcBorders>
              <w:tl2br w:val="nil"/>
              <w:tr2bl w:val="nil"/>
            </w:tcBorders>
            <w:shd w:val="clear" w:color="auto" w:fill="auto"/>
            <w:vAlign w:val="center"/>
          </w:tcPr>
          <w:p w14:paraId="76D14B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val="en-US" w:eastAsia="zh-CN"/>
              </w:rPr>
              <w:t>硫酸雾</w:t>
            </w:r>
          </w:p>
        </w:tc>
      </w:tr>
      <w:tr w14:paraId="68DAF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234" w:type="pct"/>
            <w:tcBorders>
              <w:tl2br w:val="nil"/>
              <w:tr2bl w:val="nil"/>
            </w:tcBorders>
            <w:shd w:val="clear" w:color="auto" w:fill="auto"/>
            <w:vAlign w:val="center"/>
          </w:tcPr>
          <w:p w14:paraId="388A1C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w:t>
            </w:r>
          </w:p>
        </w:tc>
        <w:tc>
          <w:tcPr>
            <w:tcW w:w="409" w:type="pct"/>
            <w:tcBorders>
              <w:tl2br w:val="nil"/>
              <w:tr2bl w:val="nil"/>
            </w:tcBorders>
            <w:vAlign w:val="center"/>
          </w:tcPr>
          <w:p w14:paraId="555BC1E0">
            <w:pPr>
              <w:pStyle w:val="230"/>
              <w:keepNext w:val="0"/>
              <w:keepLines w:val="0"/>
              <w:pageBreakBefore w:val="0"/>
              <w:wordWrap/>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厂界</w:t>
            </w:r>
          </w:p>
        </w:tc>
        <w:tc>
          <w:tcPr>
            <w:tcW w:w="671" w:type="pct"/>
            <w:tcBorders>
              <w:tl2br w:val="nil"/>
              <w:tr2bl w:val="nil"/>
            </w:tcBorders>
            <w:shd w:val="clear" w:color="auto" w:fill="auto"/>
            <w:vAlign w:val="center"/>
          </w:tcPr>
          <w:p w14:paraId="255916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w:t>
            </w:r>
            <w:r>
              <w:rPr>
                <w:rFonts w:hint="default" w:ascii="Times New Roman" w:hAnsi="Times New Roman" w:cs="Times New Roman"/>
                <w:b w:val="0"/>
                <w:bCs w:val="0"/>
                <w:snapToGrid w:val="0"/>
                <w:color w:val="auto"/>
                <w:kern w:val="0"/>
                <w:sz w:val="21"/>
                <w:szCs w:val="21"/>
                <w:highlight w:val="none"/>
                <w:lang w:val="en-US" w:eastAsia="zh-CN"/>
              </w:rPr>
              <w:t>38</w:t>
            </w:r>
          </w:p>
        </w:tc>
        <w:tc>
          <w:tcPr>
            <w:tcW w:w="508" w:type="pct"/>
            <w:tcBorders>
              <w:tl2br w:val="nil"/>
              <w:tr2bl w:val="nil"/>
            </w:tcBorders>
            <w:shd w:val="clear" w:color="auto" w:fill="auto"/>
            <w:vAlign w:val="center"/>
          </w:tcPr>
          <w:p w14:paraId="42A0E8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lang w:val="en-US" w:eastAsia="zh-CN"/>
              </w:rPr>
              <w:t>250</w:t>
            </w:r>
          </w:p>
        </w:tc>
        <w:tc>
          <w:tcPr>
            <w:tcW w:w="508" w:type="pct"/>
            <w:tcBorders>
              <w:tl2br w:val="nil"/>
              <w:tr2bl w:val="nil"/>
            </w:tcBorders>
            <w:shd w:val="clear" w:color="auto" w:fill="auto"/>
            <w:vAlign w:val="center"/>
          </w:tcPr>
          <w:p w14:paraId="326FB6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240</w:t>
            </w:r>
          </w:p>
        </w:tc>
        <w:tc>
          <w:tcPr>
            <w:tcW w:w="664" w:type="pct"/>
            <w:tcBorders>
              <w:tl2br w:val="nil"/>
              <w:tr2bl w:val="nil"/>
            </w:tcBorders>
            <w:shd w:val="clear" w:color="auto" w:fill="auto"/>
            <w:vAlign w:val="center"/>
          </w:tcPr>
          <w:p w14:paraId="28187B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10</w:t>
            </w:r>
          </w:p>
        </w:tc>
        <w:tc>
          <w:tcPr>
            <w:tcW w:w="549" w:type="pct"/>
            <w:tcBorders>
              <w:tl2br w:val="nil"/>
              <w:tr2bl w:val="nil"/>
            </w:tcBorders>
            <w:shd w:val="clear" w:color="auto" w:fill="auto"/>
            <w:vAlign w:val="center"/>
          </w:tcPr>
          <w:p w14:paraId="01A48B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6000</w:t>
            </w:r>
          </w:p>
        </w:tc>
        <w:tc>
          <w:tcPr>
            <w:tcW w:w="599" w:type="pct"/>
            <w:tcBorders>
              <w:tl2br w:val="nil"/>
              <w:tr2bl w:val="nil"/>
            </w:tcBorders>
            <w:vAlign w:val="center"/>
          </w:tcPr>
          <w:p w14:paraId="4B2DE0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正常工况</w:t>
            </w:r>
          </w:p>
        </w:tc>
        <w:tc>
          <w:tcPr>
            <w:tcW w:w="499" w:type="pct"/>
            <w:tcBorders>
              <w:tl2br w:val="nil"/>
              <w:tr2bl w:val="nil"/>
            </w:tcBorders>
            <w:shd w:val="clear" w:color="auto" w:fill="auto"/>
            <w:vAlign w:val="center"/>
          </w:tcPr>
          <w:p w14:paraId="1F11B6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55" w:type="pct"/>
            <w:tcBorders>
              <w:tl2br w:val="nil"/>
              <w:tr2bl w:val="nil"/>
            </w:tcBorders>
            <w:shd w:val="clear" w:color="auto" w:fill="auto"/>
            <w:vAlign w:val="center"/>
          </w:tcPr>
          <w:p w14:paraId="7B0667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bl>
    <w:p w14:paraId="36D850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表5.2-1</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非正常工况下有组织废气排放情况表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856"/>
        <w:gridCol w:w="1123"/>
        <w:gridCol w:w="876"/>
        <w:gridCol w:w="1615"/>
        <w:gridCol w:w="1244"/>
        <w:gridCol w:w="1429"/>
        <w:gridCol w:w="1073"/>
        <w:gridCol w:w="849"/>
        <w:gridCol w:w="1366"/>
        <w:gridCol w:w="1034"/>
        <w:gridCol w:w="2345"/>
      </w:tblGrid>
      <w:tr w14:paraId="2F8DF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10" w:type="pct"/>
            <w:vMerge w:val="restart"/>
            <w:tcBorders>
              <w:tl2br w:val="nil"/>
              <w:tr2bl w:val="nil"/>
            </w:tcBorders>
            <w:shd w:val="clear" w:color="auto" w:fill="auto"/>
            <w:vAlign w:val="center"/>
          </w:tcPr>
          <w:p w14:paraId="0FEB27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名称</w:t>
            </w:r>
          </w:p>
        </w:tc>
        <w:tc>
          <w:tcPr>
            <w:tcW w:w="723" w:type="pct"/>
            <w:gridSpan w:val="2"/>
            <w:tcBorders>
              <w:tl2br w:val="nil"/>
              <w:tr2bl w:val="nil"/>
            </w:tcBorders>
            <w:shd w:val="clear" w:color="auto" w:fill="auto"/>
            <w:vAlign w:val="center"/>
          </w:tcPr>
          <w:p w14:paraId="6B72BA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排气筒底部中心坐标</w:t>
            </w:r>
            <w:r>
              <w:rPr>
                <w:rFonts w:hint="eastAsia" w:cs="Times New Roman"/>
                <w:b/>
                <w:bCs/>
                <w:color w:val="auto"/>
                <w:spacing w:val="-20"/>
                <w:sz w:val="21"/>
                <w:szCs w:val="21"/>
                <w:highlight w:val="none"/>
                <w:lang w:eastAsia="zh-CN"/>
              </w:rPr>
              <w:t>（</w:t>
            </w:r>
            <w:r>
              <w:rPr>
                <w:rFonts w:hint="default" w:ascii="Times New Roman" w:hAnsi="Times New Roman" w:eastAsia="宋体" w:cs="Times New Roman"/>
                <w:b/>
                <w:bCs/>
                <w:color w:val="auto"/>
                <w:spacing w:val="-20"/>
                <w:sz w:val="21"/>
                <w:szCs w:val="21"/>
                <w:highlight w:val="none"/>
                <w:lang w:eastAsia="zh-CN"/>
              </w:rPr>
              <w:t>o</w:t>
            </w:r>
            <w:r>
              <w:rPr>
                <w:rFonts w:hint="eastAsia" w:cs="Times New Roman"/>
                <w:b/>
                <w:bCs/>
                <w:color w:val="auto"/>
                <w:spacing w:val="-20"/>
                <w:sz w:val="21"/>
                <w:szCs w:val="21"/>
                <w:highlight w:val="none"/>
                <w:lang w:eastAsia="zh-CN"/>
              </w:rPr>
              <w:t>）</w:t>
            </w:r>
          </w:p>
        </w:tc>
        <w:tc>
          <w:tcPr>
            <w:tcW w:w="584" w:type="pct"/>
            <w:vMerge w:val="restart"/>
            <w:tcBorders>
              <w:tl2br w:val="nil"/>
              <w:tr2bl w:val="nil"/>
            </w:tcBorders>
            <w:shd w:val="clear" w:color="auto" w:fill="auto"/>
            <w:vAlign w:val="center"/>
          </w:tcPr>
          <w:p w14:paraId="769E90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底部</w:t>
            </w:r>
            <w:r>
              <w:rPr>
                <w:rFonts w:hint="eastAsia" w:cs="Times New Roman"/>
                <w:b/>
                <w:bCs/>
                <w:color w:val="auto"/>
                <w:spacing w:val="-20"/>
                <w:sz w:val="21"/>
                <w:szCs w:val="21"/>
                <w:highlight w:val="none"/>
                <w:lang w:eastAsia="zh-CN"/>
              </w:rPr>
              <w:t>海拔</w:t>
            </w:r>
            <w:r>
              <w:rPr>
                <w:rFonts w:hint="default" w:ascii="Times New Roman" w:hAnsi="Times New Roman" w:eastAsia="宋体" w:cs="Times New Roman"/>
                <w:b/>
                <w:bCs/>
                <w:color w:val="auto"/>
                <w:spacing w:val="-20"/>
                <w:sz w:val="21"/>
                <w:szCs w:val="21"/>
                <w:highlight w:val="none"/>
                <w:lang w:eastAsia="zh-CN"/>
              </w:rPr>
              <w:t>/m</w:t>
            </w:r>
          </w:p>
        </w:tc>
        <w:tc>
          <w:tcPr>
            <w:tcW w:w="450" w:type="pct"/>
            <w:vMerge w:val="restart"/>
            <w:tcBorders>
              <w:tl2br w:val="nil"/>
              <w:tr2bl w:val="nil"/>
            </w:tcBorders>
            <w:shd w:val="clear" w:color="auto" w:fill="auto"/>
            <w:vAlign w:val="center"/>
          </w:tcPr>
          <w:p w14:paraId="6899F4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排放高度/m</w:t>
            </w:r>
          </w:p>
        </w:tc>
        <w:tc>
          <w:tcPr>
            <w:tcW w:w="517" w:type="pct"/>
            <w:vMerge w:val="restart"/>
            <w:tcBorders>
              <w:tl2br w:val="nil"/>
              <w:tr2bl w:val="nil"/>
            </w:tcBorders>
            <w:shd w:val="clear" w:color="auto" w:fill="auto"/>
            <w:vAlign w:val="center"/>
          </w:tcPr>
          <w:p w14:paraId="4D9FB0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排气筒内径/m</w:t>
            </w:r>
          </w:p>
        </w:tc>
        <w:tc>
          <w:tcPr>
            <w:tcW w:w="388" w:type="pct"/>
            <w:vMerge w:val="restart"/>
            <w:tcBorders>
              <w:tl2br w:val="nil"/>
              <w:tr2bl w:val="nil"/>
            </w:tcBorders>
            <w:shd w:val="clear" w:color="auto" w:fill="auto"/>
            <w:vAlign w:val="center"/>
          </w:tcPr>
          <w:p w14:paraId="2E9453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流速/m/s</w:t>
            </w:r>
          </w:p>
        </w:tc>
        <w:tc>
          <w:tcPr>
            <w:tcW w:w="307" w:type="pct"/>
            <w:vMerge w:val="restart"/>
            <w:tcBorders>
              <w:tl2br w:val="nil"/>
              <w:tr2bl w:val="nil"/>
            </w:tcBorders>
            <w:shd w:val="clear" w:color="auto" w:fill="auto"/>
            <w:vAlign w:val="center"/>
          </w:tcPr>
          <w:p w14:paraId="3D5862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温度℃</w:t>
            </w:r>
          </w:p>
        </w:tc>
        <w:tc>
          <w:tcPr>
            <w:tcW w:w="494" w:type="pct"/>
            <w:vMerge w:val="restart"/>
            <w:tcBorders>
              <w:tl2br w:val="nil"/>
              <w:tr2bl w:val="nil"/>
            </w:tcBorders>
            <w:shd w:val="clear" w:color="auto" w:fill="auto"/>
            <w:vAlign w:val="center"/>
          </w:tcPr>
          <w:p w14:paraId="182625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排放小时数/h</w:t>
            </w:r>
          </w:p>
        </w:tc>
        <w:tc>
          <w:tcPr>
            <w:tcW w:w="374" w:type="pct"/>
            <w:vMerge w:val="restart"/>
            <w:tcBorders>
              <w:tl2br w:val="nil"/>
              <w:tr2bl w:val="nil"/>
            </w:tcBorders>
            <w:vAlign w:val="center"/>
          </w:tcPr>
          <w:p w14:paraId="38C4EC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排放工况</w:t>
            </w:r>
          </w:p>
        </w:tc>
        <w:tc>
          <w:tcPr>
            <w:tcW w:w="848" w:type="pct"/>
            <w:tcBorders>
              <w:tl2br w:val="nil"/>
              <w:tr2bl w:val="nil"/>
            </w:tcBorders>
            <w:vAlign w:val="center"/>
          </w:tcPr>
          <w:p w14:paraId="0866E0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污染物排放速率/（kg/h）</w:t>
            </w:r>
          </w:p>
        </w:tc>
      </w:tr>
      <w:tr w14:paraId="3EF2B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10" w:type="pct"/>
            <w:vMerge w:val="continue"/>
            <w:tcBorders>
              <w:tl2br w:val="nil"/>
              <w:tr2bl w:val="nil"/>
            </w:tcBorders>
            <w:shd w:val="clear" w:color="auto" w:fill="auto"/>
            <w:vAlign w:val="center"/>
          </w:tcPr>
          <w:p w14:paraId="64D35C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06" w:type="pct"/>
            <w:tcBorders>
              <w:tl2br w:val="nil"/>
              <w:tr2bl w:val="nil"/>
            </w:tcBorders>
            <w:shd w:val="clear" w:color="auto" w:fill="auto"/>
            <w:vAlign w:val="center"/>
          </w:tcPr>
          <w:p w14:paraId="67A99E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E</w:t>
            </w:r>
          </w:p>
        </w:tc>
        <w:tc>
          <w:tcPr>
            <w:tcW w:w="316" w:type="pct"/>
            <w:tcBorders>
              <w:tl2br w:val="nil"/>
              <w:tr2bl w:val="nil"/>
            </w:tcBorders>
            <w:shd w:val="clear" w:color="auto" w:fill="auto"/>
            <w:vAlign w:val="center"/>
          </w:tcPr>
          <w:p w14:paraId="6CF344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N</w:t>
            </w:r>
          </w:p>
        </w:tc>
        <w:tc>
          <w:tcPr>
            <w:tcW w:w="584" w:type="pct"/>
            <w:vMerge w:val="continue"/>
            <w:tcBorders>
              <w:tl2br w:val="nil"/>
              <w:tr2bl w:val="nil"/>
            </w:tcBorders>
            <w:shd w:val="clear" w:color="auto" w:fill="auto"/>
            <w:vAlign w:val="center"/>
          </w:tcPr>
          <w:p w14:paraId="00261A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50" w:type="pct"/>
            <w:vMerge w:val="continue"/>
            <w:tcBorders>
              <w:tl2br w:val="nil"/>
              <w:tr2bl w:val="nil"/>
            </w:tcBorders>
            <w:shd w:val="clear" w:color="auto" w:fill="auto"/>
            <w:vAlign w:val="center"/>
          </w:tcPr>
          <w:p w14:paraId="22FB2E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517" w:type="pct"/>
            <w:vMerge w:val="continue"/>
            <w:tcBorders>
              <w:tl2br w:val="nil"/>
              <w:tr2bl w:val="nil"/>
            </w:tcBorders>
            <w:shd w:val="clear" w:color="auto" w:fill="auto"/>
            <w:vAlign w:val="center"/>
          </w:tcPr>
          <w:p w14:paraId="3F1C9A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88" w:type="pct"/>
            <w:vMerge w:val="continue"/>
            <w:tcBorders>
              <w:tl2br w:val="nil"/>
              <w:tr2bl w:val="nil"/>
            </w:tcBorders>
            <w:shd w:val="clear" w:color="auto" w:fill="auto"/>
            <w:vAlign w:val="center"/>
          </w:tcPr>
          <w:p w14:paraId="13DD69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07" w:type="pct"/>
            <w:vMerge w:val="continue"/>
            <w:tcBorders>
              <w:tl2br w:val="nil"/>
              <w:tr2bl w:val="nil"/>
            </w:tcBorders>
            <w:shd w:val="clear" w:color="auto" w:fill="auto"/>
            <w:vAlign w:val="center"/>
          </w:tcPr>
          <w:p w14:paraId="4A53C1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94" w:type="pct"/>
            <w:vMerge w:val="continue"/>
            <w:tcBorders>
              <w:tl2br w:val="nil"/>
              <w:tr2bl w:val="nil"/>
            </w:tcBorders>
            <w:shd w:val="clear" w:color="auto" w:fill="auto"/>
            <w:vAlign w:val="center"/>
          </w:tcPr>
          <w:p w14:paraId="0C9F14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74" w:type="pct"/>
            <w:vMerge w:val="continue"/>
            <w:tcBorders>
              <w:tl2br w:val="nil"/>
              <w:tr2bl w:val="nil"/>
            </w:tcBorders>
            <w:vAlign w:val="center"/>
          </w:tcPr>
          <w:p w14:paraId="4B9C12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848" w:type="pct"/>
            <w:tcBorders>
              <w:tl2br w:val="nil"/>
              <w:tr2bl w:val="nil"/>
            </w:tcBorders>
            <w:shd w:val="clear" w:color="auto" w:fill="auto"/>
            <w:vAlign w:val="center"/>
          </w:tcPr>
          <w:p w14:paraId="5D1F8D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颗粒物（PM10）</w:t>
            </w:r>
          </w:p>
        </w:tc>
      </w:tr>
      <w:tr w14:paraId="5630B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90" w:hRule="atLeast"/>
          <w:jc w:val="center"/>
        </w:trPr>
        <w:tc>
          <w:tcPr>
            <w:tcW w:w="310" w:type="pct"/>
            <w:tcBorders>
              <w:tl2br w:val="nil"/>
              <w:tr2bl w:val="nil"/>
            </w:tcBorders>
            <w:shd w:val="clear" w:color="auto" w:fill="auto"/>
            <w:vAlign w:val="center"/>
          </w:tcPr>
          <w:p w14:paraId="744A02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DA001</w:t>
            </w:r>
          </w:p>
        </w:tc>
        <w:tc>
          <w:tcPr>
            <w:tcW w:w="1123" w:type="dxa"/>
            <w:tcBorders>
              <w:tl2br w:val="nil"/>
              <w:tr2bl w:val="nil"/>
            </w:tcBorders>
            <w:shd w:val="clear" w:color="auto" w:fill="auto"/>
            <w:vAlign w:val="center"/>
          </w:tcPr>
          <w:p w14:paraId="40D513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876" w:type="dxa"/>
            <w:tcBorders>
              <w:tl2br w:val="nil"/>
              <w:tr2bl w:val="nil"/>
            </w:tcBorders>
            <w:shd w:val="clear" w:color="auto" w:fill="auto"/>
            <w:vAlign w:val="center"/>
          </w:tcPr>
          <w:p w14:paraId="036ACB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42°37′10″</w:t>
            </w:r>
          </w:p>
        </w:tc>
        <w:tc>
          <w:tcPr>
            <w:tcW w:w="1615" w:type="dxa"/>
            <w:tcBorders>
              <w:tl2br w:val="nil"/>
              <w:tr2bl w:val="nil"/>
            </w:tcBorders>
            <w:shd w:val="clear" w:color="auto" w:fill="auto"/>
            <w:vAlign w:val="center"/>
          </w:tcPr>
          <w:p w14:paraId="13E18C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1244" w:type="dxa"/>
            <w:tcBorders>
              <w:tl2br w:val="nil"/>
              <w:tr2bl w:val="nil"/>
            </w:tcBorders>
            <w:shd w:val="clear" w:color="auto" w:fill="auto"/>
            <w:vAlign w:val="center"/>
          </w:tcPr>
          <w:p w14:paraId="70D5B0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1429" w:type="dxa"/>
            <w:tcBorders>
              <w:tl2br w:val="nil"/>
              <w:tr2bl w:val="nil"/>
            </w:tcBorders>
            <w:shd w:val="clear" w:color="auto" w:fill="auto"/>
            <w:vAlign w:val="center"/>
          </w:tcPr>
          <w:p w14:paraId="4DBD29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0.</w:t>
            </w:r>
            <w:r>
              <w:rPr>
                <w:rFonts w:hint="default" w:ascii="Times New Roman" w:hAnsi="Times New Roman" w:cs="Times New Roman"/>
                <w:color w:val="auto"/>
                <w:spacing w:val="-20"/>
                <w:sz w:val="21"/>
                <w:szCs w:val="21"/>
                <w:highlight w:val="none"/>
                <w:lang w:val="en-US" w:eastAsia="zh-CN"/>
              </w:rPr>
              <w:t>5</w:t>
            </w:r>
          </w:p>
        </w:tc>
        <w:tc>
          <w:tcPr>
            <w:tcW w:w="1073" w:type="dxa"/>
            <w:tcBorders>
              <w:tl2br w:val="nil"/>
              <w:tr2bl w:val="nil"/>
            </w:tcBorders>
            <w:shd w:val="clear" w:color="auto" w:fill="auto"/>
            <w:vAlign w:val="center"/>
          </w:tcPr>
          <w:p w14:paraId="402D7A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cs="Times New Roman"/>
                <w:color w:val="auto"/>
                <w:spacing w:val="-20"/>
                <w:sz w:val="21"/>
                <w:szCs w:val="21"/>
                <w:highlight w:val="none"/>
                <w:lang w:val="en-US" w:eastAsia="zh-CN"/>
              </w:rPr>
              <w:t>1.8</w:t>
            </w:r>
          </w:p>
        </w:tc>
        <w:tc>
          <w:tcPr>
            <w:tcW w:w="849" w:type="dxa"/>
            <w:tcBorders>
              <w:tl2br w:val="nil"/>
              <w:tr2bl w:val="nil"/>
            </w:tcBorders>
            <w:shd w:val="clear" w:color="auto" w:fill="auto"/>
            <w:vAlign w:val="center"/>
          </w:tcPr>
          <w:p w14:paraId="54DE37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1366" w:type="dxa"/>
            <w:tcBorders>
              <w:tl2br w:val="nil"/>
              <w:tr2bl w:val="nil"/>
            </w:tcBorders>
            <w:shd w:val="clear" w:color="auto" w:fill="auto"/>
            <w:vAlign w:val="center"/>
          </w:tcPr>
          <w:p w14:paraId="256F66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eastAsia" w:cs="Times New Roman"/>
                <w:color w:val="auto"/>
                <w:spacing w:val="-20"/>
                <w:sz w:val="21"/>
                <w:szCs w:val="21"/>
                <w:highlight w:val="none"/>
                <w:lang w:val="en-US" w:eastAsia="zh-CN"/>
              </w:rPr>
              <w:t>1</w:t>
            </w:r>
          </w:p>
        </w:tc>
        <w:tc>
          <w:tcPr>
            <w:tcW w:w="374" w:type="pct"/>
            <w:vMerge w:val="restart"/>
            <w:tcBorders>
              <w:tl2br w:val="nil"/>
              <w:tr2bl w:val="nil"/>
            </w:tcBorders>
            <w:vAlign w:val="center"/>
          </w:tcPr>
          <w:p w14:paraId="610BAB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非</w:t>
            </w:r>
            <w:r>
              <w:rPr>
                <w:rFonts w:hint="default" w:ascii="Times New Roman" w:hAnsi="Times New Roman" w:eastAsia="宋体" w:cs="Times New Roman"/>
                <w:color w:val="auto"/>
                <w:spacing w:val="-20"/>
                <w:sz w:val="21"/>
                <w:szCs w:val="21"/>
                <w:highlight w:val="none"/>
              </w:rPr>
              <w:t>正常工况</w:t>
            </w:r>
          </w:p>
        </w:tc>
        <w:tc>
          <w:tcPr>
            <w:tcW w:w="2345" w:type="dxa"/>
            <w:tcBorders>
              <w:tl2br w:val="nil"/>
              <w:tr2bl w:val="nil"/>
            </w:tcBorders>
            <w:shd w:val="clear" w:color="auto" w:fill="auto"/>
            <w:vAlign w:val="center"/>
          </w:tcPr>
          <w:p w14:paraId="44AE3E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p>
        </w:tc>
      </w:tr>
      <w:tr w14:paraId="5A867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10" w:type="pct"/>
            <w:tcBorders>
              <w:tl2br w:val="nil"/>
              <w:tr2bl w:val="nil"/>
            </w:tcBorders>
            <w:shd w:val="clear" w:color="auto" w:fill="auto"/>
            <w:vAlign w:val="center"/>
          </w:tcPr>
          <w:p w14:paraId="386A5E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DA002</w:t>
            </w:r>
          </w:p>
        </w:tc>
        <w:tc>
          <w:tcPr>
            <w:tcW w:w="1123" w:type="dxa"/>
            <w:tcBorders>
              <w:tl2br w:val="nil"/>
              <w:tr2bl w:val="nil"/>
            </w:tcBorders>
            <w:shd w:val="clear" w:color="auto" w:fill="auto"/>
            <w:vAlign w:val="center"/>
          </w:tcPr>
          <w:p w14:paraId="24CE1D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89°49′39″</w:t>
            </w:r>
          </w:p>
        </w:tc>
        <w:tc>
          <w:tcPr>
            <w:tcW w:w="876" w:type="dxa"/>
            <w:tcBorders>
              <w:tl2br w:val="nil"/>
              <w:tr2bl w:val="nil"/>
            </w:tcBorders>
            <w:shd w:val="clear" w:color="auto" w:fill="auto"/>
            <w:vAlign w:val="center"/>
          </w:tcPr>
          <w:p w14:paraId="7354DA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42°37′11″</w:t>
            </w:r>
          </w:p>
        </w:tc>
        <w:tc>
          <w:tcPr>
            <w:tcW w:w="1615" w:type="dxa"/>
            <w:tcBorders>
              <w:tl2br w:val="nil"/>
              <w:tr2bl w:val="nil"/>
            </w:tcBorders>
            <w:shd w:val="clear" w:color="auto" w:fill="auto"/>
            <w:vAlign w:val="center"/>
          </w:tcPr>
          <w:p w14:paraId="78993B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1244" w:type="dxa"/>
            <w:tcBorders>
              <w:tl2br w:val="nil"/>
              <w:tr2bl w:val="nil"/>
            </w:tcBorders>
            <w:shd w:val="clear" w:color="auto" w:fill="auto"/>
            <w:vAlign w:val="center"/>
          </w:tcPr>
          <w:p w14:paraId="1FE771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1429" w:type="dxa"/>
            <w:tcBorders>
              <w:tl2br w:val="nil"/>
              <w:tr2bl w:val="nil"/>
            </w:tcBorders>
            <w:shd w:val="clear" w:color="auto" w:fill="auto"/>
            <w:vAlign w:val="center"/>
          </w:tcPr>
          <w:p w14:paraId="6FF515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0.</w:t>
            </w:r>
            <w:r>
              <w:rPr>
                <w:rFonts w:hint="default" w:ascii="Times New Roman" w:hAnsi="Times New Roman" w:cs="Times New Roman"/>
                <w:color w:val="auto"/>
                <w:spacing w:val="-20"/>
                <w:sz w:val="21"/>
                <w:szCs w:val="21"/>
                <w:highlight w:val="none"/>
                <w:lang w:val="en-US" w:eastAsia="zh-CN"/>
              </w:rPr>
              <w:t>5</w:t>
            </w:r>
          </w:p>
        </w:tc>
        <w:tc>
          <w:tcPr>
            <w:tcW w:w="1073" w:type="dxa"/>
            <w:tcBorders>
              <w:tl2br w:val="nil"/>
              <w:tr2bl w:val="nil"/>
            </w:tcBorders>
            <w:shd w:val="clear" w:color="auto" w:fill="auto"/>
            <w:vAlign w:val="center"/>
          </w:tcPr>
          <w:p w14:paraId="4AD64C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cs="Times New Roman"/>
                <w:color w:val="auto"/>
                <w:spacing w:val="-20"/>
                <w:sz w:val="21"/>
                <w:szCs w:val="21"/>
                <w:highlight w:val="none"/>
                <w:lang w:val="en-US" w:eastAsia="zh-CN"/>
              </w:rPr>
              <w:t>1.8</w:t>
            </w:r>
          </w:p>
        </w:tc>
        <w:tc>
          <w:tcPr>
            <w:tcW w:w="849" w:type="dxa"/>
            <w:tcBorders>
              <w:tl2br w:val="nil"/>
              <w:tr2bl w:val="nil"/>
            </w:tcBorders>
            <w:shd w:val="clear" w:color="auto" w:fill="auto"/>
            <w:vAlign w:val="center"/>
          </w:tcPr>
          <w:p w14:paraId="04931F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1366" w:type="dxa"/>
            <w:tcBorders>
              <w:tl2br w:val="nil"/>
              <w:tr2bl w:val="nil"/>
            </w:tcBorders>
            <w:shd w:val="clear" w:color="auto" w:fill="auto"/>
            <w:vAlign w:val="center"/>
          </w:tcPr>
          <w:p w14:paraId="47BAEE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eastAsia" w:cs="Times New Roman"/>
                <w:color w:val="auto"/>
                <w:spacing w:val="-20"/>
                <w:sz w:val="21"/>
                <w:szCs w:val="21"/>
                <w:highlight w:val="none"/>
                <w:lang w:val="en-US" w:eastAsia="zh-CN"/>
              </w:rPr>
              <w:t>1</w:t>
            </w:r>
          </w:p>
        </w:tc>
        <w:tc>
          <w:tcPr>
            <w:tcW w:w="374" w:type="pct"/>
            <w:vMerge w:val="continue"/>
            <w:tcBorders>
              <w:tl2br w:val="nil"/>
              <w:tr2bl w:val="nil"/>
            </w:tcBorders>
            <w:vAlign w:val="center"/>
          </w:tcPr>
          <w:p w14:paraId="4E584D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2345" w:type="dxa"/>
            <w:tcBorders>
              <w:tl2br w:val="nil"/>
              <w:tr2bl w:val="nil"/>
            </w:tcBorders>
            <w:shd w:val="clear" w:color="auto" w:fill="auto"/>
            <w:vAlign w:val="center"/>
          </w:tcPr>
          <w:p w14:paraId="0C179B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pacing w:val="-20"/>
                <w:sz w:val="21"/>
                <w:szCs w:val="21"/>
                <w:highlight w:val="none"/>
              </w:rPr>
            </w:pPr>
          </w:p>
        </w:tc>
      </w:tr>
    </w:tbl>
    <w:p w14:paraId="19C7F01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pgSz w:w="16838" w:h="11906" w:orient="landscape"/>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bookmarkEnd w:id="175"/>
    <w:p w14:paraId="7E441212">
      <w:pPr>
        <w:pStyle w:val="129"/>
        <w:pageBreakBefore w:val="0"/>
        <w:wordWrap/>
        <w:topLinePunct w:val="0"/>
        <w:bidi w:val="0"/>
        <w:adjustRightInd w:val="0"/>
        <w:snapToGrid w:val="0"/>
        <w:spacing w:line="480" w:lineRule="exact"/>
        <w:ind w:left="0" w:leftChars="0" w:right="0" w:firstLine="48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（8）预测与评价内容</w:t>
      </w:r>
    </w:p>
    <w:p w14:paraId="1D44D1A2">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本项目所在区域属于环境空气质量不达标区，预测与评价内容如下：</w:t>
      </w:r>
    </w:p>
    <w:p w14:paraId="3537080E">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1）项目正常排放条件下，预测环境空气保护目标和网格点主要污染物的短期浓度和长期浓度，评价其最大浓度占标率。</w:t>
      </w:r>
    </w:p>
    <w:p w14:paraId="168C8644">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项目正常排放条件下，预测评价叠加大气环境质量限期达标规划（简称“达标规划”）的目标浓度后，环境空气保护目标和网格点主要污染物保证率日平均质量浓度和年平均质量浓度的达标情况；对于项目排放的主要污染物仅有短期浓度限值的，评价其短期浓度叠加后的达标情况；如果评价范围内还有其他排放同类污染物的在建、拟建项目，还应叠加在建、拟建项目的环境影响。根据项目现场踏勘及调查结果可知，大气环境评价范围内无在建、拟建项目，故本次不叠加在建、拟建项目的污染源。</w:t>
      </w:r>
    </w:p>
    <w:p w14:paraId="4F20F881">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3）项目非正常排放条件下，预测环境空气保护目标和网格点主要污染物的1h最大浓度贡献值，评价其最大浓度占标率。</w:t>
      </w:r>
    </w:p>
    <w:p w14:paraId="6CB0D74E">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（9）预测结果</w:t>
      </w:r>
    </w:p>
    <w:p w14:paraId="459FC4D9">
      <w:pPr>
        <w:pStyle w:val="129"/>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sectPr>
          <w:footerReference r:id="rId22" w:type="first"/>
          <w:footerReference r:id="rId21"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default" w:ascii="Times New Roman" w:hAnsi="Times New Roman" w:eastAsia="宋体" w:cs="Times New Roman"/>
          <w:color w:val="auto"/>
          <w:highlight w:val="none"/>
        </w:rPr>
        <w:t>环境空气保护目标和网格点短期浓度和长期浓度最大贡献值汇总见表5.2-1</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。本次评价叠加环境质量现状值后的环境空气保护目标及网格点基本污染物保证率日平均质量浓度、年平均质量浓度达标情况及其他污染物的小时质量浓度见表5.2-1</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和图5.2-8～图5.2-1</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。非正常工况下的预测结果见表5.2-1</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w:t>
      </w:r>
    </w:p>
    <w:tbl>
      <w:tblPr>
        <w:tblStyle w:val="2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6"/>
        <w:gridCol w:w="1727"/>
        <w:gridCol w:w="1440"/>
        <w:gridCol w:w="866"/>
        <w:gridCol w:w="869"/>
        <w:gridCol w:w="1191"/>
        <w:gridCol w:w="1379"/>
        <w:gridCol w:w="1838"/>
        <w:gridCol w:w="1379"/>
        <w:gridCol w:w="1796"/>
        <w:gridCol w:w="819"/>
      </w:tblGrid>
      <w:tr w14:paraId="2F0FEA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noWrap/>
            <w:vAlign w:val="center"/>
          </w:tcPr>
          <w:p w14:paraId="607AC2F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noWrap/>
            <w:vAlign w:val="center"/>
          </w:tcPr>
          <w:p w14:paraId="4C7408F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center"/>
          </w:tcPr>
          <w:p w14:paraId="74D81D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noWrap/>
            <w:vAlign w:val="center"/>
          </w:tcPr>
          <w:p w14:paraId="2B87BB1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noWrap/>
            <w:vAlign w:val="center"/>
          </w:tcPr>
          <w:p w14:paraId="12EF1A0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center"/>
          </w:tcPr>
          <w:p w14:paraId="23B1021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center"/>
          </w:tcPr>
          <w:p w14:paraId="3518413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center"/>
          </w:tcPr>
          <w:p w14:paraId="6A0219B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center"/>
          </w:tcPr>
          <w:p w14:paraId="3D544BD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center"/>
          </w:tcPr>
          <w:p w14:paraId="655D6A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center"/>
          </w:tcPr>
          <w:p w14:paraId="00CBA9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58549C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restart"/>
            <w:noWrap/>
            <w:vAlign w:val="center"/>
          </w:tcPr>
          <w:p w14:paraId="3E13F95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restart"/>
            <w:noWrap/>
            <w:vAlign w:val="center"/>
          </w:tcPr>
          <w:p w14:paraId="4F0069C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restart"/>
            <w:noWrap/>
            <w:vAlign w:val="center"/>
          </w:tcPr>
          <w:p w14:paraId="54FFB67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vMerge w:val="restart"/>
            <w:noWrap/>
            <w:vAlign w:val="center"/>
          </w:tcPr>
          <w:p w14:paraId="5878A8F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vMerge w:val="restart"/>
            <w:noWrap/>
            <w:vAlign w:val="center"/>
          </w:tcPr>
          <w:p w14:paraId="2FD2AE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76B0D2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03658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15909E8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6098DDC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62AF42C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387B80B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5A153E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0A46520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5E2FB34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continue"/>
            <w:noWrap/>
            <w:vAlign w:val="center"/>
          </w:tcPr>
          <w:p w14:paraId="03B221A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vMerge w:val="continue"/>
            <w:noWrap/>
            <w:vAlign w:val="center"/>
          </w:tcPr>
          <w:p w14:paraId="6365A6C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vMerge w:val="continue"/>
            <w:noWrap/>
            <w:vAlign w:val="center"/>
          </w:tcPr>
          <w:p w14:paraId="61014A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77EEB63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ADAE0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1B64192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6E3A354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0294F52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2E7F2E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6F6B0F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050EEF9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restart"/>
            <w:noWrap/>
            <w:vAlign w:val="center"/>
          </w:tcPr>
          <w:p w14:paraId="053C87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bottom"/>
          </w:tcPr>
          <w:p w14:paraId="4F4F75D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noWrap/>
            <w:vAlign w:val="bottom"/>
          </w:tcPr>
          <w:p w14:paraId="4D743C8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noWrap/>
            <w:vAlign w:val="bottom"/>
          </w:tcPr>
          <w:p w14:paraId="0249A07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623EBD3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7E71658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509DA9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5A9B61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232D149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002904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05F392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63A1B15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28B8759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bottom"/>
          </w:tcPr>
          <w:p w14:paraId="3592880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noWrap/>
            <w:vAlign w:val="bottom"/>
          </w:tcPr>
          <w:p w14:paraId="6F13F53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noWrap/>
            <w:vAlign w:val="bottom"/>
          </w:tcPr>
          <w:p w14:paraId="0D7EA6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49FC49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DA86BB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709896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2369CE8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242E4FC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5A52807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04CB35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207" w:type="pct"/>
            <w:vMerge w:val="restart"/>
            <w:noWrap/>
            <w:vAlign w:val="center"/>
          </w:tcPr>
          <w:p w14:paraId="03D8BA5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622" w:type="pct"/>
            <w:vMerge w:val="restart"/>
            <w:noWrap/>
            <w:vAlign w:val="center"/>
          </w:tcPr>
          <w:p w14:paraId="4BA438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440" w:type="dxa"/>
            <w:vMerge w:val="restart"/>
            <w:noWrap/>
            <w:vAlign w:val="center"/>
          </w:tcPr>
          <w:p w14:paraId="51A764E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866" w:type="dxa"/>
            <w:vMerge w:val="restart"/>
            <w:noWrap/>
            <w:vAlign w:val="center"/>
          </w:tcPr>
          <w:p w14:paraId="5503C6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869" w:type="dxa"/>
            <w:vMerge w:val="restart"/>
            <w:noWrap/>
            <w:vAlign w:val="center"/>
          </w:tcPr>
          <w:p w14:paraId="573FD80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0C69EC1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171D7C9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4E25375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3211AC2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1A706B8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1BA657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4DD7F7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207" w:type="pct"/>
            <w:vMerge w:val="continue"/>
            <w:noWrap/>
            <w:vAlign w:val="center"/>
          </w:tcPr>
          <w:p w14:paraId="0F11970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4812630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continue"/>
            <w:noWrap/>
            <w:vAlign w:val="bottom"/>
          </w:tcPr>
          <w:p w14:paraId="274EBC2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vMerge w:val="continue"/>
            <w:noWrap/>
            <w:vAlign w:val="bottom"/>
          </w:tcPr>
          <w:p w14:paraId="57AC7A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vMerge w:val="continue"/>
            <w:noWrap/>
            <w:vAlign w:val="bottom"/>
          </w:tcPr>
          <w:p w14:paraId="0326699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4124A6C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068197E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4849BBD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7BADBF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37B937D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24FA06D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35DA3D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207" w:type="pct"/>
            <w:vMerge w:val="continue"/>
            <w:noWrap/>
            <w:vAlign w:val="center"/>
          </w:tcPr>
          <w:p w14:paraId="368801C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restart"/>
            <w:noWrap/>
            <w:vAlign w:val="center"/>
          </w:tcPr>
          <w:p w14:paraId="0EAB789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restart"/>
            <w:noWrap/>
            <w:vAlign w:val="bottom"/>
          </w:tcPr>
          <w:p w14:paraId="706FF3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vMerge w:val="restart"/>
            <w:noWrap/>
            <w:vAlign w:val="bottom"/>
          </w:tcPr>
          <w:p w14:paraId="609C57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vMerge w:val="restart"/>
            <w:noWrap/>
            <w:vAlign w:val="bottom"/>
          </w:tcPr>
          <w:p w14:paraId="3F05326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06AB563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910225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5DFC530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15D09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4142F5D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100B7D5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534B16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207" w:type="pct"/>
            <w:vMerge w:val="continue"/>
            <w:noWrap/>
            <w:vAlign w:val="center"/>
          </w:tcPr>
          <w:p w14:paraId="104D8E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13920AF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continue"/>
            <w:noWrap/>
            <w:vAlign w:val="bottom"/>
          </w:tcPr>
          <w:p w14:paraId="002DEFD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vMerge w:val="continue"/>
            <w:noWrap/>
            <w:vAlign w:val="bottom"/>
          </w:tcPr>
          <w:p w14:paraId="547EA4A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vMerge w:val="continue"/>
            <w:noWrap/>
            <w:vAlign w:val="bottom"/>
          </w:tcPr>
          <w:p w14:paraId="647C3B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28BFA5F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3B14C1D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320556A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ED4E45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1F0D531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7AE4578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0AFC2E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restart"/>
            <w:noWrap/>
            <w:vAlign w:val="center"/>
          </w:tcPr>
          <w:p w14:paraId="29403B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622" w:type="pct"/>
            <w:vMerge w:val="restart"/>
            <w:noWrap/>
            <w:vAlign w:val="center"/>
          </w:tcPr>
          <w:p w14:paraId="7BECEFF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440" w:type="dxa"/>
            <w:vMerge w:val="restart"/>
            <w:noWrap/>
            <w:vAlign w:val="center"/>
          </w:tcPr>
          <w:p w14:paraId="7B9BAA1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866" w:type="dxa"/>
            <w:vMerge w:val="restart"/>
            <w:noWrap/>
            <w:vAlign w:val="center"/>
          </w:tcPr>
          <w:p w14:paraId="11D9049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869" w:type="dxa"/>
            <w:vMerge w:val="restart"/>
            <w:noWrap/>
            <w:vAlign w:val="center"/>
          </w:tcPr>
          <w:p w14:paraId="0AB868F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5E3DCCB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28C02B4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22FC90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11486F0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77F1039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4BB2D2A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1B5B0B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3553DB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77849FB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continue"/>
            <w:noWrap/>
            <w:vAlign w:val="center"/>
          </w:tcPr>
          <w:p w14:paraId="7E3D5CA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vMerge w:val="continue"/>
            <w:noWrap/>
            <w:vAlign w:val="center"/>
          </w:tcPr>
          <w:p w14:paraId="3103DA6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vMerge w:val="continue"/>
            <w:noWrap/>
            <w:vAlign w:val="center"/>
          </w:tcPr>
          <w:p w14:paraId="4B20273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72D5A4A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6A1558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221C982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19FEF0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58EEB6D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18CD74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70ED66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285" w:hRule="atLeast"/>
          <w:jc w:val="center"/>
        </w:trPr>
        <w:tc>
          <w:tcPr>
            <w:tcW w:w="207" w:type="pct"/>
            <w:vMerge w:val="continue"/>
            <w:noWrap/>
            <w:vAlign w:val="center"/>
          </w:tcPr>
          <w:p w14:paraId="2623B1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restart"/>
            <w:noWrap/>
            <w:vAlign w:val="center"/>
          </w:tcPr>
          <w:p w14:paraId="059448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bottom"/>
          </w:tcPr>
          <w:p w14:paraId="31B76C0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noWrap/>
            <w:vAlign w:val="bottom"/>
          </w:tcPr>
          <w:p w14:paraId="3E3451A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noWrap/>
            <w:vAlign w:val="bottom"/>
          </w:tcPr>
          <w:p w14:paraId="0AF61A0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690C16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593D75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2ECEDA0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6F5064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0DFABB4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3A14B89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5F8B68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6F6A4DA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69D385A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bottom"/>
          </w:tcPr>
          <w:p w14:paraId="23B7339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noWrap/>
            <w:vAlign w:val="bottom"/>
          </w:tcPr>
          <w:p w14:paraId="16C0EF8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noWrap/>
            <w:vAlign w:val="bottom"/>
          </w:tcPr>
          <w:p w14:paraId="3677A9C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32BEDBF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10CB22F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03FB9CA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1235347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586F8EC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408F6D2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bl>
    <w:p w14:paraId="4066136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5.2-1</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环境保护目标及网格点叠加现状浓度预测结果表</w:t>
      </w:r>
    </w:p>
    <w:tbl>
      <w:tblPr>
        <w:tblStyle w:val="216"/>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7"/>
        <w:gridCol w:w="1605"/>
        <w:gridCol w:w="1293"/>
        <w:gridCol w:w="1008"/>
        <w:gridCol w:w="863"/>
        <w:gridCol w:w="866"/>
        <w:gridCol w:w="1139"/>
        <w:gridCol w:w="1175"/>
        <w:gridCol w:w="1112"/>
        <w:gridCol w:w="1300"/>
        <w:gridCol w:w="1200"/>
        <w:gridCol w:w="1078"/>
        <w:gridCol w:w="683"/>
      </w:tblGrid>
      <w:tr w14:paraId="0F54C9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noWrap/>
            <w:vAlign w:val="center"/>
          </w:tcPr>
          <w:p w14:paraId="102FAFD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noWrap/>
            <w:vAlign w:val="center"/>
          </w:tcPr>
          <w:p w14:paraId="4AECA40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center"/>
          </w:tcPr>
          <w:p w14:paraId="51C9467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center"/>
          </w:tcPr>
          <w:p w14:paraId="1A2DCB8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center"/>
          </w:tcPr>
          <w:p w14:paraId="22A9C5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7F6973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3C1032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604D1D8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496274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51BB80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1EE73F3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3B59DAA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5F7A5A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15574A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restart"/>
            <w:noWrap/>
            <w:vAlign w:val="center"/>
          </w:tcPr>
          <w:p w14:paraId="4966A2B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7AA4DE5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restart"/>
            <w:noWrap/>
            <w:vAlign w:val="center"/>
          </w:tcPr>
          <w:p w14:paraId="0B56A6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restart"/>
            <w:noWrap/>
            <w:vAlign w:val="center"/>
          </w:tcPr>
          <w:p w14:paraId="72AECBA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restart"/>
            <w:noWrap/>
            <w:vAlign w:val="center"/>
          </w:tcPr>
          <w:p w14:paraId="3A9BA9D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13CA98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60108AA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4D02BB3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054789A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4479529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2D78D6F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308A3D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6A21C68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1868C7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400A32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2B3808E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continue"/>
            <w:noWrap/>
            <w:vAlign w:val="center"/>
          </w:tcPr>
          <w:p w14:paraId="63A461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continue"/>
            <w:noWrap/>
            <w:vAlign w:val="center"/>
          </w:tcPr>
          <w:p w14:paraId="48F7CD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continue"/>
            <w:noWrap/>
            <w:vAlign w:val="center"/>
          </w:tcPr>
          <w:p w14:paraId="025781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7FB8E38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10" w:type="pct"/>
            <w:noWrap/>
            <w:vAlign w:val="center"/>
          </w:tcPr>
          <w:p w14:paraId="274FA2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23" w:type="pct"/>
            <w:noWrap/>
            <w:vAlign w:val="center"/>
          </w:tcPr>
          <w:p w14:paraId="5CC3FF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00" w:type="pct"/>
            <w:vAlign w:val="center"/>
          </w:tcPr>
          <w:p w14:paraId="5AF988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68" w:type="pct"/>
            <w:vAlign w:val="center"/>
          </w:tcPr>
          <w:p w14:paraId="6C2D98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32" w:type="pct"/>
            <w:noWrap/>
            <w:vAlign w:val="center"/>
          </w:tcPr>
          <w:p w14:paraId="1F58831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88" w:type="pct"/>
            <w:noWrap/>
            <w:vAlign w:val="center"/>
          </w:tcPr>
          <w:p w14:paraId="53DAA8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246" w:type="pct"/>
            <w:noWrap/>
            <w:vAlign w:val="center"/>
          </w:tcPr>
          <w:p w14:paraId="1354A8F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r>
      <w:tr w14:paraId="50F41F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01A8D91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107CE25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13BC66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3F372F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36364AB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4F9D0FF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2B41EA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0ACCE0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1D6A323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0B6D0A4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2918826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4B4DDE4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1EF075D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7FC104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6723A2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3AC98C3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1FDC56B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182CF1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53132A6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1B6CDE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10" w:type="pct"/>
            <w:noWrap/>
            <w:vAlign w:val="center"/>
          </w:tcPr>
          <w:p w14:paraId="56135E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23" w:type="pct"/>
            <w:noWrap/>
            <w:vAlign w:val="center"/>
          </w:tcPr>
          <w:p w14:paraId="6C99EBC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00" w:type="pct"/>
            <w:vAlign w:val="center"/>
          </w:tcPr>
          <w:p w14:paraId="6B973A8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68" w:type="pct"/>
            <w:vAlign w:val="center"/>
          </w:tcPr>
          <w:p w14:paraId="4D6C87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32" w:type="pct"/>
            <w:noWrap/>
            <w:vAlign w:val="center"/>
          </w:tcPr>
          <w:p w14:paraId="5D572D5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88" w:type="pct"/>
            <w:noWrap/>
            <w:vAlign w:val="center"/>
          </w:tcPr>
          <w:p w14:paraId="6BA843B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246" w:type="pct"/>
            <w:noWrap/>
            <w:vAlign w:val="center"/>
          </w:tcPr>
          <w:p w14:paraId="1CE179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r>
      <w:tr w14:paraId="1B0999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restart"/>
            <w:noWrap/>
            <w:vAlign w:val="center"/>
          </w:tcPr>
          <w:p w14:paraId="1B8EB11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35EE919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restart"/>
            <w:noWrap/>
            <w:vAlign w:val="center"/>
          </w:tcPr>
          <w:p w14:paraId="7DFE3F2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restart"/>
            <w:noWrap/>
            <w:vAlign w:val="center"/>
          </w:tcPr>
          <w:p w14:paraId="27C9B92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restart"/>
            <w:noWrap/>
            <w:vAlign w:val="center"/>
          </w:tcPr>
          <w:p w14:paraId="7F3344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53D6FD5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29FF787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32CFC5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148D91C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5BC9D1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66921E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1DC1AB8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2351B6A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0E56B8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52FCDE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4AD6B88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continue"/>
            <w:noWrap/>
            <w:vAlign w:val="center"/>
          </w:tcPr>
          <w:p w14:paraId="12A704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continue"/>
            <w:noWrap/>
            <w:vAlign w:val="center"/>
          </w:tcPr>
          <w:p w14:paraId="02D9649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continue"/>
            <w:noWrap/>
            <w:vAlign w:val="center"/>
          </w:tcPr>
          <w:p w14:paraId="23C40FE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2FD3577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1AC05F7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07E957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66FDAA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614732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0990D1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30BD7D5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1C9033D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6FBCC5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762497E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495D3F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34BB012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429ADAD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3322832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7839E98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261ECD3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11B02C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3F9E195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357B46A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1CCCAB3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1756E6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7C906F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1A2947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7725718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4A0D04F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1E0854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02427D3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182C85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3283D35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21CCA85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4AACF6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134BCD0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655E1B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7D5809E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18B7487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0B3F577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5062E7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restart"/>
            <w:noWrap/>
            <w:vAlign w:val="center"/>
          </w:tcPr>
          <w:p w14:paraId="4C759D3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0C38906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restart"/>
            <w:noWrap/>
            <w:vAlign w:val="center"/>
          </w:tcPr>
          <w:p w14:paraId="1ED13A1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restart"/>
            <w:noWrap/>
            <w:vAlign w:val="center"/>
          </w:tcPr>
          <w:p w14:paraId="3D971E0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restart"/>
            <w:noWrap/>
            <w:vAlign w:val="center"/>
          </w:tcPr>
          <w:p w14:paraId="0FE1174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4CA39AF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bottom"/>
          </w:tcPr>
          <w:p w14:paraId="3DCE4B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bottom"/>
          </w:tcPr>
          <w:p w14:paraId="02DA98E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bottom"/>
          </w:tcPr>
          <w:p w14:paraId="65CDC5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bottom"/>
          </w:tcPr>
          <w:p w14:paraId="76CE2D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bottom"/>
          </w:tcPr>
          <w:p w14:paraId="7DEEB72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bottom"/>
          </w:tcPr>
          <w:p w14:paraId="756651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bottom"/>
          </w:tcPr>
          <w:p w14:paraId="1B4B8F6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79A93E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5FB995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4D0D28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continue"/>
            <w:noWrap/>
            <w:vAlign w:val="center"/>
          </w:tcPr>
          <w:p w14:paraId="788B47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continue"/>
            <w:noWrap/>
            <w:vAlign w:val="center"/>
          </w:tcPr>
          <w:p w14:paraId="383DA92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continue"/>
            <w:noWrap/>
            <w:vAlign w:val="center"/>
          </w:tcPr>
          <w:p w14:paraId="6B17F1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106CED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bottom"/>
          </w:tcPr>
          <w:p w14:paraId="62E18AA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bottom"/>
          </w:tcPr>
          <w:p w14:paraId="0A374F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bottom"/>
          </w:tcPr>
          <w:p w14:paraId="44E8DD3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bottom"/>
          </w:tcPr>
          <w:p w14:paraId="3B5F26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bottom"/>
          </w:tcPr>
          <w:p w14:paraId="7B57E7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bottom"/>
          </w:tcPr>
          <w:p w14:paraId="6C9F045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bottom"/>
          </w:tcPr>
          <w:p w14:paraId="0A914B3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1B0FC3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00A0F17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6AE0DF2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791535D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31DCB55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06960A6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4617523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bottom"/>
          </w:tcPr>
          <w:p w14:paraId="3B7EE3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bottom"/>
          </w:tcPr>
          <w:p w14:paraId="17F84B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bottom"/>
          </w:tcPr>
          <w:p w14:paraId="12FC98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bottom"/>
          </w:tcPr>
          <w:p w14:paraId="149F13B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bottom"/>
          </w:tcPr>
          <w:p w14:paraId="69147D9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bottom"/>
          </w:tcPr>
          <w:p w14:paraId="55B23E2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bottom"/>
          </w:tcPr>
          <w:p w14:paraId="330062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2C081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556B63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3DF8D4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3B1E0BE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58EBA11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2CF3AB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3D557F3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bottom"/>
          </w:tcPr>
          <w:p w14:paraId="14736C3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bottom"/>
          </w:tcPr>
          <w:p w14:paraId="780CDB6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bottom"/>
          </w:tcPr>
          <w:p w14:paraId="17ECFD3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bottom"/>
          </w:tcPr>
          <w:p w14:paraId="322B7C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bottom"/>
          </w:tcPr>
          <w:p w14:paraId="42F42C7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bottom"/>
          </w:tcPr>
          <w:p w14:paraId="63D642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bottom"/>
          </w:tcPr>
          <w:p w14:paraId="4AEA5B3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bl>
    <w:p w14:paraId="1F8F3C6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表5.2-1</w:t>
      </w:r>
      <w:r>
        <w:rPr>
          <w:rFonts w:hint="eastAsia"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非正常工况贡献值预测结果表</w:t>
      </w:r>
    </w:p>
    <w:tbl>
      <w:tblPr>
        <w:tblStyle w:val="2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2"/>
        <w:gridCol w:w="1234"/>
        <w:gridCol w:w="1477"/>
        <w:gridCol w:w="1259"/>
        <w:gridCol w:w="1600"/>
        <w:gridCol w:w="1126"/>
        <w:gridCol w:w="1310"/>
        <w:gridCol w:w="2167"/>
        <w:gridCol w:w="1336"/>
        <w:gridCol w:w="901"/>
        <w:gridCol w:w="898"/>
      </w:tblGrid>
      <w:tr w14:paraId="5E89F2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6" w:type="pct"/>
            <w:shd w:val="clear" w:color="auto" w:fill="auto"/>
            <w:noWrap/>
            <w:vAlign w:val="center"/>
          </w:tcPr>
          <w:p w14:paraId="071BECF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444" w:type="pct"/>
            <w:noWrap/>
            <w:vAlign w:val="center"/>
          </w:tcPr>
          <w:p w14:paraId="1F54E24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32" w:type="pct"/>
            <w:noWrap/>
            <w:vAlign w:val="center"/>
          </w:tcPr>
          <w:p w14:paraId="4ACFA3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53" w:type="pct"/>
            <w:noWrap/>
            <w:vAlign w:val="center"/>
          </w:tcPr>
          <w:p w14:paraId="7FE08D1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6" w:type="pct"/>
            <w:noWrap/>
            <w:vAlign w:val="center"/>
          </w:tcPr>
          <w:p w14:paraId="58E59D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5" w:type="pct"/>
            <w:noWrap/>
            <w:vAlign w:val="center"/>
          </w:tcPr>
          <w:p w14:paraId="21B1A6B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71" w:type="pct"/>
            <w:noWrap/>
            <w:vAlign w:val="center"/>
          </w:tcPr>
          <w:p w14:paraId="7C87FB2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780" w:type="pct"/>
            <w:noWrap/>
            <w:vAlign w:val="center"/>
          </w:tcPr>
          <w:p w14:paraId="4DF46A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81" w:type="pct"/>
            <w:noWrap/>
            <w:vAlign w:val="center"/>
          </w:tcPr>
          <w:p w14:paraId="0189FA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24" w:type="pct"/>
            <w:noWrap/>
            <w:vAlign w:val="center"/>
          </w:tcPr>
          <w:p w14:paraId="0AF87E2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23" w:type="pct"/>
            <w:noWrap/>
            <w:vAlign w:val="center"/>
          </w:tcPr>
          <w:p w14:paraId="4A2A323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2CD96A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6" w:type="pct"/>
            <w:vMerge w:val="restart"/>
            <w:noWrap/>
            <w:vAlign w:val="center"/>
          </w:tcPr>
          <w:p w14:paraId="4886751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44" w:type="pct"/>
            <w:noWrap/>
            <w:vAlign w:val="center"/>
          </w:tcPr>
          <w:p w14:paraId="1D08E7D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32" w:type="pct"/>
            <w:noWrap/>
            <w:vAlign w:val="center"/>
          </w:tcPr>
          <w:p w14:paraId="3DADD3D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53" w:type="pct"/>
            <w:noWrap/>
            <w:vAlign w:val="center"/>
          </w:tcPr>
          <w:p w14:paraId="205CBA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76" w:type="pct"/>
            <w:noWrap/>
            <w:vAlign w:val="center"/>
          </w:tcPr>
          <w:p w14:paraId="4F1141E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5" w:type="pct"/>
            <w:noWrap/>
            <w:vAlign w:val="bottom"/>
          </w:tcPr>
          <w:p w14:paraId="02F7BAF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71" w:type="pct"/>
            <w:noWrap/>
            <w:vAlign w:val="bottom"/>
          </w:tcPr>
          <w:p w14:paraId="3728AD2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780" w:type="pct"/>
            <w:noWrap/>
            <w:vAlign w:val="bottom"/>
          </w:tcPr>
          <w:p w14:paraId="5F01E4F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81" w:type="pct"/>
            <w:noWrap/>
            <w:vAlign w:val="bottom"/>
          </w:tcPr>
          <w:p w14:paraId="22A660B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24" w:type="pct"/>
            <w:noWrap/>
            <w:vAlign w:val="bottom"/>
          </w:tcPr>
          <w:p w14:paraId="7D8739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23" w:type="pct"/>
            <w:noWrap/>
            <w:vAlign w:val="bottom"/>
          </w:tcPr>
          <w:p w14:paraId="304DAF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2C153C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6" w:type="pct"/>
            <w:vMerge w:val="continue"/>
            <w:noWrap/>
            <w:vAlign w:val="center"/>
          </w:tcPr>
          <w:p w14:paraId="732025C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44" w:type="pct"/>
            <w:noWrap/>
            <w:vAlign w:val="center"/>
          </w:tcPr>
          <w:p w14:paraId="745C78F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32" w:type="pct"/>
            <w:noWrap/>
            <w:vAlign w:val="bottom"/>
          </w:tcPr>
          <w:p w14:paraId="05FEB09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453" w:type="pct"/>
            <w:noWrap/>
            <w:vAlign w:val="bottom"/>
          </w:tcPr>
          <w:p w14:paraId="14D8CC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576" w:type="pct"/>
            <w:noWrap/>
            <w:vAlign w:val="bottom"/>
          </w:tcPr>
          <w:p w14:paraId="04AD7F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405" w:type="pct"/>
            <w:noWrap/>
            <w:vAlign w:val="bottom"/>
          </w:tcPr>
          <w:p w14:paraId="626967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71" w:type="pct"/>
            <w:noWrap/>
            <w:vAlign w:val="bottom"/>
          </w:tcPr>
          <w:p w14:paraId="3E7FABB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780" w:type="pct"/>
            <w:noWrap/>
            <w:vAlign w:val="bottom"/>
          </w:tcPr>
          <w:p w14:paraId="00A46EE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81" w:type="pct"/>
            <w:noWrap/>
            <w:vAlign w:val="bottom"/>
          </w:tcPr>
          <w:p w14:paraId="17287D0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24" w:type="pct"/>
            <w:noWrap/>
            <w:vAlign w:val="bottom"/>
          </w:tcPr>
          <w:p w14:paraId="4ADCC29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23" w:type="pct"/>
            <w:noWrap/>
            <w:vAlign w:val="bottom"/>
          </w:tcPr>
          <w:p w14:paraId="4639B2A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bl>
    <w:p w14:paraId="6A7FE2C7">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7073994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5C2075B4">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sectPr>
          <w:pgSz w:w="16838" w:h="11906" w:orient="landscape"/>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4AFC8D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3AF86235">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图5.2-8  </w:t>
      </w:r>
      <w:r>
        <w:rPr>
          <w:rFonts w:hint="eastAsia" w:ascii="Times New Roman" w:hAnsi="Times New Roman" w:cs="Times New Roman" w:eastAsiaTheme="minorEastAsia"/>
          <w:b/>
          <w:bCs/>
          <w:color w:val="auto"/>
          <w:sz w:val="21"/>
          <w:szCs w:val="21"/>
          <w:highlight w:val="none"/>
          <w:lang w:val="en-US" w:eastAsia="zh-CN"/>
        </w:rPr>
        <w:t>PM</w:t>
      </w:r>
      <w:r>
        <w:rPr>
          <w:rFonts w:hint="eastAsia" w:ascii="Times New Roman" w:hAnsi="Times New Roman" w:cs="Times New Roman" w:eastAsiaTheme="minorEastAsia"/>
          <w:b/>
          <w:bCs/>
          <w:color w:val="auto"/>
          <w:sz w:val="21"/>
          <w:szCs w:val="21"/>
          <w:highlight w:val="none"/>
          <w:vertAlign w:val="subscript"/>
          <w:lang w:val="en-US" w:eastAsia="zh-CN"/>
        </w:rPr>
        <w:t>10</w:t>
      </w:r>
      <w:r>
        <w:rPr>
          <w:rFonts w:hint="default" w:ascii="Times New Roman" w:hAnsi="Times New Roman" w:cs="Times New Roman" w:eastAsiaTheme="minorEastAsia"/>
          <w:b/>
          <w:bCs/>
          <w:color w:val="auto"/>
          <w:sz w:val="21"/>
          <w:szCs w:val="21"/>
          <w:highlight w:val="none"/>
        </w:rPr>
        <w:t>日均值叠加浓度分布图</w:t>
      </w:r>
    </w:p>
    <w:p w14:paraId="75D7203C">
      <w:pPr>
        <w:pStyle w:val="2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650EC501">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图5.2-9  </w:t>
      </w:r>
      <w:r>
        <w:rPr>
          <w:rFonts w:hint="eastAsia" w:ascii="Times New Roman" w:hAnsi="Times New Roman" w:cs="Times New Roman" w:eastAsiaTheme="minorEastAsia"/>
          <w:b/>
          <w:bCs/>
          <w:color w:val="auto"/>
          <w:sz w:val="21"/>
          <w:szCs w:val="21"/>
          <w:highlight w:val="none"/>
          <w:lang w:val="en-US" w:eastAsia="zh-CN"/>
        </w:rPr>
        <w:t>PM</w:t>
      </w:r>
      <w:r>
        <w:rPr>
          <w:rFonts w:hint="eastAsia" w:ascii="Times New Roman" w:hAnsi="Times New Roman" w:cs="Times New Roman" w:eastAsiaTheme="minorEastAsia"/>
          <w:b/>
          <w:bCs/>
          <w:color w:val="auto"/>
          <w:sz w:val="21"/>
          <w:szCs w:val="21"/>
          <w:highlight w:val="none"/>
          <w:vertAlign w:val="subscript"/>
          <w:lang w:val="en-US" w:eastAsia="zh-CN"/>
        </w:rPr>
        <w:t>10</w:t>
      </w:r>
      <w:r>
        <w:rPr>
          <w:rFonts w:hint="default" w:ascii="Times New Roman" w:hAnsi="Times New Roman" w:cs="Times New Roman" w:eastAsiaTheme="minorEastAsia"/>
          <w:b/>
          <w:bCs/>
          <w:color w:val="auto"/>
          <w:sz w:val="21"/>
          <w:szCs w:val="21"/>
          <w:highlight w:val="none"/>
        </w:rPr>
        <w:t>年均值叠加浓度分布图</w:t>
      </w:r>
    </w:p>
    <w:p w14:paraId="0595B3BD">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p>
    <w:p w14:paraId="72734302">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图5.2-10  </w:t>
      </w:r>
      <w:r>
        <w:rPr>
          <w:rFonts w:hint="eastAsia" w:ascii="Times New Roman" w:hAnsi="Times New Roman" w:cs="Times New Roman" w:eastAsiaTheme="minorEastAsia"/>
          <w:b/>
          <w:bCs/>
          <w:color w:val="auto"/>
          <w:sz w:val="21"/>
          <w:szCs w:val="21"/>
          <w:highlight w:val="none"/>
          <w:lang w:val="en-US" w:eastAsia="zh-CN"/>
        </w:rPr>
        <w:t>硫酸雾小时</w:t>
      </w:r>
      <w:r>
        <w:rPr>
          <w:rFonts w:hint="default" w:ascii="Times New Roman" w:hAnsi="Times New Roman" w:cs="Times New Roman" w:eastAsiaTheme="minorEastAsia"/>
          <w:b/>
          <w:bCs/>
          <w:color w:val="auto"/>
          <w:sz w:val="21"/>
          <w:szCs w:val="21"/>
          <w:highlight w:val="none"/>
        </w:rPr>
        <w:t>值叠加浓度分布图</w:t>
      </w:r>
    </w:p>
    <w:p w14:paraId="469A4FEC">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p>
    <w:p w14:paraId="5D3202E3">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图5.2-11  </w:t>
      </w:r>
      <w:r>
        <w:rPr>
          <w:rFonts w:hint="eastAsia" w:ascii="Times New Roman" w:hAnsi="Times New Roman" w:cs="Times New Roman" w:eastAsiaTheme="minorEastAsia"/>
          <w:b/>
          <w:bCs/>
          <w:color w:val="auto"/>
          <w:sz w:val="21"/>
          <w:szCs w:val="21"/>
          <w:highlight w:val="none"/>
          <w:lang w:val="en-US" w:eastAsia="zh-CN"/>
        </w:rPr>
        <w:t>硫酸雾日均值</w:t>
      </w:r>
      <w:r>
        <w:rPr>
          <w:rFonts w:hint="default" w:ascii="Times New Roman" w:hAnsi="Times New Roman" w:cs="Times New Roman" w:eastAsiaTheme="minorEastAsia"/>
          <w:b/>
          <w:bCs/>
          <w:color w:val="auto"/>
          <w:sz w:val="21"/>
          <w:szCs w:val="21"/>
          <w:highlight w:val="none"/>
        </w:rPr>
        <w:t>叠加浓度分布图</w:t>
      </w:r>
    </w:p>
    <w:p w14:paraId="713222BB">
      <w:pPr>
        <w:pStyle w:val="2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0F71CDC1">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图5.2-12  </w:t>
      </w:r>
      <w:r>
        <w:rPr>
          <w:rFonts w:hint="eastAsia" w:ascii="Times New Roman" w:hAnsi="Times New Roman" w:cs="Times New Roman" w:eastAsiaTheme="minorEastAsia"/>
          <w:b/>
          <w:bCs/>
          <w:color w:val="auto"/>
          <w:sz w:val="21"/>
          <w:szCs w:val="21"/>
          <w:highlight w:val="none"/>
          <w:lang w:val="en-US" w:eastAsia="zh-CN"/>
        </w:rPr>
        <w:t>TSP</w:t>
      </w:r>
      <w:r>
        <w:rPr>
          <w:rFonts w:hint="default" w:ascii="Times New Roman" w:hAnsi="Times New Roman" w:cs="Times New Roman" w:eastAsiaTheme="minorEastAsia"/>
          <w:b/>
          <w:bCs/>
          <w:color w:val="auto"/>
          <w:sz w:val="21"/>
          <w:szCs w:val="21"/>
          <w:highlight w:val="none"/>
        </w:rPr>
        <w:t>日均值叠加浓度分布图</w:t>
      </w:r>
    </w:p>
    <w:p w14:paraId="54B533F8">
      <w:pPr>
        <w:pStyle w:val="2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2D610DF6">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图5.2-13  </w:t>
      </w:r>
      <w:r>
        <w:rPr>
          <w:rFonts w:hint="eastAsia" w:ascii="Times New Roman" w:hAnsi="Times New Roman" w:cs="Times New Roman" w:eastAsiaTheme="minorEastAsia"/>
          <w:b/>
          <w:bCs/>
          <w:color w:val="auto"/>
          <w:sz w:val="21"/>
          <w:szCs w:val="21"/>
          <w:highlight w:val="none"/>
          <w:lang w:val="en-US" w:eastAsia="zh-CN"/>
        </w:rPr>
        <w:t>TSP</w:t>
      </w:r>
      <w:r>
        <w:rPr>
          <w:rFonts w:hint="default" w:ascii="Times New Roman" w:hAnsi="Times New Roman" w:cs="Times New Roman" w:eastAsiaTheme="minorEastAsia"/>
          <w:b/>
          <w:bCs/>
          <w:color w:val="auto"/>
          <w:sz w:val="21"/>
          <w:szCs w:val="21"/>
          <w:highlight w:val="none"/>
        </w:rPr>
        <w:t>年均值叠加浓度分布图</w:t>
      </w:r>
    </w:p>
    <w:bookmarkEnd w:id="176"/>
    <w:bookmarkEnd w:id="177"/>
    <w:p w14:paraId="269FC94E">
      <w:pPr>
        <w:pStyle w:val="129"/>
        <w:pageBreakBefore w:val="0"/>
        <w:numPr>
          <w:ilvl w:val="0"/>
          <w:numId w:val="5"/>
        </w:numPr>
        <w:wordWrap/>
        <w:topLinePunct w:val="0"/>
        <w:bidi w:val="0"/>
        <w:adjustRightInd w:val="0"/>
        <w:snapToGrid w:val="0"/>
        <w:ind w:left="0" w:leftChars="0" w:right="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贡献值最大浓度占标率</w:t>
      </w:r>
    </w:p>
    <w:p w14:paraId="7170DAEB">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由表5.2-14可知：正常排放条件下，污染物在环境保护目标及网格点处的最大浓度占标率均＜</w:t>
      </w:r>
      <w:r>
        <w:rPr>
          <w:rFonts w:hint="eastAsia"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w:t>
      </w:r>
    </w:p>
    <w:p w14:paraId="1A1660F2">
      <w:pPr>
        <w:pStyle w:val="158"/>
        <w:pageBreakBefore w:val="0"/>
        <w:numPr>
          <w:ilvl w:val="0"/>
          <w:numId w:val="5"/>
        </w:numPr>
        <w:wordWrap/>
        <w:topLinePunct w:val="0"/>
        <w:bidi w:val="0"/>
        <w:adjustRightInd w:val="0"/>
        <w:snapToGrid w:val="0"/>
        <w:spacing w:line="500" w:lineRule="exact"/>
        <w:ind w:left="0" w:leftChars="0" w:right="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叠加环境质量现状最大浓度占标率</w:t>
      </w:r>
    </w:p>
    <w:p w14:paraId="4836850B">
      <w:pPr>
        <w:pStyle w:val="158"/>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由表5.2-15可知，</w:t>
      </w:r>
      <w:r>
        <w:rPr>
          <w:rFonts w:hint="default" w:ascii="Times New Roman" w:hAnsi="Times New Roman" w:cs="Times New Roman"/>
          <w:color w:val="auto"/>
          <w:highlight w:val="none"/>
          <w:lang w:val="de-DE"/>
        </w:rPr>
        <w:t>本次排放的PM</w:t>
      </w:r>
      <w:r>
        <w:rPr>
          <w:rFonts w:hint="default" w:ascii="Times New Roman" w:hAnsi="Times New Roman" w:cs="Times New Roman"/>
          <w:color w:val="auto"/>
          <w:highlight w:val="none"/>
          <w:vertAlign w:val="subscript"/>
          <w:lang w:val="de-DE"/>
        </w:rPr>
        <w:t>10</w:t>
      </w:r>
      <w:r>
        <w:rPr>
          <w:rFonts w:hint="default" w:ascii="Times New Roman" w:hAnsi="Times New Roman" w:cs="Times New Roman"/>
          <w:color w:val="auto"/>
          <w:highlight w:val="none"/>
          <w:lang w:val="de-DE"/>
        </w:rPr>
        <w:t>最大落地浓度贡献值叠加现状背景浓度后，环境保护目标及预测网格内的PM</w:t>
      </w:r>
      <w:r>
        <w:rPr>
          <w:rFonts w:hint="default" w:ascii="Times New Roman" w:hAnsi="Times New Roman" w:cs="Times New Roman"/>
          <w:color w:val="auto"/>
          <w:highlight w:val="none"/>
          <w:vertAlign w:val="subscript"/>
          <w:lang w:val="de-DE"/>
        </w:rPr>
        <w:t>10</w:t>
      </w:r>
      <w:r>
        <w:rPr>
          <w:rFonts w:hint="default" w:ascii="Times New Roman" w:hAnsi="Times New Roman" w:cs="Times New Roman"/>
          <w:color w:val="auto"/>
          <w:highlight w:val="none"/>
          <w:lang w:val="de-DE"/>
        </w:rPr>
        <w:t>保证率年均浓度叠加值出现超标，超标主要是因为现状背景</w:t>
      </w:r>
      <w:r>
        <w:rPr>
          <w:rFonts w:hint="default" w:ascii="Times New Roman" w:hAnsi="Times New Roman" w:cs="Times New Roman"/>
          <w:color w:val="auto"/>
          <w:highlight w:val="none"/>
        </w:rPr>
        <w:t>值已经超标。</w:t>
      </w:r>
    </w:p>
    <w:p w14:paraId="51158DF2">
      <w:pPr>
        <w:pStyle w:val="158"/>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新增污染物</w:t>
      </w:r>
      <w:r>
        <w:rPr>
          <w:rFonts w:hint="default" w:ascii="Times New Roman" w:hAnsi="Times New Roman" w:cs="Times New Roman"/>
          <w:color w:val="auto"/>
          <w:highlight w:val="none"/>
          <w:lang w:val="de-DE"/>
        </w:rPr>
        <w:t>最大落地浓度贡献值叠加现状背景浓度后，</w:t>
      </w:r>
      <w:r>
        <w:rPr>
          <w:rFonts w:hint="default" w:ascii="Times New Roman" w:hAnsi="Times New Roman" w:cs="Times New Roman"/>
          <w:color w:val="auto"/>
          <w:highlight w:val="none"/>
        </w:rPr>
        <w:t>环境空气保护目标及网格点处的</w:t>
      </w:r>
      <w:r>
        <w:rPr>
          <w:rFonts w:hint="eastAsia" w:cs="Times New Roman"/>
          <w:color w:val="auto"/>
          <w:highlight w:val="none"/>
          <w:lang w:val="en-US" w:eastAsia="zh-CN"/>
        </w:rPr>
        <w:t>TSP</w:t>
      </w:r>
      <w:r>
        <w:rPr>
          <w:rFonts w:hint="default" w:ascii="Times New Roman" w:hAnsi="Times New Roman" w:cs="Times New Roman"/>
          <w:color w:val="auto"/>
          <w:highlight w:val="none"/>
        </w:rPr>
        <w:t>的保证率日平均质量浓度和年平均质量浓度均符合《环境空气质量标准》（GB3095-2012）中二类功能区限值要求；</w:t>
      </w:r>
    </w:p>
    <w:p w14:paraId="2751786F">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新增污染物（</w:t>
      </w:r>
      <w:r>
        <w:rPr>
          <w:rFonts w:hint="eastAsia" w:ascii="Times New Roman" w:hAnsi="Times New Roman" w:eastAsia="宋体" w:cs="Times New Roman"/>
          <w:color w:val="auto"/>
          <w:highlight w:val="none"/>
          <w:lang w:val="en-US" w:eastAsia="zh-CN"/>
        </w:rPr>
        <w:t>硫酸雾</w:t>
      </w:r>
      <w:r>
        <w:rPr>
          <w:rFonts w:hint="default" w:ascii="Times New Roman" w:hAnsi="Times New Roman" w:eastAsia="宋体" w:cs="Times New Roman"/>
          <w:color w:val="auto"/>
          <w:highlight w:val="none"/>
        </w:rPr>
        <w:t>）最大落地浓度贡献值叠加现状背景浓度后，环境保护目标及网格点处的短期浓度均满足相应的环境质量标准。</w:t>
      </w:r>
    </w:p>
    <w:p w14:paraId="222D7747">
      <w:pPr>
        <w:pageBreakBefore w:val="0"/>
        <w:wordWrap/>
        <w:topLinePunct w:val="0"/>
        <w:bidi w:val="0"/>
        <w:adjustRightInd w:val="0"/>
        <w:snapToGrid w:val="0"/>
        <w:spacing w:line="500" w:lineRule="exact"/>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③非正常工况</w:t>
      </w:r>
    </w:p>
    <w:p w14:paraId="1E08C3BA">
      <w:pPr>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由表5.2-16可知，非正常排放条件下环境空气保护目标和网格点处的</w:t>
      </w:r>
      <w:r>
        <w:rPr>
          <w:rFonts w:hint="eastAsia" w:cs="Times New Roman"/>
          <w:color w:val="auto"/>
          <w:highlight w:val="none"/>
          <w:lang w:val="en-US" w:eastAsia="zh-CN"/>
        </w:rPr>
        <w:t>PM</w:t>
      </w:r>
      <w:r>
        <w:rPr>
          <w:rFonts w:hint="eastAsia" w:cs="Times New Roman"/>
          <w:color w:val="auto"/>
          <w:highlight w:val="none"/>
          <w:vertAlign w:val="subscript"/>
          <w:lang w:val="en-US" w:eastAsia="zh-CN"/>
        </w:rPr>
        <w:t>10</w:t>
      </w:r>
      <w:r>
        <w:rPr>
          <w:rFonts w:hint="default" w:ascii="Times New Roman" w:hAnsi="Times New Roman" w:cs="Times New Roman"/>
          <w:color w:val="auto"/>
          <w:highlight w:val="none"/>
        </w:rPr>
        <w:t>出现超标情况，建设单位应加强大气污染防治设施的检查维修，尽可能减少非正常工况的发生。</w:t>
      </w:r>
    </w:p>
    <w:p w14:paraId="17A6ACAC">
      <w:pPr>
        <w:pStyle w:val="149"/>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※环境影响可接受结论</w:t>
      </w:r>
    </w:p>
    <w:p w14:paraId="188A4DEF">
      <w:pPr>
        <w:pStyle w:val="149"/>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《关于南疆四地州深度贫困地区实施</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环境影响评价技术导则 大气环境（HJ2.2-2018）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差别化政策有关事宜的复函》规定：“新增污染源正常排放下污染物短期浓度贡献值最大浓度占标率≤100%，新增污染源正常排放下污染物年均浓度贡献值最大浓度占标率≤30%（其中一类区≤10%），可认为大气环境影响可接受”；《关于将巴音郭楞蒙古自治州 吐鲁番市 哈密市纳入执行</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环境影响评价技术导则 大气环境（HJ2.2-2018）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差别化政策范围的复函》规定：“对巴音郭楞蒙古自治州、吐鲁番市和哈密市实施环境影响评价差别化政策，新建项目可不提供颗粒物区域削减方案，应按照《关于南疆四地州深度贫困地区实施</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环境影响评价技术导则 大气环境（HJ2.2-2018）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差别化政策有关事宜的复函》（环办环评函〔2019〕590号）的相关要求，加强建设项目大气环境影响评价和技术论证等工作，严格建设项目环境准入，统筹做好生态环境保护与脱贫攻坚工作”。本项目位于吐鲁番市鄯善县，项目新增污染源正常排放下污染物短期浓度贡献值最大浓度占标率≤100%，新增污染源正常排放下污染物年均浓度贡献值最大浓度占标率≤30%，则环境影响可接受。</w:t>
      </w:r>
    </w:p>
    <w:p w14:paraId="27B61BA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（10）大气环境防护距离</w:t>
      </w:r>
    </w:p>
    <w:p w14:paraId="4BCEF54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 大气环境》（HJ2.2-2018）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确定方法为：在底图</w:t>
      </w:r>
      <w:r>
        <w:rPr>
          <w:rFonts w:hint="eastAsia" w:cs="Times New Roman"/>
          <w:color w:val="auto"/>
          <w:highlight w:val="none"/>
          <w:lang w:eastAsia="zh-CN"/>
        </w:rPr>
        <w:t>中</w:t>
      </w:r>
      <w:r>
        <w:rPr>
          <w:rFonts w:hint="default" w:ascii="Times New Roman" w:hAnsi="Times New Roman" w:cs="Times New Roman"/>
          <w:color w:val="auto"/>
          <w:highlight w:val="none"/>
        </w:rPr>
        <w:t>标注从厂界起所有超过环境质量短期浓度标准值的网格区域，以自厂界起至超标区域的最远垂直距离作为大气环境防护距离。</w:t>
      </w:r>
    </w:p>
    <w:p w14:paraId="000DFC72">
      <w:pPr>
        <w:pageBreakBefore w:val="0"/>
        <w:wordWrap/>
        <w:topLinePunct w:val="0"/>
        <w:bidi w:val="0"/>
        <w:adjustRightInd w:val="0"/>
        <w:snapToGrid w:val="0"/>
        <w:ind w:left="0" w:leftChars="0" w:right="0" w:firstLine="480"/>
        <w:rPr>
          <w:rFonts w:hint="default" w:ascii="Times New Roman" w:hAnsi="Times New Roman" w:eastAsia="黑体" w:cs="Times New Roman"/>
          <w:snapToGrid w:val="0"/>
          <w:color w:val="auto"/>
          <w:spacing w:val="4"/>
          <w:highlight w:val="none"/>
        </w:rPr>
      </w:pPr>
      <w:r>
        <w:rPr>
          <w:rFonts w:hint="default" w:ascii="Times New Roman" w:hAnsi="Times New Roman" w:cs="Times New Roman"/>
          <w:color w:val="auto"/>
          <w:highlight w:val="none"/>
        </w:rPr>
        <w:t>经预测正常情况下各污染物厂界浓度均未超出环境质量标准浓度限值，因此不需设大气防护距离。</w:t>
      </w:r>
    </w:p>
    <w:p w14:paraId="1E282D9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（12）污染物排放量核算表</w:t>
      </w:r>
    </w:p>
    <w:p w14:paraId="526A297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有组织废气排放量见表5.2-1</w:t>
      </w:r>
      <w:r>
        <w:rPr>
          <w:rFonts w:hint="eastAsia" w:cs="Times New Roman"/>
          <w:color w:val="auto"/>
          <w:highlight w:val="none"/>
          <w:lang w:val="en-US" w:eastAsia="zh-CN"/>
        </w:rPr>
        <w:t>8</w:t>
      </w:r>
      <w:r>
        <w:rPr>
          <w:rFonts w:hint="default" w:ascii="Times New Roman" w:hAnsi="Times New Roman" w:cs="Times New Roman"/>
          <w:color w:val="auto"/>
          <w:highlight w:val="none"/>
        </w:rPr>
        <w:t>，无组织废气排放量见表5.2-1</w:t>
      </w:r>
      <w:r>
        <w:rPr>
          <w:rFonts w:hint="eastAsia" w:cs="Times New Roman"/>
          <w:color w:val="auto"/>
          <w:highlight w:val="none"/>
          <w:lang w:val="en-US" w:eastAsia="zh-CN"/>
        </w:rPr>
        <w:t>9</w:t>
      </w:r>
      <w:r>
        <w:rPr>
          <w:rFonts w:hint="default" w:ascii="Times New Roman" w:hAnsi="Times New Roman" w:cs="Times New Roman"/>
          <w:color w:val="auto"/>
          <w:highlight w:val="none"/>
        </w:rPr>
        <w:t>，大气污染物年排放量见表5.2-</w:t>
      </w:r>
      <w:r>
        <w:rPr>
          <w:rFonts w:hint="eastAsia" w:cs="Times New Roman"/>
          <w:color w:val="auto"/>
          <w:highlight w:val="none"/>
          <w:lang w:val="en-US" w:eastAsia="zh-CN"/>
        </w:rPr>
        <w:t>20</w:t>
      </w:r>
      <w:r>
        <w:rPr>
          <w:rFonts w:hint="default" w:ascii="Times New Roman" w:hAnsi="Times New Roman" w:cs="Times New Roman"/>
          <w:color w:val="auto"/>
          <w:highlight w:val="none"/>
        </w:rPr>
        <w:t>，非正常工况下污染物排放量见表5.2-2</w:t>
      </w:r>
      <w:r>
        <w:rPr>
          <w:rFonts w:hint="eastAsia" w:cs="Times New Roman"/>
          <w:color w:val="auto"/>
          <w:highlight w:val="none"/>
          <w:lang w:val="en-US" w:eastAsia="zh-CN"/>
        </w:rPr>
        <w:t>1</w:t>
      </w:r>
      <w:r>
        <w:rPr>
          <w:rFonts w:hint="default" w:ascii="Times New Roman" w:hAnsi="Times New Roman" w:cs="Times New Roman"/>
          <w:color w:val="auto"/>
          <w:highlight w:val="none"/>
        </w:rPr>
        <w:t>。</w:t>
      </w:r>
    </w:p>
    <w:p w14:paraId="64A42BD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表5.2-1</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大气污染物有组织排放量核算表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27"/>
        <w:gridCol w:w="1211"/>
        <w:gridCol w:w="1327"/>
        <w:gridCol w:w="1914"/>
        <w:gridCol w:w="2025"/>
        <w:gridCol w:w="1424"/>
      </w:tblGrid>
      <w:tr w14:paraId="362B28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14:paraId="30C1EEC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序号</w:t>
            </w:r>
          </w:p>
        </w:tc>
        <w:tc>
          <w:tcPr>
            <w:tcW w:w="710" w:type="pct"/>
            <w:tcBorders>
              <w:tl2br w:val="nil"/>
              <w:tr2bl w:val="nil"/>
            </w:tcBorders>
            <w:vAlign w:val="center"/>
          </w:tcPr>
          <w:p w14:paraId="63F88AD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排放口编号</w:t>
            </w:r>
          </w:p>
        </w:tc>
        <w:tc>
          <w:tcPr>
            <w:tcW w:w="778" w:type="pct"/>
            <w:tcBorders>
              <w:tl2br w:val="nil"/>
              <w:tr2bl w:val="nil"/>
            </w:tcBorders>
            <w:vAlign w:val="center"/>
          </w:tcPr>
          <w:p w14:paraId="7343932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污染物</w:t>
            </w:r>
          </w:p>
        </w:tc>
        <w:tc>
          <w:tcPr>
            <w:tcW w:w="1122" w:type="pct"/>
            <w:tcBorders>
              <w:tl2br w:val="nil"/>
              <w:tr2bl w:val="nil"/>
            </w:tcBorders>
            <w:vAlign w:val="center"/>
          </w:tcPr>
          <w:p w14:paraId="05A9EDE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核算排放浓度（mg/m</w:t>
            </w:r>
            <w:r>
              <w:rPr>
                <w:rFonts w:hint="default" w:ascii="Times New Roman" w:hAnsi="Times New Roman" w:cs="Times New Roman"/>
                <w:bCs/>
                <w:snapToGrid w:val="0"/>
                <w:color w:val="auto"/>
                <w:sz w:val="21"/>
                <w:szCs w:val="21"/>
                <w:highlight w:val="none"/>
                <w:vertAlign w:val="superscript"/>
              </w:rPr>
              <w:t>3</w:t>
            </w:r>
            <w:r>
              <w:rPr>
                <w:rFonts w:hint="default" w:ascii="Times New Roman" w:hAnsi="Times New Roman" w:cs="Times New Roman"/>
                <w:bCs/>
                <w:snapToGrid w:val="0"/>
                <w:color w:val="auto"/>
                <w:sz w:val="21"/>
                <w:szCs w:val="21"/>
                <w:highlight w:val="none"/>
              </w:rPr>
              <w:t>）</w:t>
            </w:r>
          </w:p>
        </w:tc>
        <w:tc>
          <w:tcPr>
            <w:tcW w:w="1187" w:type="pct"/>
            <w:tcBorders>
              <w:tl2br w:val="nil"/>
              <w:tr2bl w:val="nil"/>
            </w:tcBorders>
            <w:vAlign w:val="center"/>
          </w:tcPr>
          <w:p w14:paraId="10C64B2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核算排放速率（kg/h）</w:t>
            </w:r>
          </w:p>
        </w:tc>
        <w:tc>
          <w:tcPr>
            <w:tcW w:w="833" w:type="pct"/>
            <w:tcBorders>
              <w:tl2br w:val="nil"/>
              <w:tr2bl w:val="nil"/>
            </w:tcBorders>
            <w:vAlign w:val="center"/>
          </w:tcPr>
          <w:p w14:paraId="6DE3474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核算年排放量（t/a）</w:t>
            </w:r>
          </w:p>
        </w:tc>
      </w:tr>
      <w:tr w14:paraId="0A4F54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5E6FB15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一般排放口</w:t>
            </w:r>
          </w:p>
        </w:tc>
      </w:tr>
      <w:tr w14:paraId="32CB6D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8" w:type="pct"/>
            <w:tcBorders>
              <w:tl2br w:val="nil"/>
              <w:tr2bl w:val="nil"/>
            </w:tcBorders>
            <w:vAlign w:val="center"/>
          </w:tcPr>
          <w:p w14:paraId="237C81D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p>
        </w:tc>
        <w:tc>
          <w:tcPr>
            <w:tcW w:w="710" w:type="pct"/>
            <w:tcBorders>
              <w:tl2br w:val="nil"/>
              <w:tr2bl w:val="nil"/>
            </w:tcBorders>
            <w:vAlign w:val="center"/>
          </w:tcPr>
          <w:p w14:paraId="26FD926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DA001</w:t>
            </w:r>
          </w:p>
        </w:tc>
        <w:tc>
          <w:tcPr>
            <w:tcW w:w="778" w:type="pct"/>
            <w:tcBorders>
              <w:tl2br w:val="nil"/>
              <w:tr2bl w:val="nil"/>
            </w:tcBorders>
            <w:vAlign w:val="center"/>
          </w:tcPr>
          <w:p w14:paraId="2C81C81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914" w:type="dxa"/>
            <w:tcBorders>
              <w:tl2br w:val="nil"/>
              <w:tr2bl w:val="nil"/>
            </w:tcBorders>
            <w:vAlign w:val="center"/>
          </w:tcPr>
          <w:p w14:paraId="427FEED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b w:val="0"/>
                <w:bCs w:val="0"/>
                <w:color w:val="auto"/>
                <w:spacing w:val="0"/>
                <w:sz w:val="21"/>
                <w:szCs w:val="21"/>
                <w:highlight w:val="none"/>
                <w:u w:val="none" w:color="auto"/>
                <w:lang w:val="en-US" w:eastAsia="zh-CN"/>
              </w:rPr>
              <w:t>30.79</w:t>
            </w:r>
          </w:p>
        </w:tc>
        <w:tc>
          <w:tcPr>
            <w:tcW w:w="2025" w:type="dxa"/>
            <w:tcBorders>
              <w:tl2br w:val="nil"/>
              <w:tr2bl w:val="nil"/>
            </w:tcBorders>
            <w:vAlign w:val="center"/>
          </w:tcPr>
          <w:p w14:paraId="62A7A4F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c>
          <w:tcPr>
            <w:tcW w:w="1424" w:type="dxa"/>
            <w:tcBorders>
              <w:tl2br w:val="nil"/>
              <w:tr2bl w:val="nil"/>
            </w:tcBorders>
            <w:vAlign w:val="center"/>
          </w:tcPr>
          <w:p w14:paraId="211AFA7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r>
      <w:tr w14:paraId="03AE19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14:paraId="21ED88F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snapToGrid w:val="0"/>
                <w:color w:val="auto"/>
                <w:sz w:val="21"/>
                <w:szCs w:val="21"/>
                <w:highlight w:val="none"/>
                <w:lang w:eastAsia="zh-CN"/>
              </w:rPr>
            </w:pPr>
            <w:r>
              <w:rPr>
                <w:rFonts w:hint="eastAsia" w:cs="Times New Roman"/>
                <w:snapToGrid w:val="0"/>
                <w:color w:val="auto"/>
                <w:sz w:val="21"/>
                <w:szCs w:val="21"/>
                <w:highlight w:val="none"/>
                <w:lang w:val="en-US" w:eastAsia="zh-CN"/>
              </w:rPr>
              <w:t>2</w:t>
            </w:r>
          </w:p>
        </w:tc>
        <w:tc>
          <w:tcPr>
            <w:tcW w:w="710" w:type="pct"/>
            <w:tcBorders>
              <w:tl2br w:val="nil"/>
              <w:tr2bl w:val="nil"/>
            </w:tcBorders>
            <w:vAlign w:val="center"/>
          </w:tcPr>
          <w:p w14:paraId="319ADB3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DA002</w:t>
            </w:r>
          </w:p>
        </w:tc>
        <w:tc>
          <w:tcPr>
            <w:tcW w:w="778" w:type="pct"/>
            <w:tcBorders>
              <w:tl2br w:val="nil"/>
              <w:tr2bl w:val="nil"/>
            </w:tcBorders>
            <w:vAlign w:val="center"/>
          </w:tcPr>
          <w:p w14:paraId="3D705DE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914" w:type="dxa"/>
            <w:tcBorders>
              <w:tl2br w:val="nil"/>
              <w:tr2bl w:val="nil"/>
            </w:tcBorders>
            <w:vAlign w:val="center"/>
          </w:tcPr>
          <w:p w14:paraId="19A2771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b w:val="0"/>
                <w:bCs w:val="0"/>
                <w:color w:val="auto"/>
                <w:spacing w:val="0"/>
                <w:sz w:val="21"/>
                <w:szCs w:val="21"/>
                <w:highlight w:val="none"/>
                <w:u w:val="none" w:color="auto"/>
                <w:lang w:val="en-US" w:eastAsia="zh-CN"/>
              </w:rPr>
              <w:t>91.38</w:t>
            </w:r>
          </w:p>
        </w:tc>
        <w:tc>
          <w:tcPr>
            <w:tcW w:w="2025" w:type="dxa"/>
            <w:tcBorders>
              <w:tl2br w:val="nil"/>
              <w:tr2bl w:val="nil"/>
            </w:tcBorders>
            <w:vAlign w:val="center"/>
          </w:tcPr>
          <w:p w14:paraId="51E3592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c>
          <w:tcPr>
            <w:tcW w:w="1424" w:type="dxa"/>
            <w:tcBorders>
              <w:tl2br w:val="nil"/>
              <w:tr2bl w:val="nil"/>
            </w:tcBorders>
            <w:vAlign w:val="center"/>
          </w:tcPr>
          <w:p w14:paraId="7A3BEE6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r>
      <w:tr w14:paraId="060094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14:paraId="1DE26F4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3</w:t>
            </w:r>
          </w:p>
        </w:tc>
        <w:tc>
          <w:tcPr>
            <w:tcW w:w="710" w:type="pct"/>
            <w:tcBorders>
              <w:tl2br w:val="nil"/>
              <w:tr2bl w:val="nil"/>
            </w:tcBorders>
            <w:vAlign w:val="center"/>
          </w:tcPr>
          <w:p w14:paraId="18EC9AD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DA003</w:t>
            </w:r>
          </w:p>
        </w:tc>
        <w:tc>
          <w:tcPr>
            <w:tcW w:w="778" w:type="pct"/>
            <w:tcBorders>
              <w:tl2br w:val="nil"/>
              <w:tr2bl w:val="nil"/>
            </w:tcBorders>
            <w:vAlign w:val="center"/>
          </w:tcPr>
          <w:p w14:paraId="105E3904">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1914" w:type="dxa"/>
            <w:tcBorders>
              <w:tl2br w:val="nil"/>
              <w:tr2bl w:val="nil"/>
            </w:tcBorders>
            <w:vAlign w:val="center"/>
          </w:tcPr>
          <w:p w14:paraId="2C5B7FF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eastAsia" w:cs="Times New Roman"/>
                <w:b w:val="0"/>
                <w:bCs w:val="0"/>
                <w:color w:val="auto"/>
                <w:spacing w:val="0"/>
                <w:sz w:val="21"/>
                <w:szCs w:val="21"/>
                <w:highlight w:val="none"/>
                <w:u w:val="none" w:color="auto"/>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2.6</w:t>
            </w:r>
          </w:p>
        </w:tc>
        <w:tc>
          <w:tcPr>
            <w:tcW w:w="2025" w:type="dxa"/>
            <w:tcBorders>
              <w:tl2br w:val="nil"/>
              <w:tr2bl w:val="nil"/>
            </w:tcBorders>
            <w:vAlign w:val="center"/>
          </w:tcPr>
          <w:p w14:paraId="3E316C9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eastAsia" w:cs="Times New Roman"/>
                <w:b w:val="0"/>
                <w:bCs w:val="0"/>
                <w:color w:val="auto"/>
                <w:spacing w:val="0"/>
                <w:sz w:val="21"/>
                <w:szCs w:val="21"/>
                <w:highlight w:val="none"/>
                <w:u w:val="none" w:color="auto"/>
                <w:lang w:val="en-US" w:eastAsia="zh-CN"/>
              </w:rPr>
            </w:pPr>
          </w:p>
        </w:tc>
        <w:tc>
          <w:tcPr>
            <w:tcW w:w="1424" w:type="dxa"/>
            <w:tcBorders>
              <w:tl2br w:val="nil"/>
              <w:tr2bl w:val="nil"/>
            </w:tcBorders>
            <w:vAlign w:val="center"/>
          </w:tcPr>
          <w:p w14:paraId="5511C1B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eastAsia" w:cs="Times New Roman"/>
                <w:b w:val="0"/>
                <w:bCs w:val="0"/>
                <w:color w:val="auto"/>
                <w:spacing w:val="0"/>
                <w:sz w:val="21"/>
                <w:szCs w:val="21"/>
                <w:highlight w:val="none"/>
                <w:u w:val="none" w:color="auto"/>
                <w:lang w:val="en-US" w:eastAsia="zh-CN"/>
              </w:rPr>
            </w:pPr>
          </w:p>
        </w:tc>
      </w:tr>
    </w:tbl>
    <w:p w14:paraId="09FA4D5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19</w:t>
      </w:r>
      <w:r>
        <w:rPr>
          <w:rFonts w:hint="default" w:ascii="Times New Roman" w:hAnsi="Times New Roman" w:cs="Times New Roman"/>
          <w:b/>
          <w:bCs/>
          <w:color w:val="auto"/>
          <w:sz w:val="21"/>
          <w:szCs w:val="21"/>
          <w:highlight w:val="none"/>
        </w:rPr>
        <w:t xml:space="preserve">   大气污染物无组织排放量核算表</w:t>
      </w:r>
    </w:p>
    <w:p w14:paraId="7030D06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20</w:t>
      </w:r>
      <w:r>
        <w:rPr>
          <w:rFonts w:hint="default" w:ascii="Times New Roman" w:hAnsi="Times New Roman" w:cs="Times New Roman"/>
          <w:b/>
          <w:bCs/>
          <w:color w:val="auto"/>
          <w:sz w:val="21"/>
          <w:szCs w:val="21"/>
          <w:highlight w:val="none"/>
        </w:rPr>
        <w:t xml:space="preserve">  大气污染物年排放量核算表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566"/>
        <w:gridCol w:w="601"/>
        <w:gridCol w:w="2964"/>
        <w:gridCol w:w="651"/>
        <w:gridCol w:w="1514"/>
        <w:gridCol w:w="1113"/>
      </w:tblGrid>
      <w:tr w14:paraId="7161D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vMerge w:val="restart"/>
            <w:tcBorders>
              <w:tl2br w:val="nil"/>
              <w:tr2bl w:val="nil"/>
            </w:tcBorders>
            <w:noWrap w:val="0"/>
            <w:vAlign w:val="center"/>
          </w:tcPr>
          <w:p w14:paraId="79FE19D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污染工序</w:t>
            </w:r>
          </w:p>
        </w:tc>
        <w:tc>
          <w:tcPr>
            <w:tcW w:w="357" w:type="pct"/>
            <w:vMerge w:val="restart"/>
            <w:tcBorders>
              <w:tl2br w:val="nil"/>
              <w:tr2bl w:val="nil"/>
            </w:tcBorders>
            <w:noWrap w:val="0"/>
            <w:vAlign w:val="center"/>
          </w:tcPr>
          <w:p w14:paraId="09A50AC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污染物</w:t>
            </w:r>
          </w:p>
        </w:tc>
        <w:tc>
          <w:tcPr>
            <w:tcW w:w="2149" w:type="pct"/>
            <w:gridSpan w:val="2"/>
            <w:tcBorders>
              <w:tl2br w:val="nil"/>
              <w:tr2bl w:val="nil"/>
            </w:tcBorders>
            <w:noWrap w:val="0"/>
            <w:vAlign w:val="center"/>
          </w:tcPr>
          <w:p w14:paraId="7875D71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污染治理措施</w:t>
            </w:r>
          </w:p>
        </w:tc>
        <w:tc>
          <w:tcPr>
            <w:tcW w:w="900" w:type="pct"/>
            <w:vMerge w:val="restart"/>
            <w:tcBorders>
              <w:tl2br w:val="nil"/>
              <w:tr2bl w:val="nil"/>
            </w:tcBorders>
            <w:noWrap w:val="0"/>
            <w:vAlign w:val="center"/>
          </w:tcPr>
          <w:p w14:paraId="147BF12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排放速率</w:t>
            </w:r>
          </w:p>
          <w:p w14:paraId="1E0A809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kg/h</w:t>
            </w:r>
          </w:p>
        </w:tc>
        <w:tc>
          <w:tcPr>
            <w:tcW w:w="661" w:type="pct"/>
            <w:vMerge w:val="restart"/>
            <w:tcBorders>
              <w:tl2br w:val="nil"/>
              <w:tr2bl w:val="nil"/>
            </w:tcBorders>
            <w:noWrap w:val="0"/>
            <w:vAlign w:val="center"/>
          </w:tcPr>
          <w:p w14:paraId="15344AB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排放量</w:t>
            </w:r>
          </w:p>
          <w:p w14:paraId="1AE9BB4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t/a</w:t>
            </w:r>
          </w:p>
        </w:tc>
      </w:tr>
      <w:tr w14:paraId="5EF22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vMerge w:val="continue"/>
            <w:tcBorders>
              <w:tl2br w:val="nil"/>
              <w:tr2bl w:val="nil"/>
            </w:tcBorders>
            <w:noWrap w:val="0"/>
            <w:vAlign w:val="center"/>
          </w:tcPr>
          <w:p w14:paraId="30203D3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357" w:type="pct"/>
            <w:vMerge w:val="continue"/>
            <w:tcBorders>
              <w:tl2br w:val="nil"/>
              <w:tr2bl w:val="nil"/>
            </w:tcBorders>
            <w:noWrap w:val="0"/>
            <w:vAlign w:val="center"/>
          </w:tcPr>
          <w:p w14:paraId="7BAE0A1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1762" w:type="pct"/>
            <w:tcBorders>
              <w:tl2br w:val="nil"/>
              <w:tr2bl w:val="nil"/>
            </w:tcBorders>
            <w:noWrap w:val="0"/>
            <w:vAlign w:val="center"/>
          </w:tcPr>
          <w:p w14:paraId="3509FC6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治理措施</w:t>
            </w:r>
          </w:p>
        </w:tc>
        <w:tc>
          <w:tcPr>
            <w:tcW w:w="386" w:type="pct"/>
            <w:tcBorders>
              <w:tl2br w:val="nil"/>
              <w:tr2bl w:val="nil"/>
            </w:tcBorders>
            <w:noWrap w:val="0"/>
            <w:vAlign w:val="center"/>
          </w:tcPr>
          <w:p w14:paraId="4451E3F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效率</w:t>
            </w:r>
          </w:p>
          <w:p w14:paraId="4B303A6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w:t>
            </w:r>
          </w:p>
        </w:tc>
        <w:tc>
          <w:tcPr>
            <w:tcW w:w="900" w:type="pct"/>
            <w:vMerge w:val="continue"/>
            <w:tcBorders>
              <w:tl2br w:val="nil"/>
              <w:tr2bl w:val="nil"/>
            </w:tcBorders>
            <w:noWrap w:val="0"/>
            <w:vAlign w:val="center"/>
          </w:tcPr>
          <w:p w14:paraId="45D77CD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661" w:type="pct"/>
            <w:vMerge w:val="continue"/>
            <w:tcBorders>
              <w:tl2br w:val="nil"/>
              <w:tr2bl w:val="nil"/>
            </w:tcBorders>
            <w:noWrap w:val="0"/>
            <w:vAlign w:val="center"/>
          </w:tcPr>
          <w:p w14:paraId="2B453BF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r>
      <w:tr w14:paraId="78D73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tcBorders>
              <w:tl2br w:val="nil"/>
              <w:tr2bl w:val="nil"/>
            </w:tcBorders>
            <w:noWrap w:val="0"/>
            <w:vAlign w:val="center"/>
          </w:tcPr>
          <w:p w14:paraId="6F11975D">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装卸、运输扬尘</w:t>
            </w:r>
          </w:p>
        </w:tc>
        <w:tc>
          <w:tcPr>
            <w:tcW w:w="357" w:type="pct"/>
            <w:tcBorders>
              <w:tl2br w:val="nil"/>
              <w:tr2bl w:val="nil"/>
            </w:tcBorders>
            <w:noWrap w:val="0"/>
            <w:vAlign w:val="center"/>
          </w:tcPr>
          <w:p w14:paraId="0C12E295">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粉尘</w:t>
            </w:r>
          </w:p>
        </w:tc>
        <w:tc>
          <w:tcPr>
            <w:tcW w:w="1762" w:type="pct"/>
            <w:tcBorders>
              <w:tl2br w:val="nil"/>
              <w:tr2bl w:val="nil"/>
            </w:tcBorders>
            <w:noWrap w:val="0"/>
            <w:vAlign w:val="center"/>
          </w:tcPr>
          <w:p w14:paraId="5BFAB33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装卸扬尘采取降低物料装卸高度、减少物料转运环节、严禁在大风及暴雨天气进行物料采装、运输作业等措施抑尘。运输扬尘采取道路洒水、铺设道路碎石、控制运输车辆行驶速度及装载量、缩短物料运输距离、车厢篷布遮盖等措施</w:t>
            </w:r>
          </w:p>
        </w:tc>
        <w:tc>
          <w:tcPr>
            <w:tcW w:w="386" w:type="pct"/>
            <w:tcBorders>
              <w:tl2br w:val="nil"/>
              <w:tr2bl w:val="nil"/>
            </w:tcBorders>
            <w:noWrap w:val="0"/>
            <w:vAlign w:val="center"/>
          </w:tcPr>
          <w:p w14:paraId="467706B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80</w:t>
            </w:r>
          </w:p>
        </w:tc>
        <w:tc>
          <w:tcPr>
            <w:tcW w:w="900" w:type="pct"/>
            <w:tcBorders>
              <w:tl2br w:val="nil"/>
              <w:tr2bl w:val="nil"/>
            </w:tcBorders>
            <w:noWrap w:val="0"/>
            <w:vAlign w:val="center"/>
          </w:tcPr>
          <w:p w14:paraId="26B229E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767A353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354A4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tcBorders>
              <w:tl2br w:val="nil"/>
              <w:tr2bl w:val="nil"/>
            </w:tcBorders>
            <w:noWrap w:val="0"/>
            <w:vAlign w:val="center"/>
          </w:tcPr>
          <w:p w14:paraId="4C13DA5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sz w:val="21"/>
                <w:szCs w:val="21"/>
                <w:highlight w:val="none"/>
                <w:u w:val="none" w:color="auto"/>
                <w:lang w:val="en-US" w:eastAsia="zh-CN"/>
              </w:rPr>
              <w:t>一级破碎</w:t>
            </w:r>
          </w:p>
        </w:tc>
        <w:tc>
          <w:tcPr>
            <w:tcW w:w="357" w:type="pct"/>
            <w:tcBorders>
              <w:tl2br w:val="nil"/>
              <w:tr2bl w:val="nil"/>
            </w:tcBorders>
            <w:noWrap w:val="0"/>
            <w:vAlign w:val="center"/>
          </w:tcPr>
          <w:p w14:paraId="2A1C7065">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762" w:type="pct"/>
            <w:tcBorders>
              <w:tl2br w:val="nil"/>
              <w:tr2bl w:val="nil"/>
            </w:tcBorders>
            <w:noWrap w:val="0"/>
            <w:vAlign w:val="center"/>
          </w:tcPr>
          <w:p w14:paraId="086A0D7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386" w:type="pct"/>
            <w:tcBorders>
              <w:tl2br w:val="nil"/>
              <w:tr2bl w:val="nil"/>
            </w:tcBorders>
            <w:noWrap w:val="0"/>
            <w:vAlign w:val="center"/>
          </w:tcPr>
          <w:p w14:paraId="229F85C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74</w:t>
            </w:r>
          </w:p>
        </w:tc>
        <w:tc>
          <w:tcPr>
            <w:tcW w:w="900" w:type="pct"/>
            <w:tcBorders>
              <w:tl2br w:val="nil"/>
              <w:tr2bl w:val="nil"/>
            </w:tcBorders>
            <w:noWrap w:val="0"/>
            <w:vAlign w:val="center"/>
          </w:tcPr>
          <w:p w14:paraId="0732309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7954211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p>
        </w:tc>
      </w:tr>
      <w:tr w14:paraId="2D17B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tcBorders>
              <w:tl2br w:val="nil"/>
              <w:tr2bl w:val="nil"/>
            </w:tcBorders>
            <w:noWrap w:val="0"/>
            <w:vAlign w:val="center"/>
          </w:tcPr>
          <w:p w14:paraId="57E4856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二级破碎</w:t>
            </w:r>
          </w:p>
        </w:tc>
        <w:tc>
          <w:tcPr>
            <w:tcW w:w="357" w:type="pct"/>
            <w:tcBorders>
              <w:tl2br w:val="nil"/>
              <w:tr2bl w:val="nil"/>
            </w:tcBorders>
            <w:noWrap w:val="0"/>
            <w:vAlign w:val="center"/>
          </w:tcPr>
          <w:p w14:paraId="590EBF22">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762" w:type="pct"/>
            <w:tcBorders>
              <w:tl2br w:val="nil"/>
              <w:tr2bl w:val="nil"/>
            </w:tcBorders>
            <w:noWrap w:val="0"/>
            <w:vAlign w:val="center"/>
          </w:tcPr>
          <w:p w14:paraId="445AB7F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386" w:type="pct"/>
            <w:tcBorders>
              <w:tl2br w:val="nil"/>
              <w:tr2bl w:val="nil"/>
            </w:tcBorders>
            <w:noWrap w:val="0"/>
            <w:vAlign w:val="center"/>
          </w:tcPr>
          <w:p w14:paraId="254372D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74</w:t>
            </w:r>
          </w:p>
        </w:tc>
        <w:tc>
          <w:tcPr>
            <w:tcW w:w="900" w:type="pct"/>
            <w:tcBorders>
              <w:tl2br w:val="nil"/>
              <w:tr2bl w:val="nil"/>
            </w:tcBorders>
            <w:noWrap w:val="0"/>
            <w:vAlign w:val="center"/>
          </w:tcPr>
          <w:p w14:paraId="59604F0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0A0CBC6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p>
        </w:tc>
      </w:tr>
      <w:tr w14:paraId="043D5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tcBorders>
              <w:tl2br w:val="nil"/>
              <w:tr2bl w:val="nil"/>
            </w:tcBorders>
            <w:noWrap w:val="0"/>
            <w:vAlign w:val="center"/>
          </w:tcPr>
          <w:p w14:paraId="06DAD94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硫酸储罐无组织废气</w:t>
            </w:r>
          </w:p>
        </w:tc>
        <w:tc>
          <w:tcPr>
            <w:tcW w:w="357" w:type="pct"/>
            <w:tcBorders>
              <w:tl2br w:val="nil"/>
              <w:tr2bl w:val="nil"/>
            </w:tcBorders>
            <w:noWrap w:val="0"/>
            <w:vAlign w:val="center"/>
          </w:tcPr>
          <w:p w14:paraId="5C2C067C">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硫酸雾</w:t>
            </w:r>
          </w:p>
        </w:tc>
        <w:tc>
          <w:tcPr>
            <w:tcW w:w="1762" w:type="pct"/>
            <w:tcBorders>
              <w:tl2br w:val="nil"/>
              <w:tr2bl w:val="nil"/>
            </w:tcBorders>
            <w:noWrap w:val="0"/>
            <w:vAlign w:val="center"/>
          </w:tcPr>
          <w:p w14:paraId="56EF574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加强管理</w:t>
            </w:r>
          </w:p>
        </w:tc>
        <w:tc>
          <w:tcPr>
            <w:tcW w:w="386" w:type="pct"/>
            <w:tcBorders>
              <w:tl2br w:val="nil"/>
              <w:tr2bl w:val="nil"/>
            </w:tcBorders>
            <w:noWrap w:val="0"/>
            <w:vAlign w:val="center"/>
          </w:tcPr>
          <w:p w14:paraId="2101263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900" w:type="pct"/>
            <w:tcBorders>
              <w:tl2br w:val="nil"/>
              <w:tr2bl w:val="nil"/>
            </w:tcBorders>
            <w:noWrap w:val="0"/>
            <w:vAlign w:val="center"/>
          </w:tcPr>
          <w:p w14:paraId="63108F5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64CF064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p>
        </w:tc>
      </w:tr>
      <w:tr w14:paraId="001B0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931" w:type="pct"/>
            <w:vMerge w:val="restart"/>
            <w:tcBorders>
              <w:tl2br w:val="nil"/>
              <w:tr2bl w:val="nil"/>
            </w:tcBorders>
            <w:noWrap w:val="0"/>
            <w:vAlign w:val="center"/>
          </w:tcPr>
          <w:p w14:paraId="29D1096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萃取-电积间废气</w:t>
            </w:r>
          </w:p>
        </w:tc>
        <w:tc>
          <w:tcPr>
            <w:tcW w:w="357" w:type="pct"/>
            <w:tcBorders>
              <w:tl2br w:val="nil"/>
              <w:tr2bl w:val="nil"/>
            </w:tcBorders>
            <w:noWrap w:val="0"/>
            <w:vAlign w:val="center"/>
          </w:tcPr>
          <w:p w14:paraId="127E27FD">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hAnsi="Times New Roman" w:eastAsia="宋体" w:cs="Times New Roman"/>
                <w:b w:val="0"/>
                <w:bCs w:val="0"/>
                <w:color w:val="auto"/>
                <w:sz w:val="21"/>
                <w:szCs w:val="21"/>
                <w:highlight w:val="none"/>
                <w:lang w:val="en-US" w:eastAsia="zh-CN"/>
              </w:rPr>
              <w:t>非甲烷总烃</w:t>
            </w:r>
          </w:p>
        </w:tc>
        <w:tc>
          <w:tcPr>
            <w:tcW w:w="1762" w:type="pct"/>
            <w:tcBorders>
              <w:tl2br w:val="nil"/>
              <w:tr2bl w:val="nil"/>
            </w:tcBorders>
            <w:noWrap w:val="0"/>
            <w:vAlign w:val="center"/>
          </w:tcPr>
          <w:p w14:paraId="34DAA9C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c>
          <w:tcPr>
            <w:tcW w:w="386" w:type="pct"/>
            <w:tcBorders>
              <w:tl2br w:val="nil"/>
              <w:tr2bl w:val="nil"/>
            </w:tcBorders>
            <w:noWrap w:val="0"/>
            <w:vAlign w:val="center"/>
          </w:tcPr>
          <w:p w14:paraId="0F245E8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w:t>
            </w:r>
          </w:p>
        </w:tc>
        <w:tc>
          <w:tcPr>
            <w:tcW w:w="900" w:type="pct"/>
            <w:tcBorders>
              <w:tl2br w:val="nil"/>
              <w:tr2bl w:val="nil"/>
            </w:tcBorders>
            <w:noWrap w:val="0"/>
            <w:vAlign w:val="center"/>
          </w:tcPr>
          <w:p w14:paraId="203C51B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53CB95F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p>
        </w:tc>
      </w:tr>
      <w:tr w14:paraId="2E75A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931" w:type="pct"/>
            <w:vMerge w:val="continue"/>
            <w:tcBorders>
              <w:tl2br w:val="nil"/>
              <w:tr2bl w:val="nil"/>
            </w:tcBorders>
            <w:noWrap w:val="0"/>
            <w:vAlign w:val="center"/>
          </w:tcPr>
          <w:p w14:paraId="75A227B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color w:val="auto"/>
                <w:sz w:val="21"/>
                <w:szCs w:val="21"/>
              </w:rPr>
            </w:pPr>
          </w:p>
        </w:tc>
        <w:tc>
          <w:tcPr>
            <w:tcW w:w="357" w:type="pct"/>
            <w:tcBorders>
              <w:tl2br w:val="nil"/>
              <w:tr2bl w:val="nil"/>
            </w:tcBorders>
            <w:noWrap w:val="0"/>
            <w:vAlign w:val="center"/>
          </w:tcPr>
          <w:p w14:paraId="148EF38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硫酸雾</w:t>
            </w:r>
          </w:p>
        </w:tc>
        <w:tc>
          <w:tcPr>
            <w:tcW w:w="1762" w:type="pct"/>
            <w:tcBorders>
              <w:tl2br w:val="nil"/>
              <w:tr2bl w:val="nil"/>
            </w:tcBorders>
            <w:noWrap w:val="0"/>
            <w:vAlign w:val="center"/>
          </w:tcPr>
          <w:p w14:paraId="1871D93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车间通风，添加酸雾抑制剂</w:t>
            </w:r>
          </w:p>
        </w:tc>
        <w:tc>
          <w:tcPr>
            <w:tcW w:w="386" w:type="pct"/>
            <w:tcBorders>
              <w:tl2br w:val="nil"/>
              <w:tr2bl w:val="nil"/>
            </w:tcBorders>
            <w:noWrap w:val="0"/>
            <w:vAlign w:val="center"/>
          </w:tcPr>
          <w:p w14:paraId="0BF4F37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900" w:type="pct"/>
            <w:tcBorders>
              <w:tl2br w:val="nil"/>
              <w:tr2bl w:val="nil"/>
            </w:tcBorders>
            <w:noWrap w:val="0"/>
            <w:vAlign w:val="center"/>
          </w:tcPr>
          <w:p w14:paraId="57AE669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1" w:type="pct"/>
            <w:tcBorders>
              <w:tl2br w:val="nil"/>
              <w:tr2bl w:val="nil"/>
            </w:tcBorders>
            <w:noWrap w:val="0"/>
            <w:vAlign w:val="center"/>
          </w:tcPr>
          <w:p w14:paraId="4FB793F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1F8F0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931" w:type="pct"/>
            <w:tcBorders>
              <w:tl2br w:val="nil"/>
              <w:tr2bl w:val="nil"/>
            </w:tcBorders>
            <w:noWrap w:val="0"/>
            <w:vAlign w:val="center"/>
          </w:tcPr>
          <w:p w14:paraId="4C0A3A8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color w:val="auto"/>
                <w:sz w:val="21"/>
                <w:szCs w:val="21"/>
              </w:rPr>
            </w:pPr>
            <w:r>
              <w:rPr>
                <w:rFonts w:ascii="Times New Roman" w:hAnsi="Times New Roman" w:eastAsia="宋体"/>
                <w:caps w:val="0"/>
                <w:smallCaps w:val="0"/>
                <w:color w:val="auto"/>
                <w:sz w:val="21"/>
                <w:szCs w:val="21"/>
              </w:rPr>
              <w:t>尾矿库无组织排放</w:t>
            </w:r>
          </w:p>
        </w:tc>
        <w:tc>
          <w:tcPr>
            <w:tcW w:w="357" w:type="pct"/>
            <w:tcBorders>
              <w:tl2br w:val="nil"/>
              <w:tr2bl w:val="nil"/>
            </w:tcBorders>
            <w:noWrap w:val="0"/>
            <w:vAlign w:val="center"/>
          </w:tcPr>
          <w:p w14:paraId="38A9029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颗粒物</w:t>
            </w:r>
          </w:p>
        </w:tc>
        <w:tc>
          <w:tcPr>
            <w:tcW w:w="1762" w:type="pct"/>
            <w:tcBorders>
              <w:tl2br w:val="nil"/>
              <w:tr2bl w:val="nil"/>
            </w:tcBorders>
            <w:noWrap w:val="0"/>
            <w:vAlign w:val="center"/>
          </w:tcPr>
          <w:p w14:paraId="468EC68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eastAsia" w:ascii="Times New Roman" w:hAnsi="Times New Roman" w:cs="Times New Roman"/>
                <w:b w:val="0"/>
                <w:bCs w:val="0"/>
                <w:snapToGrid/>
                <w:color w:val="auto"/>
                <w:kern w:val="2"/>
                <w:sz w:val="21"/>
                <w:szCs w:val="21"/>
                <w:highlight w:val="none"/>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386" w:type="pct"/>
            <w:tcBorders>
              <w:tl2br w:val="nil"/>
              <w:tr2bl w:val="nil"/>
            </w:tcBorders>
            <w:noWrap w:val="0"/>
            <w:vAlign w:val="center"/>
          </w:tcPr>
          <w:p w14:paraId="44C943D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74</w:t>
            </w:r>
          </w:p>
        </w:tc>
        <w:tc>
          <w:tcPr>
            <w:tcW w:w="900" w:type="pct"/>
            <w:tcBorders>
              <w:tl2br w:val="nil"/>
              <w:tr2bl w:val="nil"/>
            </w:tcBorders>
            <w:noWrap w:val="0"/>
            <w:vAlign w:val="center"/>
          </w:tcPr>
          <w:p w14:paraId="22FF625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p>
        </w:tc>
        <w:tc>
          <w:tcPr>
            <w:tcW w:w="661" w:type="pct"/>
            <w:tcBorders>
              <w:tl2br w:val="nil"/>
              <w:tr2bl w:val="nil"/>
            </w:tcBorders>
            <w:noWrap w:val="0"/>
            <w:vAlign w:val="center"/>
          </w:tcPr>
          <w:p w14:paraId="3815F77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cs="Times New Roman"/>
                <w:b w:val="0"/>
                <w:bCs w:val="0"/>
                <w:color w:val="auto"/>
                <w:sz w:val="21"/>
                <w:szCs w:val="21"/>
                <w:highlight w:val="none"/>
                <w:lang w:val="en-US" w:eastAsia="zh-CN"/>
              </w:rPr>
            </w:pPr>
          </w:p>
        </w:tc>
      </w:tr>
    </w:tbl>
    <w:p w14:paraId="44C5A6B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p>
    <w:p w14:paraId="02B0AD4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p>
    <w:p w14:paraId="4922BD2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表5.2-2</w:t>
      </w:r>
      <w:r>
        <w:rPr>
          <w:rFonts w:hint="eastAsia"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 xml:space="preserve">  非正常工况排放情况一览表</w:t>
      </w:r>
    </w:p>
    <w:tbl>
      <w:tblPr>
        <w:tblStyle w:val="33"/>
        <w:tblW w:w="5013"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62"/>
        <w:gridCol w:w="940"/>
        <w:gridCol w:w="1073"/>
        <w:gridCol w:w="1707"/>
        <w:gridCol w:w="1708"/>
        <w:gridCol w:w="926"/>
        <w:gridCol w:w="918"/>
      </w:tblGrid>
      <w:tr w14:paraId="3686A7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pct"/>
            <w:tcBorders>
              <w:tl2br w:val="nil"/>
              <w:tr2bl w:val="nil"/>
            </w:tcBorders>
            <w:vAlign w:val="center"/>
          </w:tcPr>
          <w:p w14:paraId="4A24BD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非正常排放源</w:t>
            </w:r>
          </w:p>
        </w:tc>
        <w:tc>
          <w:tcPr>
            <w:tcW w:w="569" w:type="pct"/>
            <w:tcBorders>
              <w:tl2br w:val="nil"/>
              <w:tr2bl w:val="nil"/>
            </w:tcBorders>
            <w:vAlign w:val="center"/>
          </w:tcPr>
          <w:p w14:paraId="06EB7C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非正常排放原因</w:t>
            </w:r>
          </w:p>
        </w:tc>
        <w:tc>
          <w:tcPr>
            <w:tcW w:w="649" w:type="pct"/>
            <w:tcBorders>
              <w:tl2br w:val="nil"/>
              <w:tr2bl w:val="nil"/>
            </w:tcBorders>
            <w:vAlign w:val="center"/>
          </w:tcPr>
          <w:p w14:paraId="705D36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污染物</w:t>
            </w:r>
          </w:p>
        </w:tc>
        <w:tc>
          <w:tcPr>
            <w:tcW w:w="1029" w:type="pct"/>
            <w:tcBorders>
              <w:tl2br w:val="nil"/>
              <w:tr2bl w:val="nil"/>
            </w:tcBorders>
            <w:vAlign w:val="center"/>
          </w:tcPr>
          <w:p w14:paraId="3C5E29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非正常浓度（mg/m</w:t>
            </w:r>
            <w:r>
              <w:rPr>
                <w:rFonts w:hint="default" w:ascii="Times New Roman" w:hAnsi="Times New Roman" w:cs="Times New Roman"/>
                <w:b/>
                <w:bCs/>
                <w:color w:val="auto"/>
                <w:spacing w:val="2"/>
                <w:sz w:val="21"/>
                <w:szCs w:val="21"/>
                <w:highlight w:val="none"/>
                <w:vertAlign w:val="superscript"/>
              </w:rPr>
              <w:t>3</w:t>
            </w:r>
            <w:r>
              <w:rPr>
                <w:rFonts w:hint="default" w:ascii="Times New Roman" w:hAnsi="Times New Roman" w:cs="Times New Roman"/>
                <w:b/>
                <w:bCs/>
                <w:color w:val="auto"/>
                <w:spacing w:val="2"/>
                <w:sz w:val="21"/>
                <w:szCs w:val="21"/>
                <w:highlight w:val="none"/>
              </w:rPr>
              <w:t>）</w:t>
            </w:r>
          </w:p>
        </w:tc>
        <w:tc>
          <w:tcPr>
            <w:tcW w:w="1029" w:type="pct"/>
            <w:tcBorders>
              <w:tl2br w:val="nil"/>
              <w:tr2bl w:val="nil"/>
            </w:tcBorders>
            <w:vAlign w:val="center"/>
          </w:tcPr>
          <w:p w14:paraId="08E9C6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pacing w:val="2"/>
                <w:sz w:val="21"/>
                <w:szCs w:val="21"/>
                <w:highlight w:val="none"/>
                <w:lang w:val="en-US" w:eastAsia="zh-CN"/>
              </w:rPr>
            </w:pPr>
            <w:r>
              <w:rPr>
                <w:rFonts w:hint="default" w:ascii="Times New Roman" w:hAnsi="Times New Roman" w:cs="Times New Roman"/>
                <w:b/>
                <w:bCs/>
                <w:color w:val="auto"/>
                <w:spacing w:val="2"/>
                <w:sz w:val="21"/>
                <w:szCs w:val="21"/>
                <w:highlight w:val="none"/>
              </w:rPr>
              <w:t>非正常排放</w:t>
            </w:r>
            <w:r>
              <w:rPr>
                <w:rFonts w:hint="eastAsia" w:cs="Times New Roman"/>
                <w:b/>
                <w:bCs/>
                <w:color w:val="auto"/>
                <w:spacing w:val="2"/>
                <w:sz w:val="21"/>
                <w:szCs w:val="21"/>
                <w:highlight w:val="none"/>
                <w:lang w:val="en-US" w:eastAsia="zh-CN"/>
              </w:rPr>
              <w:t>量</w:t>
            </w:r>
          </w:p>
          <w:p w14:paraId="7E0C4A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eastAsia" w:cs="Times New Roman"/>
                <w:b/>
                <w:bCs/>
                <w:color w:val="auto"/>
                <w:spacing w:val="2"/>
                <w:sz w:val="21"/>
                <w:szCs w:val="21"/>
                <w:highlight w:val="none"/>
                <w:lang w:eastAsia="zh-CN"/>
              </w:rPr>
              <w:t>(</w:t>
            </w:r>
            <w:r>
              <w:rPr>
                <w:rFonts w:hint="eastAsia" w:cs="Times New Roman"/>
                <w:b/>
                <w:bCs/>
                <w:color w:val="auto"/>
                <w:spacing w:val="2"/>
                <w:sz w:val="21"/>
                <w:szCs w:val="21"/>
                <w:highlight w:val="none"/>
                <w:lang w:val="en-US" w:eastAsia="zh-CN"/>
              </w:rPr>
              <w:t>k</w:t>
            </w:r>
            <w:r>
              <w:rPr>
                <w:rFonts w:hint="default" w:ascii="Times New Roman" w:hAnsi="Times New Roman" w:cs="Times New Roman"/>
                <w:b/>
                <w:bCs/>
                <w:color w:val="auto"/>
                <w:spacing w:val="2"/>
                <w:sz w:val="21"/>
                <w:szCs w:val="21"/>
                <w:highlight w:val="none"/>
              </w:rPr>
              <w:t>g/h</w:t>
            </w:r>
            <w:r>
              <w:rPr>
                <w:rFonts w:hint="eastAsia" w:cs="Times New Roman"/>
                <w:b/>
                <w:bCs/>
                <w:color w:val="auto"/>
                <w:spacing w:val="2"/>
                <w:sz w:val="21"/>
                <w:szCs w:val="21"/>
                <w:highlight w:val="none"/>
                <w:lang w:eastAsia="zh-CN"/>
              </w:rPr>
              <w:t>)</w:t>
            </w:r>
          </w:p>
        </w:tc>
        <w:tc>
          <w:tcPr>
            <w:tcW w:w="560" w:type="pct"/>
            <w:tcBorders>
              <w:tl2br w:val="nil"/>
              <w:tr2bl w:val="nil"/>
            </w:tcBorders>
            <w:vAlign w:val="center"/>
          </w:tcPr>
          <w:p w14:paraId="22914B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单次持续时间/h</w:t>
            </w:r>
          </w:p>
        </w:tc>
        <w:tc>
          <w:tcPr>
            <w:tcW w:w="555" w:type="pct"/>
            <w:tcBorders>
              <w:tl2br w:val="nil"/>
              <w:tr2bl w:val="nil"/>
            </w:tcBorders>
            <w:vAlign w:val="center"/>
          </w:tcPr>
          <w:p w14:paraId="077B22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年发生频次/年</w:t>
            </w:r>
          </w:p>
        </w:tc>
      </w:tr>
      <w:tr w14:paraId="3E6EE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6" w:type="pct"/>
            <w:tcBorders>
              <w:tl2br w:val="nil"/>
              <w:tr2bl w:val="nil"/>
            </w:tcBorders>
            <w:vAlign w:val="center"/>
          </w:tcPr>
          <w:p w14:paraId="7C777C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DA001</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排气筒</w:t>
            </w:r>
          </w:p>
        </w:tc>
        <w:tc>
          <w:tcPr>
            <w:tcW w:w="569" w:type="pct"/>
            <w:vMerge w:val="restart"/>
            <w:tcBorders>
              <w:tl2br w:val="nil"/>
              <w:tr2bl w:val="nil"/>
            </w:tcBorders>
            <w:vAlign w:val="center"/>
          </w:tcPr>
          <w:p w14:paraId="2C5209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布袋故障损坏</w:t>
            </w:r>
          </w:p>
        </w:tc>
        <w:tc>
          <w:tcPr>
            <w:tcW w:w="649" w:type="pct"/>
            <w:vMerge w:val="restart"/>
            <w:tcBorders>
              <w:tl2br w:val="nil"/>
              <w:tr2bl w:val="nil"/>
            </w:tcBorders>
            <w:vAlign w:val="center"/>
          </w:tcPr>
          <w:p w14:paraId="013E56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707" w:type="dxa"/>
            <w:tcBorders>
              <w:tl2br w:val="nil"/>
              <w:tr2bl w:val="nil"/>
            </w:tcBorders>
            <w:vAlign w:val="center"/>
          </w:tcPr>
          <w:p w14:paraId="26CADE2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3077.87</w:t>
            </w:r>
          </w:p>
        </w:tc>
        <w:tc>
          <w:tcPr>
            <w:tcW w:w="1708" w:type="dxa"/>
            <w:tcBorders>
              <w:tl2br w:val="nil"/>
              <w:tr2bl w:val="nil"/>
            </w:tcBorders>
            <w:vAlign w:val="center"/>
          </w:tcPr>
          <w:p w14:paraId="5703C25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19.79</w:t>
            </w:r>
          </w:p>
        </w:tc>
        <w:tc>
          <w:tcPr>
            <w:tcW w:w="560" w:type="pct"/>
            <w:vMerge w:val="restart"/>
            <w:tcBorders>
              <w:tl2br w:val="nil"/>
              <w:tr2bl w:val="nil"/>
            </w:tcBorders>
            <w:vAlign w:val="center"/>
          </w:tcPr>
          <w:p w14:paraId="7A0D60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1h</w:t>
            </w:r>
          </w:p>
        </w:tc>
        <w:tc>
          <w:tcPr>
            <w:tcW w:w="555" w:type="pct"/>
            <w:vMerge w:val="restart"/>
            <w:tcBorders>
              <w:tl2br w:val="nil"/>
              <w:tr2bl w:val="nil"/>
            </w:tcBorders>
            <w:vAlign w:val="center"/>
          </w:tcPr>
          <w:p w14:paraId="3A6DFE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1</w:t>
            </w:r>
          </w:p>
        </w:tc>
      </w:tr>
      <w:tr w14:paraId="645DE8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pct"/>
            <w:tcBorders>
              <w:tl2br w:val="nil"/>
              <w:tr2bl w:val="nil"/>
            </w:tcBorders>
            <w:vAlign w:val="center"/>
          </w:tcPr>
          <w:p w14:paraId="14E09F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pacing w:val="2"/>
                <w:sz w:val="21"/>
                <w:szCs w:val="21"/>
                <w:highlight w:val="none"/>
              </w:rPr>
              <w:t>排气筒</w:t>
            </w:r>
          </w:p>
        </w:tc>
        <w:tc>
          <w:tcPr>
            <w:tcW w:w="569" w:type="pct"/>
            <w:vMerge w:val="continue"/>
            <w:tcBorders>
              <w:tl2br w:val="nil"/>
              <w:tr2bl w:val="nil"/>
            </w:tcBorders>
            <w:vAlign w:val="center"/>
          </w:tcPr>
          <w:p w14:paraId="05BEAD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49" w:type="pct"/>
            <w:vMerge w:val="continue"/>
            <w:tcBorders>
              <w:tl2br w:val="nil"/>
              <w:tr2bl w:val="nil"/>
            </w:tcBorders>
            <w:vAlign w:val="center"/>
          </w:tcPr>
          <w:p w14:paraId="449623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
                <w:sz w:val="21"/>
                <w:szCs w:val="21"/>
                <w:highlight w:val="none"/>
                <w:lang w:val="en-US" w:eastAsia="zh-CN"/>
              </w:rPr>
            </w:pPr>
          </w:p>
        </w:tc>
        <w:tc>
          <w:tcPr>
            <w:tcW w:w="1707" w:type="dxa"/>
            <w:tcBorders>
              <w:tl2br w:val="nil"/>
              <w:tr2bl w:val="nil"/>
            </w:tcBorders>
            <w:vAlign w:val="center"/>
          </w:tcPr>
          <w:p w14:paraId="44B8C2C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9134.62</w:t>
            </w:r>
          </w:p>
        </w:tc>
        <w:tc>
          <w:tcPr>
            <w:tcW w:w="1708" w:type="dxa"/>
            <w:tcBorders>
              <w:tl2br w:val="nil"/>
              <w:tr2bl w:val="nil"/>
            </w:tcBorders>
            <w:vAlign w:val="center"/>
          </w:tcPr>
          <w:p w14:paraId="6A95964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59.38</w:t>
            </w:r>
          </w:p>
        </w:tc>
        <w:tc>
          <w:tcPr>
            <w:tcW w:w="560" w:type="pct"/>
            <w:vMerge w:val="continue"/>
            <w:tcBorders>
              <w:tl2br w:val="nil"/>
              <w:tr2bl w:val="nil"/>
            </w:tcBorders>
            <w:vAlign w:val="center"/>
          </w:tcPr>
          <w:p w14:paraId="5AC463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55" w:type="pct"/>
            <w:vMerge w:val="continue"/>
            <w:tcBorders>
              <w:tl2br w:val="nil"/>
              <w:tr2bl w:val="nil"/>
            </w:tcBorders>
            <w:vAlign w:val="center"/>
          </w:tcPr>
          <w:p w14:paraId="742281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bl>
    <w:p w14:paraId="2D3AE48C">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80" w:name="_Toc553"/>
      <w:bookmarkStart w:id="181" w:name="_Toc12150"/>
      <w:r>
        <w:rPr>
          <w:rFonts w:hint="default" w:ascii="Times New Roman" w:hAnsi="Times New Roman" w:eastAsia="宋体" w:cs="Times New Roman"/>
          <w:color w:val="auto"/>
          <w:highlight w:val="none"/>
        </w:rPr>
        <w:t>5.3 地表水环境影响分析</w:t>
      </w:r>
      <w:bookmarkEnd w:id="180"/>
      <w:bookmarkEnd w:id="181"/>
    </w:p>
    <w:p w14:paraId="20C330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本项目</w:t>
      </w:r>
      <w:r>
        <w:rPr>
          <w:rFonts w:hint="default" w:ascii="Times New Roman" w:hAnsi="Times New Roman" w:eastAsia="宋体" w:cs="Times New Roman"/>
          <w:color w:val="auto"/>
          <w:kern w:val="0"/>
          <w:szCs w:val="24"/>
          <w:highlight w:val="none"/>
          <w:lang w:val="en-US" w:eastAsia="zh-CN"/>
        </w:rPr>
        <w:t>废水主要包括生产废水和生活污水</w:t>
      </w:r>
      <w:r>
        <w:rPr>
          <w:rFonts w:hint="default" w:ascii="Times New Roman" w:hAnsi="Times New Roman" w:eastAsia="宋体" w:cs="Times New Roman"/>
          <w:color w:val="auto"/>
          <w:kern w:val="0"/>
          <w:szCs w:val="24"/>
          <w:highlight w:val="none"/>
        </w:rPr>
        <w:t>。</w:t>
      </w:r>
    </w:p>
    <w:p w14:paraId="400D8C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（1）生产废水</w:t>
      </w:r>
    </w:p>
    <w:p w14:paraId="7B4F9B4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rPr>
        <w:t>本项目生产过程中主要是筛分、浸出、萃取、电积车间产生废水。由于采用湿法浸出</w:t>
      </w:r>
      <w:r>
        <w:rPr>
          <w:rFonts w:hint="eastAsia" w:cs="Times New Roman"/>
          <w:color w:val="auto"/>
          <w:highlight w:val="none"/>
          <w:lang w:eastAsia="zh-CN"/>
        </w:rPr>
        <w:t>－</w:t>
      </w:r>
      <w:r>
        <w:rPr>
          <w:rFonts w:hint="default" w:ascii="Times New Roman" w:hAnsi="Times New Roman" w:eastAsia="宋体" w:cs="Times New Roman"/>
          <w:color w:val="auto"/>
          <w:highlight w:val="none"/>
        </w:rPr>
        <w:t>固液分离-萃取-电积工艺，本工艺属闭路循环系统，无废水排放。</w:t>
      </w:r>
    </w:p>
    <w:p w14:paraId="6BDD03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i w:val="0"/>
          <w:iCs w:val="0"/>
          <w:caps w:val="0"/>
          <w:color w:val="auto"/>
          <w:spacing w:val="0"/>
          <w:sz w:val="24"/>
          <w:szCs w:val="24"/>
          <w:shd w:val="clear" w:fill="FFFFFF"/>
          <w:lang w:val="en-US" w:eastAsia="zh-CN"/>
        </w:rPr>
        <w:t>本</w:t>
      </w:r>
      <w:r>
        <w:rPr>
          <w:rFonts w:hint="default" w:ascii="Times New Roman" w:hAnsi="Times New Roman" w:eastAsia="宋体" w:cs="Times New Roman"/>
          <w:b w:val="0"/>
          <w:bCs w:val="0"/>
          <w:i w:val="0"/>
          <w:iCs w:val="0"/>
          <w:caps w:val="0"/>
          <w:color w:val="auto"/>
          <w:spacing w:val="0"/>
          <w:sz w:val="24"/>
          <w:szCs w:val="24"/>
          <w:shd w:val="clear" w:fill="FFFFFF"/>
        </w:rPr>
        <w:t>项目筛分工段通过99.93%的内部循环率奠定了节水基础，而各工段间形成的串级回用（如萃余液用于洗渣、洗板水及电积液回用于浸出）则将废水作为工艺介质资源化利用，实现了生产废水零外排。为确保此状态的长期稳定，关键在于持续监控并应对系统中盐分与杂质的积累风险，并通过精细化管理维持动态水平衡。</w:t>
      </w:r>
    </w:p>
    <w:p w14:paraId="4B61342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（2）生活污水</w:t>
      </w:r>
    </w:p>
    <w:p w14:paraId="1DFC3BF7">
      <w:pPr>
        <w:pStyle w:val="22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根据前文源强核算章节，</w:t>
      </w:r>
      <w:r>
        <w:rPr>
          <w:rFonts w:hint="default" w:ascii="Times New Roman" w:hAnsi="Times New Roman" w:eastAsia="宋体" w:cs="Times New Roman"/>
          <w:color w:val="auto"/>
          <w:kern w:val="0"/>
          <w:sz w:val="24"/>
          <w:szCs w:val="24"/>
          <w:highlight w:val="none"/>
          <w:lang w:bidi="ar"/>
        </w:rPr>
        <w:t>本项目生活污水</w:t>
      </w:r>
      <w:r>
        <w:rPr>
          <w:rFonts w:hint="default" w:ascii="Times New Roman" w:hAnsi="Times New Roman" w:eastAsia="宋体" w:cs="Times New Roman"/>
          <w:color w:val="auto"/>
          <w:kern w:val="0"/>
          <w:sz w:val="24"/>
          <w:szCs w:val="24"/>
          <w:highlight w:val="none"/>
          <w:lang w:val="en-US" w:eastAsia="zh-CN" w:bidi="ar"/>
        </w:rPr>
        <w:t>排放量为</w:t>
      </w:r>
      <w:r>
        <w:rPr>
          <w:rFonts w:hint="default" w:ascii="Times New Roman" w:hAnsi="Times New Roman" w:cs="Times New Roman"/>
          <w:color w:val="auto"/>
          <w:kern w:val="0"/>
          <w:sz w:val="24"/>
          <w:szCs w:val="24"/>
          <w:highlight w:val="none"/>
          <w:lang w:val="en-US" w:eastAsia="zh-CN" w:bidi="ar"/>
        </w:rPr>
        <w:t>480</w:t>
      </w:r>
      <w:r>
        <w:rPr>
          <w:rFonts w:hint="default" w:ascii="Times New Roman" w:hAnsi="Times New Roman" w:cs="Times New Roman"/>
          <w:color w:val="auto"/>
          <w:kern w:val="0"/>
          <w:sz w:val="24"/>
          <w:szCs w:val="24"/>
          <w:highlight w:val="none"/>
          <w:lang w:bidi="ar"/>
        </w:rPr>
        <w:t>m</w:t>
      </w:r>
      <w:r>
        <w:rPr>
          <w:rFonts w:hint="default" w:ascii="Times New Roman" w:hAnsi="Times New Roman" w:cs="Times New Roman"/>
          <w:color w:val="auto"/>
          <w:kern w:val="0"/>
          <w:sz w:val="24"/>
          <w:szCs w:val="24"/>
          <w:highlight w:val="none"/>
          <w:vertAlign w:val="superscript"/>
          <w:lang w:bidi="ar"/>
        </w:rPr>
        <w:t>3</w:t>
      </w:r>
      <w:r>
        <w:rPr>
          <w:rFonts w:hint="eastAsia" w:ascii="Times New Roman" w:hAnsi="Times New Roman" w:cs="Times New Roman"/>
          <w:color w:val="auto"/>
          <w:kern w:val="0"/>
          <w:sz w:val="24"/>
          <w:szCs w:val="24"/>
          <w:highlight w:val="none"/>
          <w:vertAlign w:val="baseline"/>
          <w:lang w:val="en-US" w:eastAsia="zh-CN" w:bidi="ar"/>
        </w:rPr>
        <w:t>/a</w:t>
      </w:r>
      <w:r>
        <w:rPr>
          <w:rFonts w:hint="default" w:ascii="Times New Roman" w:hAnsi="Times New Roman" w:eastAsia="宋体" w:cs="Times New Roman"/>
          <w:color w:val="auto"/>
          <w:kern w:val="0"/>
          <w:sz w:val="24"/>
          <w:szCs w:val="24"/>
          <w:highlight w:val="none"/>
          <w:lang w:bidi="ar"/>
        </w:rPr>
        <w:t>，</w:t>
      </w:r>
      <w:r>
        <w:rPr>
          <w:rFonts w:hint="default" w:ascii="Times New Roman" w:hAnsi="Times New Roman" w:eastAsia="宋体" w:cs="Times New Roman"/>
          <w:color w:val="auto"/>
          <w:sz w:val="24"/>
          <w:szCs w:val="24"/>
          <w:highlight w:val="none"/>
        </w:rPr>
        <w:t>废水依托生活区</w:t>
      </w:r>
      <w:r>
        <w:rPr>
          <w:rFonts w:hint="default" w:ascii="Times New Roman" w:hAnsi="Times New Roman" w:eastAsia="宋体" w:cs="Times New Roman"/>
          <w:color w:val="auto"/>
          <w:sz w:val="24"/>
          <w:szCs w:val="24"/>
          <w:highlight w:val="none"/>
          <w:lang w:val="zh-CN"/>
        </w:rPr>
        <w:t>化粪池暂存，定期拉运处理</w:t>
      </w:r>
      <w:r>
        <w:rPr>
          <w:rFonts w:hint="default" w:ascii="Times New Roman" w:hAnsi="Times New Roman" w:eastAsia="宋体" w:cs="Times New Roman"/>
          <w:color w:val="auto"/>
          <w:sz w:val="24"/>
          <w:szCs w:val="24"/>
          <w:highlight w:val="none"/>
        </w:rPr>
        <w:t>。项目建成投产后对地表水环境无直接影响。</w:t>
      </w:r>
    </w:p>
    <w:p w14:paraId="225E9D83">
      <w:pPr>
        <w:pStyle w:val="22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综上，本项目对地表水环境的影响很小。</w:t>
      </w:r>
    </w:p>
    <w:p w14:paraId="0036E2DB">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182" w:name="_Toc5404"/>
      <w:bookmarkStart w:id="183" w:name="_Toc28720"/>
      <w:r>
        <w:rPr>
          <w:rFonts w:hint="default" w:ascii="Times New Roman" w:hAnsi="Times New Roman" w:eastAsia="宋体" w:cs="Times New Roman"/>
          <w:color w:val="auto"/>
          <w:highlight w:val="none"/>
        </w:rPr>
        <w:t>5.4 噪声影响预测与评价</w:t>
      </w:r>
      <w:bookmarkEnd w:id="182"/>
      <w:bookmarkEnd w:id="183"/>
    </w:p>
    <w:p w14:paraId="351B07A2">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5.4.1</w:t>
      </w:r>
      <w:r>
        <w:rPr>
          <w:rFonts w:hint="default" w:ascii="Times New Roman" w:hAnsi="Times New Roman" w:cs="Times New Roman"/>
          <w:color w:val="auto"/>
          <w:kern w:val="0"/>
          <w:highlight w:val="none"/>
        </w:rPr>
        <w:t>预测范围与</w:t>
      </w:r>
      <w:r>
        <w:rPr>
          <w:rFonts w:hint="default" w:ascii="Times New Roman" w:hAnsi="Times New Roman" w:cs="Times New Roman"/>
          <w:color w:val="auto"/>
          <w:highlight w:val="none"/>
        </w:rPr>
        <w:t>噪声特性</w:t>
      </w:r>
    </w:p>
    <w:p w14:paraId="4F42898B">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根据《环境影响评价技术导则 声环境》（HJ2.4-2021）中相关规定，确定本次声环境评价工作等级为三级，评价范围为厂界外200m范围内。</w:t>
      </w:r>
    </w:p>
    <w:p w14:paraId="641006A3">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sectPr>
          <w:footerReference r:id="rId24" w:type="default"/>
          <w:headerReference r:id="rId23" w:type="even"/>
          <w:pgSz w:w="11906" w:h="16838"/>
          <w:pgMar w:top="1440" w:right="1797" w:bottom="1440" w:left="1797" w:header="964" w:footer="850"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cs="Times New Roman"/>
          <w:color w:val="auto"/>
          <w:kern w:val="0"/>
          <w:szCs w:val="24"/>
          <w:highlight w:val="none"/>
          <w:lang w:bidi="ar"/>
        </w:rPr>
        <w:t>本项目的主要设备有装载机、各种泵等</w:t>
      </w:r>
      <w:r>
        <w:rPr>
          <w:rFonts w:hint="default" w:ascii="Times New Roman" w:hAnsi="Times New Roman" w:cs="Times New Roman"/>
          <w:color w:val="auto"/>
          <w:highlight w:val="none"/>
        </w:rPr>
        <w:t>。设备运行噪声在</w:t>
      </w:r>
      <w:r>
        <w:rPr>
          <w:rFonts w:hint="eastAsia" w:ascii="Times New Roman" w:hAnsi="Times New Roman" w:cs="Times New Roman"/>
          <w:color w:val="auto"/>
          <w:highlight w:val="none"/>
          <w:lang w:val="en-US" w:eastAsia="zh-CN"/>
        </w:rPr>
        <w:t>70</w:t>
      </w:r>
      <w:r>
        <w:rPr>
          <w:rFonts w:hint="default" w:ascii="Times New Roman" w:hAnsi="Times New Roman" w:cs="Times New Roman"/>
          <w:color w:val="auto"/>
          <w:highlight w:val="none"/>
        </w:rPr>
        <w:t>~90dB之间，噪声源强清单见表5.4-1</w:t>
      </w:r>
      <w:r>
        <w:rPr>
          <w:rFonts w:hint="eastAsia" w:cs="Times New Roman"/>
          <w:color w:val="auto"/>
          <w:highlight w:val="none"/>
          <w:lang w:val="en-US" w:eastAsia="zh-CN"/>
        </w:rPr>
        <w:t>~5.4-2</w:t>
      </w:r>
      <w:r>
        <w:rPr>
          <w:rFonts w:hint="default" w:ascii="Times New Roman" w:hAnsi="Times New Roman" w:cs="Times New Roman"/>
          <w:color w:val="auto"/>
          <w:highlight w:val="none"/>
        </w:rPr>
        <w:t>，环境数据表见表5.4-</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14:paraId="6161CC88">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p>
    <w:p w14:paraId="2851D685">
      <w:pPr>
        <w:pStyle w:val="10"/>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eastAsia="宋体"/>
          <w:b/>
          <w:bCs/>
          <w:caps w:val="0"/>
          <w:smallCaps w:val="0"/>
          <w:color w:val="auto"/>
          <w:kern w:val="0"/>
          <w:sz w:val="21"/>
          <w:szCs w:val="21"/>
          <w:highlight w:val="none"/>
          <w:lang w:eastAsia="zh-CN"/>
        </w:rPr>
      </w:pPr>
      <w:r>
        <w:rPr>
          <w:rFonts w:ascii="Times New Roman" w:hAnsi="Times New Roman" w:eastAsia="宋体"/>
          <w:b/>
          <w:bCs/>
          <w:caps w:val="0"/>
          <w:smallCaps w:val="0"/>
          <w:color w:val="auto"/>
          <w:kern w:val="0"/>
          <w:sz w:val="21"/>
          <w:szCs w:val="21"/>
          <w:highlight w:val="none"/>
        </w:rPr>
        <w:t>表</w:t>
      </w:r>
      <w:r>
        <w:rPr>
          <w:rFonts w:hint="eastAsia" w:ascii="Times New Roman" w:hAnsi="Times New Roman" w:eastAsia="宋体"/>
          <w:b/>
          <w:bCs/>
          <w:caps w:val="0"/>
          <w:smallCaps w:val="0"/>
          <w:color w:val="auto"/>
          <w:kern w:val="0"/>
          <w:sz w:val="21"/>
          <w:szCs w:val="21"/>
          <w:highlight w:val="none"/>
          <w:lang w:val="en-US" w:eastAsia="zh-CN"/>
        </w:rPr>
        <w:t>5.4-1</w:t>
      </w:r>
      <w:r>
        <w:rPr>
          <w:rFonts w:ascii="Times New Roman" w:hAnsi="Times New Roman" w:eastAsia="宋体"/>
          <w:b/>
          <w:bCs/>
          <w:caps w:val="0"/>
          <w:smallCaps w:val="0"/>
          <w:color w:val="auto"/>
          <w:kern w:val="0"/>
          <w:sz w:val="21"/>
          <w:szCs w:val="21"/>
          <w:highlight w:val="none"/>
        </w:rPr>
        <w:t xml:space="preserve">    本项目主要噪声源及治理情况一览表</w:t>
      </w:r>
      <w:r>
        <w:rPr>
          <w:rFonts w:hint="eastAsia" w:ascii="Times New Roman" w:hAnsi="Times New Roman" w:eastAsia="宋体"/>
          <w:b/>
          <w:bCs/>
          <w:caps w:val="0"/>
          <w:smallCaps w:val="0"/>
          <w:color w:val="auto"/>
          <w:kern w:val="0"/>
          <w:sz w:val="21"/>
          <w:szCs w:val="21"/>
          <w:highlight w:val="none"/>
          <w:lang w:eastAsia="zh-CN"/>
        </w:rPr>
        <w:t>（室外声源）</w:t>
      </w:r>
    </w:p>
    <w:tbl>
      <w:tblPr>
        <w:tblStyle w:val="33"/>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00"/>
        <w:gridCol w:w="1340"/>
        <w:gridCol w:w="2010"/>
        <w:gridCol w:w="1603"/>
        <w:gridCol w:w="1189"/>
        <w:gridCol w:w="1139"/>
        <w:gridCol w:w="1095"/>
        <w:gridCol w:w="1751"/>
        <w:gridCol w:w="1901"/>
        <w:gridCol w:w="1422"/>
      </w:tblGrid>
      <w:tr w14:paraId="75D4EF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58" w:hRule="atLeast"/>
          <w:tblHeader/>
          <w:jc w:val="center"/>
        </w:trPr>
        <w:tc>
          <w:tcPr>
            <w:tcW w:w="179" w:type="pct"/>
            <w:vMerge w:val="restart"/>
            <w:tcBorders>
              <w:tl2br w:val="nil"/>
              <w:tr2bl w:val="nil"/>
            </w:tcBorders>
            <w:noWrap w:val="0"/>
            <w:vAlign w:val="center"/>
          </w:tcPr>
          <w:p w14:paraId="34738B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序号</w:t>
            </w:r>
          </w:p>
        </w:tc>
        <w:tc>
          <w:tcPr>
            <w:tcW w:w="480" w:type="pct"/>
            <w:vMerge w:val="restart"/>
            <w:tcBorders>
              <w:tl2br w:val="nil"/>
              <w:tr2bl w:val="nil"/>
            </w:tcBorders>
            <w:noWrap w:val="0"/>
            <w:vAlign w:val="center"/>
          </w:tcPr>
          <w:p w14:paraId="3CA0A1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生产工序</w:t>
            </w:r>
          </w:p>
        </w:tc>
        <w:tc>
          <w:tcPr>
            <w:tcW w:w="720" w:type="pct"/>
            <w:vMerge w:val="restart"/>
            <w:tcBorders>
              <w:tl2br w:val="nil"/>
              <w:tr2bl w:val="nil"/>
            </w:tcBorders>
            <w:noWrap w:val="0"/>
            <w:vAlign w:val="center"/>
          </w:tcPr>
          <w:p w14:paraId="568145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噪声源名称</w:t>
            </w:r>
          </w:p>
        </w:tc>
        <w:tc>
          <w:tcPr>
            <w:tcW w:w="574" w:type="pct"/>
            <w:vMerge w:val="restart"/>
            <w:tcBorders>
              <w:tl2br w:val="nil"/>
              <w:tr2bl w:val="nil"/>
            </w:tcBorders>
            <w:noWrap w:val="0"/>
            <w:vAlign w:val="center"/>
          </w:tcPr>
          <w:p w14:paraId="441858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型号</w:t>
            </w:r>
          </w:p>
        </w:tc>
        <w:tc>
          <w:tcPr>
            <w:tcW w:w="1226" w:type="pct"/>
            <w:gridSpan w:val="3"/>
            <w:tcBorders>
              <w:tl2br w:val="nil"/>
              <w:tr2bl w:val="nil"/>
            </w:tcBorders>
            <w:noWrap w:val="0"/>
            <w:vAlign w:val="center"/>
          </w:tcPr>
          <w:p w14:paraId="479E25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空间相对位置/m</w:t>
            </w:r>
          </w:p>
        </w:tc>
        <w:tc>
          <w:tcPr>
            <w:tcW w:w="627" w:type="pct"/>
            <w:vMerge w:val="restart"/>
            <w:tcBorders>
              <w:tl2br w:val="nil"/>
              <w:tr2bl w:val="nil"/>
            </w:tcBorders>
            <w:noWrap w:val="0"/>
            <w:vAlign w:val="center"/>
          </w:tcPr>
          <w:p w14:paraId="5919BE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声源源强</w:t>
            </w:r>
            <w:r>
              <w:rPr>
                <w:rFonts w:ascii="Times New Roman" w:hAnsi="Times New Roman" w:eastAsia="宋体"/>
                <w:caps w:val="0"/>
                <w:smallCaps w:val="0"/>
                <w:color w:val="auto"/>
                <w:sz w:val="21"/>
                <w:szCs w:val="21"/>
                <w:highlight w:val="none"/>
              </w:rPr>
              <w:t>/dB(A)</w:t>
            </w:r>
          </w:p>
        </w:tc>
        <w:tc>
          <w:tcPr>
            <w:tcW w:w="681" w:type="pct"/>
            <w:vMerge w:val="restart"/>
            <w:tcBorders>
              <w:tl2br w:val="nil"/>
              <w:tr2bl w:val="nil"/>
            </w:tcBorders>
            <w:noWrap w:val="0"/>
            <w:vAlign w:val="center"/>
          </w:tcPr>
          <w:p w14:paraId="00D6EF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声源控制措施</w:t>
            </w:r>
          </w:p>
        </w:tc>
        <w:tc>
          <w:tcPr>
            <w:tcW w:w="509" w:type="pct"/>
            <w:vMerge w:val="restart"/>
            <w:tcBorders>
              <w:tl2br w:val="nil"/>
              <w:tr2bl w:val="nil"/>
            </w:tcBorders>
            <w:noWrap w:val="0"/>
            <w:vAlign w:val="center"/>
          </w:tcPr>
          <w:p w14:paraId="38FFE4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运行时段</w:t>
            </w:r>
          </w:p>
        </w:tc>
      </w:tr>
      <w:tr w14:paraId="034DD1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19" w:hRule="atLeast"/>
          <w:tblHeader/>
          <w:jc w:val="center"/>
        </w:trPr>
        <w:tc>
          <w:tcPr>
            <w:tcW w:w="179" w:type="pct"/>
            <w:vMerge w:val="continue"/>
            <w:tcBorders>
              <w:tl2br w:val="nil"/>
              <w:tr2bl w:val="nil"/>
            </w:tcBorders>
            <w:noWrap w:val="0"/>
            <w:vAlign w:val="center"/>
          </w:tcPr>
          <w:p w14:paraId="41B4EF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80" w:type="pct"/>
            <w:vMerge w:val="continue"/>
            <w:tcBorders>
              <w:tl2br w:val="nil"/>
              <w:tr2bl w:val="nil"/>
            </w:tcBorders>
            <w:noWrap w:val="0"/>
            <w:vAlign w:val="center"/>
          </w:tcPr>
          <w:p w14:paraId="2A7E45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720" w:type="pct"/>
            <w:vMerge w:val="continue"/>
            <w:tcBorders>
              <w:tl2br w:val="nil"/>
              <w:tr2bl w:val="nil"/>
            </w:tcBorders>
            <w:noWrap w:val="0"/>
            <w:vAlign w:val="center"/>
          </w:tcPr>
          <w:p w14:paraId="71DB08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574" w:type="pct"/>
            <w:vMerge w:val="continue"/>
            <w:tcBorders>
              <w:tl2br w:val="nil"/>
              <w:tr2bl w:val="nil"/>
            </w:tcBorders>
            <w:noWrap w:val="0"/>
            <w:vAlign w:val="center"/>
          </w:tcPr>
          <w:p w14:paraId="766D48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26" w:type="pct"/>
            <w:tcBorders>
              <w:tl2br w:val="nil"/>
              <w:tr2bl w:val="nil"/>
            </w:tcBorders>
            <w:noWrap w:val="0"/>
            <w:vAlign w:val="center"/>
          </w:tcPr>
          <w:p w14:paraId="550F07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X</w:t>
            </w:r>
          </w:p>
        </w:tc>
        <w:tc>
          <w:tcPr>
            <w:tcW w:w="408" w:type="pct"/>
            <w:tcBorders>
              <w:tl2br w:val="nil"/>
              <w:tr2bl w:val="nil"/>
            </w:tcBorders>
            <w:noWrap w:val="0"/>
            <w:vAlign w:val="center"/>
          </w:tcPr>
          <w:p w14:paraId="0FC6A7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Y</w:t>
            </w:r>
          </w:p>
        </w:tc>
        <w:tc>
          <w:tcPr>
            <w:tcW w:w="392" w:type="pct"/>
            <w:tcBorders>
              <w:tl2br w:val="nil"/>
              <w:tr2bl w:val="nil"/>
            </w:tcBorders>
            <w:noWrap w:val="0"/>
            <w:vAlign w:val="center"/>
          </w:tcPr>
          <w:p w14:paraId="2C83FF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Z</w:t>
            </w:r>
          </w:p>
        </w:tc>
        <w:tc>
          <w:tcPr>
            <w:tcW w:w="627" w:type="pct"/>
            <w:vMerge w:val="continue"/>
            <w:tcBorders>
              <w:tl2br w:val="nil"/>
              <w:tr2bl w:val="nil"/>
            </w:tcBorders>
            <w:noWrap w:val="0"/>
            <w:vAlign w:val="center"/>
          </w:tcPr>
          <w:p w14:paraId="69E409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681" w:type="pct"/>
            <w:vMerge w:val="continue"/>
            <w:tcBorders>
              <w:tl2br w:val="nil"/>
              <w:tr2bl w:val="nil"/>
            </w:tcBorders>
            <w:noWrap w:val="0"/>
            <w:vAlign w:val="center"/>
          </w:tcPr>
          <w:p w14:paraId="633215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509" w:type="pct"/>
            <w:vMerge w:val="continue"/>
            <w:tcBorders>
              <w:tl2br w:val="nil"/>
              <w:tr2bl w:val="nil"/>
            </w:tcBorders>
            <w:noWrap w:val="0"/>
            <w:vAlign w:val="center"/>
          </w:tcPr>
          <w:p w14:paraId="2806D4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r>
      <w:tr w14:paraId="12B41D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79" w:type="pct"/>
            <w:vMerge w:val="restart"/>
            <w:tcBorders>
              <w:tl2br w:val="nil"/>
              <w:tr2bl w:val="nil"/>
            </w:tcBorders>
            <w:noWrap w:val="0"/>
            <w:vAlign w:val="center"/>
          </w:tcPr>
          <w:p w14:paraId="393BC0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1</w:t>
            </w:r>
          </w:p>
        </w:tc>
        <w:tc>
          <w:tcPr>
            <w:tcW w:w="480" w:type="pct"/>
            <w:vMerge w:val="restart"/>
            <w:tcBorders>
              <w:tl2br w:val="nil"/>
              <w:tr2bl w:val="nil"/>
            </w:tcBorders>
            <w:noWrap w:val="0"/>
            <w:vAlign w:val="center"/>
          </w:tcPr>
          <w:p w14:paraId="61F5EE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堆放、装卸</w:t>
            </w:r>
          </w:p>
        </w:tc>
        <w:tc>
          <w:tcPr>
            <w:tcW w:w="720" w:type="pct"/>
            <w:tcBorders>
              <w:tl2br w:val="nil"/>
              <w:tr2bl w:val="nil"/>
            </w:tcBorders>
            <w:noWrap w:val="0"/>
            <w:vAlign w:val="top"/>
          </w:tcPr>
          <w:p w14:paraId="2DD1CD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default" w:ascii="Times New Roman" w:hAnsi="Times New Roman" w:cs="Times New Roman"/>
                <w:snapToGrid w:val="0"/>
                <w:color w:val="auto"/>
                <w:sz w:val="21"/>
                <w:szCs w:val="21"/>
                <w:highlight w:val="none"/>
              </w:rPr>
              <w:t>装载车</w:t>
            </w:r>
          </w:p>
        </w:tc>
        <w:tc>
          <w:tcPr>
            <w:tcW w:w="574" w:type="pct"/>
            <w:tcBorders>
              <w:tl2br w:val="nil"/>
              <w:tr2bl w:val="nil"/>
            </w:tcBorders>
            <w:noWrap w:val="0"/>
            <w:vAlign w:val="center"/>
          </w:tcPr>
          <w:p w14:paraId="570955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426" w:type="pct"/>
            <w:tcBorders>
              <w:tl2br w:val="nil"/>
              <w:tr2bl w:val="nil"/>
            </w:tcBorders>
            <w:noWrap w:val="0"/>
            <w:vAlign w:val="center"/>
          </w:tcPr>
          <w:p w14:paraId="6517DD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42</w:t>
            </w:r>
          </w:p>
        </w:tc>
        <w:tc>
          <w:tcPr>
            <w:tcW w:w="408" w:type="pct"/>
            <w:tcBorders>
              <w:tl2br w:val="nil"/>
              <w:tr2bl w:val="nil"/>
            </w:tcBorders>
            <w:noWrap w:val="0"/>
            <w:vAlign w:val="center"/>
          </w:tcPr>
          <w:p w14:paraId="57791E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48</w:t>
            </w:r>
          </w:p>
        </w:tc>
        <w:tc>
          <w:tcPr>
            <w:tcW w:w="392" w:type="pct"/>
            <w:tcBorders>
              <w:tl2br w:val="nil"/>
              <w:tr2bl w:val="nil"/>
            </w:tcBorders>
            <w:noWrap w:val="0"/>
            <w:vAlign w:val="center"/>
          </w:tcPr>
          <w:p w14:paraId="581F4D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1.5</w:t>
            </w:r>
          </w:p>
        </w:tc>
        <w:tc>
          <w:tcPr>
            <w:tcW w:w="627" w:type="pct"/>
            <w:tcBorders>
              <w:tl2br w:val="nil"/>
              <w:tr2bl w:val="nil"/>
            </w:tcBorders>
            <w:noWrap w:val="0"/>
            <w:vAlign w:val="center"/>
          </w:tcPr>
          <w:p w14:paraId="284BEA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hint="default" w:ascii="Times New Roman" w:hAnsi="Times New Roman" w:cs="Times New Roman"/>
                <w:snapToGrid w:val="0"/>
                <w:color w:val="auto"/>
                <w:sz w:val="21"/>
                <w:szCs w:val="21"/>
                <w:highlight w:val="none"/>
              </w:rPr>
              <w:t>85~90</w:t>
            </w:r>
          </w:p>
        </w:tc>
        <w:tc>
          <w:tcPr>
            <w:tcW w:w="681" w:type="pct"/>
            <w:tcBorders>
              <w:tl2br w:val="nil"/>
              <w:tr2bl w:val="nil"/>
            </w:tcBorders>
            <w:noWrap w:val="0"/>
            <w:vAlign w:val="center"/>
          </w:tcPr>
          <w:p w14:paraId="5F02A2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消声器</w:t>
            </w:r>
          </w:p>
        </w:tc>
        <w:tc>
          <w:tcPr>
            <w:tcW w:w="509" w:type="pct"/>
            <w:tcBorders>
              <w:tl2br w:val="nil"/>
              <w:tr2bl w:val="nil"/>
            </w:tcBorders>
            <w:noWrap w:val="0"/>
            <w:vAlign w:val="center"/>
          </w:tcPr>
          <w:p w14:paraId="43D804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连续运行</w:t>
            </w:r>
          </w:p>
        </w:tc>
      </w:tr>
      <w:tr w14:paraId="03116F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79" w:type="pct"/>
            <w:vMerge w:val="restart"/>
            <w:tcBorders>
              <w:tl2br w:val="nil"/>
              <w:tr2bl w:val="nil"/>
            </w:tcBorders>
            <w:noWrap w:val="0"/>
            <w:vAlign w:val="center"/>
          </w:tcPr>
          <w:p w14:paraId="73601F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2</w:t>
            </w:r>
          </w:p>
        </w:tc>
        <w:tc>
          <w:tcPr>
            <w:tcW w:w="480" w:type="pct"/>
            <w:vMerge w:val="restart"/>
            <w:tcBorders>
              <w:tl2br w:val="nil"/>
              <w:tr2bl w:val="nil"/>
            </w:tcBorders>
            <w:noWrap w:val="0"/>
            <w:vAlign w:val="center"/>
          </w:tcPr>
          <w:p w14:paraId="62B4B7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破碎</w:t>
            </w:r>
          </w:p>
        </w:tc>
        <w:tc>
          <w:tcPr>
            <w:tcW w:w="720" w:type="pct"/>
            <w:tcBorders>
              <w:tl2br w:val="nil"/>
              <w:tr2bl w:val="nil"/>
            </w:tcBorders>
            <w:noWrap w:val="0"/>
            <w:vAlign w:val="top"/>
          </w:tcPr>
          <w:p w14:paraId="72F5F4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cs="Times New Roman"/>
                <w:snapToGrid w:val="0"/>
                <w:color w:val="auto"/>
                <w:sz w:val="21"/>
                <w:szCs w:val="21"/>
                <w:highlight w:val="none"/>
                <w:lang w:val="en-US" w:eastAsia="zh-CN"/>
              </w:rPr>
              <w:t>颚式破碎机</w:t>
            </w:r>
          </w:p>
        </w:tc>
        <w:tc>
          <w:tcPr>
            <w:tcW w:w="574" w:type="pct"/>
            <w:tcBorders>
              <w:tl2br w:val="nil"/>
              <w:tr2bl w:val="nil"/>
            </w:tcBorders>
            <w:noWrap w:val="0"/>
            <w:vAlign w:val="center"/>
          </w:tcPr>
          <w:p w14:paraId="390D4A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426" w:type="pct"/>
            <w:tcBorders>
              <w:tl2br w:val="nil"/>
              <w:tr2bl w:val="nil"/>
            </w:tcBorders>
            <w:noWrap w:val="0"/>
            <w:vAlign w:val="center"/>
          </w:tcPr>
          <w:p w14:paraId="3ED63A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-60</w:t>
            </w:r>
          </w:p>
        </w:tc>
        <w:tc>
          <w:tcPr>
            <w:tcW w:w="408" w:type="pct"/>
            <w:tcBorders>
              <w:tl2br w:val="nil"/>
              <w:tr2bl w:val="nil"/>
            </w:tcBorders>
            <w:noWrap w:val="0"/>
            <w:vAlign w:val="center"/>
          </w:tcPr>
          <w:p w14:paraId="056DAB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-23</w:t>
            </w:r>
          </w:p>
        </w:tc>
        <w:tc>
          <w:tcPr>
            <w:tcW w:w="392" w:type="pct"/>
            <w:tcBorders>
              <w:tl2br w:val="nil"/>
              <w:tr2bl w:val="nil"/>
            </w:tcBorders>
            <w:noWrap w:val="0"/>
            <w:vAlign w:val="center"/>
          </w:tcPr>
          <w:p w14:paraId="30AD59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-2.5</w:t>
            </w:r>
          </w:p>
        </w:tc>
        <w:tc>
          <w:tcPr>
            <w:tcW w:w="627" w:type="pct"/>
            <w:tcBorders>
              <w:tl2br w:val="nil"/>
              <w:tr2bl w:val="nil"/>
            </w:tcBorders>
            <w:noWrap w:val="0"/>
            <w:vAlign w:val="center"/>
          </w:tcPr>
          <w:p w14:paraId="0240D4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85-114</w:t>
            </w:r>
          </w:p>
        </w:tc>
        <w:tc>
          <w:tcPr>
            <w:tcW w:w="681" w:type="pct"/>
            <w:vMerge w:val="restart"/>
            <w:tcBorders>
              <w:tl2br w:val="nil"/>
              <w:tr2bl w:val="nil"/>
            </w:tcBorders>
            <w:noWrap w:val="0"/>
            <w:vAlign w:val="center"/>
          </w:tcPr>
          <w:p w14:paraId="4957E3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基础</w:t>
            </w:r>
            <w:r>
              <w:rPr>
                <w:rFonts w:hint="eastAsia"/>
                <w:caps w:val="0"/>
                <w:smallCaps w:val="0"/>
                <w:color w:val="auto"/>
                <w:sz w:val="21"/>
                <w:szCs w:val="21"/>
                <w:highlight w:val="none"/>
                <w:lang w:eastAsia="zh-CN"/>
              </w:rPr>
              <w:t>减振</w:t>
            </w:r>
            <w:r>
              <w:rPr>
                <w:rFonts w:ascii="Times New Roman" w:hAnsi="Times New Roman" w:eastAsia="宋体"/>
                <w:caps w:val="0"/>
                <w:smallCaps w:val="0"/>
                <w:color w:val="auto"/>
                <w:sz w:val="21"/>
                <w:szCs w:val="21"/>
                <w:highlight w:val="none"/>
              </w:rPr>
              <w:t>、消声</w:t>
            </w:r>
            <w:r>
              <w:rPr>
                <w:rFonts w:hint="eastAsia" w:ascii="Times New Roman" w:hAnsi="Times New Roman" w:eastAsia="宋体"/>
                <w:caps w:val="0"/>
                <w:smallCaps w:val="0"/>
                <w:color w:val="auto"/>
                <w:sz w:val="21"/>
                <w:szCs w:val="21"/>
                <w:highlight w:val="none"/>
                <w:lang w:eastAsia="zh-CN"/>
              </w:rPr>
              <w:t>、隔声</w:t>
            </w:r>
          </w:p>
        </w:tc>
        <w:tc>
          <w:tcPr>
            <w:tcW w:w="509" w:type="pct"/>
            <w:tcBorders>
              <w:tl2br w:val="nil"/>
              <w:tr2bl w:val="nil"/>
            </w:tcBorders>
            <w:noWrap w:val="0"/>
            <w:vAlign w:val="center"/>
          </w:tcPr>
          <w:p w14:paraId="054109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hint="eastAsia" w:ascii="Times New Roman" w:hAnsi="Times New Roman" w:eastAsia="宋体"/>
                <w:caps w:val="0"/>
                <w:smallCaps w:val="0"/>
                <w:color w:val="auto"/>
                <w:sz w:val="21"/>
                <w:szCs w:val="21"/>
                <w:highlight w:val="none"/>
                <w:lang w:eastAsia="zh-CN"/>
              </w:rPr>
              <w:t>连续运行</w:t>
            </w:r>
          </w:p>
        </w:tc>
      </w:tr>
      <w:tr w14:paraId="26AD9E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85" w:hRule="atLeast"/>
          <w:jc w:val="center"/>
        </w:trPr>
        <w:tc>
          <w:tcPr>
            <w:tcW w:w="179" w:type="pct"/>
            <w:vMerge w:val="continue"/>
            <w:tcBorders>
              <w:tl2br w:val="nil"/>
              <w:tr2bl w:val="nil"/>
            </w:tcBorders>
            <w:noWrap w:val="0"/>
            <w:vAlign w:val="center"/>
          </w:tcPr>
          <w:p w14:paraId="40D9BE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rPr>
            </w:pPr>
          </w:p>
        </w:tc>
        <w:tc>
          <w:tcPr>
            <w:tcW w:w="480" w:type="pct"/>
            <w:vMerge w:val="continue"/>
            <w:tcBorders>
              <w:tl2br w:val="nil"/>
              <w:tr2bl w:val="nil"/>
            </w:tcBorders>
            <w:noWrap w:val="0"/>
            <w:vAlign w:val="center"/>
          </w:tcPr>
          <w:p w14:paraId="367E85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rPr>
            </w:pPr>
          </w:p>
        </w:tc>
        <w:tc>
          <w:tcPr>
            <w:tcW w:w="720" w:type="pct"/>
            <w:tcBorders>
              <w:tl2br w:val="nil"/>
              <w:tr2bl w:val="nil"/>
            </w:tcBorders>
            <w:noWrap w:val="0"/>
            <w:vAlign w:val="top"/>
          </w:tcPr>
          <w:p w14:paraId="4C423B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cs="Times New Roman"/>
                <w:snapToGrid w:val="0"/>
                <w:color w:val="auto"/>
                <w:sz w:val="21"/>
                <w:szCs w:val="21"/>
                <w:highlight w:val="none"/>
                <w:lang w:val="en-US" w:eastAsia="zh-CN"/>
              </w:rPr>
              <w:t>锤式破碎机</w:t>
            </w:r>
          </w:p>
        </w:tc>
        <w:tc>
          <w:tcPr>
            <w:tcW w:w="574" w:type="pct"/>
            <w:tcBorders>
              <w:tl2br w:val="nil"/>
              <w:tr2bl w:val="nil"/>
            </w:tcBorders>
            <w:noWrap w:val="0"/>
            <w:vAlign w:val="center"/>
          </w:tcPr>
          <w:p w14:paraId="282C47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w:t>
            </w:r>
          </w:p>
        </w:tc>
        <w:tc>
          <w:tcPr>
            <w:tcW w:w="426" w:type="pct"/>
            <w:tcBorders>
              <w:tl2br w:val="nil"/>
              <w:tr2bl w:val="nil"/>
            </w:tcBorders>
            <w:noWrap w:val="0"/>
            <w:vAlign w:val="center"/>
          </w:tcPr>
          <w:p w14:paraId="05B6A5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-15</w:t>
            </w:r>
          </w:p>
        </w:tc>
        <w:tc>
          <w:tcPr>
            <w:tcW w:w="408" w:type="pct"/>
            <w:tcBorders>
              <w:tl2br w:val="nil"/>
              <w:tr2bl w:val="nil"/>
            </w:tcBorders>
            <w:noWrap w:val="0"/>
            <w:vAlign w:val="center"/>
          </w:tcPr>
          <w:p w14:paraId="211C41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-13</w:t>
            </w:r>
          </w:p>
        </w:tc>
        <w:tc>
          <w:tcPr>
            <w:tcW w:w="392" w:type="pct"/>
            <w:tcBorders>
              <w:tl2br w:val="nil"/>
              <w:tr2bl w:val="nil"/>
            </w:tcBorders>
            <w:noWrap w:val="0"/>
            <w:vAlign w:val="center"/>
          </w:tcPr>
          <w:p w14:paraId="6BC0F8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3</w:t>
            </w:r>
          </w:p>
        </w:tc>
        <w:tc>
          <w:tcPr>
            <w:tcW w:w="627" w:type="pct"/>
            <w:tcBorders>
              <w:tl2br w:val="nil"/>
              <w:tr2bl w:val="nil"/>
            </w:tcBorders>
            <w:noWrap w:val="0"/>
            <w:vAlign w:val="center"/>
          </w:tcPr>
          <w:p w14:paraId="06340D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85-114</w:t>
            </w:r>
          </w:p>
        </w:tc>
        <w:tc>
          <w:tcPr>
            <w:tcW w:w="681" w:type="pct"/>
            <w:vMerge w:val="continue"/>
            <w:tcBorders>
              <w:tl2br w:val="nil"/>
              <w:tr2bl w:val="nil"/>
            </w:tcBorders>
            <w:noWrap w:val="0"/>
            <w:vAlign w:val="center"/>
          </w:tcPr>
          <w:p w14:paraId="7EF296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p>
        </w:tc>
        <w:tc>
          <w:tcPr>
            <w:tcW w:w="509" w:type="pct"/>
            <w:tcBorders>
              <w:tl2br w:val="nil"/>
              <w:tr2bl w:val="nil"/>
            </w:tcBorders>
            <w:noWrap w:val="0"/>
            <w:vAlign w:val="center"/>
          </w:tcPr>
          <w:p w14:paraId="433324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p>
        </w:tc>
      </w:tr>
      <w:tr w14:paraId="3D24C7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85" w:hRule="atLeast"/>
          <w:jc w:val="center"/>
        </w:trPr>
        <w:tc>
          <w:tcPr>
            <w:tcW w:w="179" w:type="pct"/>
            <w:vMerge w:val="continue"/>
            <w:tcBorders>
              <w:tl2br w:val="nil"/>
              <w:tr2bl w:val="nil"/>
            </w:tcBorders>
            <w:noWrap w:val="0"/>
            <w:vAlign w:val="center"/>
          </w:tcPr>
          <w:p w14:paraId="0D13A0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rPr>
            </w:pPr>
          </w:p>
        </w:tc>
        <w:tc>
          <w:tcPr>
            <w:tcW w:w="480" w:type="pct"/>
            <w:vMerge w:val="continue"/>
            <w:tcBorders>
              <w:tl2br w:val="nil"/>
              <w:tr2bl w:val="nil"/>
            </w:tcBorders>
            <w:noWrap w:val="0"/>
            <w:vAlign w:val="center"/>
          </w:tcPr>
          <w:p w14:paraId="5B6A27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rPr>
            </w:pPr>
          </w:p>
        </w:tc>
        <w:tc>
          <w:tcPr>
            <w:tcW w:w="720" w:type="pct"/>
            <w:tcBorders>
              <w:tl2br w:val="nil"/>
              <w:tr2bl w:val="nil"/>
            </w:tcBorders>
            <w:noWrap w:val="0"/>
            <w:vAlign w:val="top"/>
          </w:tcPr>
          <w:p w14:paraId="334833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风机</w:t>
            </w:r>
          </w:p>
        </w:tc>
        <w:tc>
          <w:tcPr>
            <w:tcW w:w="574" w:type="pct"/>
            <w:tcBorders>
              <w:tl2br w:val="nil"/>
              <w:tr2bl w:val="nil"/>
            </w:tcBorders>
            <w:noWrap w:val="0"/>
            <w:vAlign w:val="center"/>
          </w:tcPr>
          <w:p w14:paraId="6F2B7F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426" w:type="pct"/>
            <w:tcBorders>
              <w:tl2br w:val="nil"/>
              <w:tr2bl w:val="nil"/>
            </w:tcBorders>
            <w:noWrap w:val="0"/>
            <w:vAlign w:val="center"/>
          </w:tcPr>
          <w:p w14:paraId="33D7CE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43</w:t>
            </w:r>
          </w:p>
        </w:tc>
        <w:tc>
          <w:tcPr>
            <w:tcW w:w="408" w:type="pct"/>
            <w:tcBorders>
              <w:tl2br w:val="nil"/>
              <w:tr2bl w:val="nil"/>
            </w:tcBorders>
            <w:noWrap w:val="0"/>
            <w:vAlign w:val="center"/>
          </w:tcPr>
          <w:p w14:paraId="481CA0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-46</w:t>
            </w:r>
          </w:p>
        </w:tc>
        <w:tc>
          <w:tcPr>
            <w:tcW w:w="392" w:type="pct"/>
            <w:tcBorders>
              <w:tl2br w:val="nil"/>
              <w:tr2bl w:val="nil"/>
            </w:tcBorders>
            <w:noWrap w:val="0"/>
            <w:vAlign w:val="center"/>
          </w:tcPr>
          <w:p w14:paraId="691C34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2.2</w:t>
            </w:r>
          </w:p>
        </w:tc>
        <w:tc>
          <w:tcPr>
            <w:tcW w:w="627" w:type="pct"/>
            <w:tcBorders>
              <w:tl2br w:val="nil"/>
              <w:tr2bl w:val="nil"/>
            </w:tcBorders>
            <w:noWrap w:val="0"/>
            <w:vAlign w:val="top"/>
          </w:tcPr>
          <w:p w14:paraId="32CC44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snapToGrid w:val="0"/>
                <w:color w:val="auto"/>
                <w:sz w:val="21"/>
                <w:szCs w:val="21"/>
                <w:highlight w:val="none"/>
              </w:rPr>
              <w:t>85~ 100</w:t>
            </w:r>
          </w:p>
        </w:tc>
        <w:tc>
          <w:tcPr>
            <w:tcW w:w="681" w:type="pct"/>
            <w:tcBorders>
              <w:tl2br w:val="nil"/>
              <w:tr2bl w:val="nil"/>
            </w:tcBorders>
            <w:noWrap w:val="0"/>
            <w:vAlign w:val="center"/>
          </w:tcPr>
          <w:p w14:paraId="2B85E8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消声器</w:t>
            </w:r>
          </w:p>
        </w:tc>
        <w:tc>
          <w:tcPr>
            <w:tcW w:w="509" w:type="pct"/>
            <w:tcBorders>
              <w:tl2br w:val="nil"/>
              <w:tr2bl w:val="nil"/>
            </w:tcBorders>
            <w:noWrap w:val="0"/>
            <w:vAlign w:val="center"/>
          </w:tcPr>
          <w:p w14:paraId="6AA7F4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连续运行</w:t>
            </w:r>
          </w:p>
        </w:tc>
      </w:tr>
    </w:tbl>
    <w:p w14:paraId="5A809512">
      <w:pPr>
        <w:pStyle w:val="10"/>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eastAsia="宋体"/>
          <w:b/>
          <w:bCs/>
          <w:caps w:val="0"/>
          <w:smallCaps w:val="0"/>
          <w:color w:val="auto"/>
          <w:kern w:val="0"/>
          <w:sz w:val="21"/>
          <w:szCs w:val="21"/>
          <w:highlight w:val="none"/>
          <w:lang w:eastAsia="zh-CN"/>
        </w:rPr>
      </w:pPr>
      <w:r>
        <w:rPr>
          <w:rFonts w:ascii="Times New Roman" w:hAnsi="Times New Roman" w:eastAsia="宋体"/>
          <w:b/>
          <w:bCs/>
          <w:caps w:val="0"/>
          <w:smallCaps w:val="0"/>
          <w:color w:val="auto"/>
          <w:kern w:val="0"/>
          <w:sz w:val="21"/>
          <w:szCs w:val="21"/>
          <w:highlight w:val="none"/>
        </w:rPr>
        <w:t>表</w:t>
      </w:r>
      <w:r>
        <w:rPr>
          <w:rFonts w:hint="eastAsia" w:ascii="Times New Roman" w:hAnsi="Times New Roman" w:eastAsia="宋体"/>
          <w:b/>
          <w:bCs/>
          <w:caps w:val="0"/>
          <w:smallCaps w:val="0"/>
          <w:color w:val="auto"/>
          <w:kern w:val="0"/>
          <w:sz w:val="21"/>
          <w:szCs w:val="21"/>
          <w:highlight w:val="none"/>
          <w:lang w:val="en-US" w:eastAsia="zh-CN"/>
        </w:rPr>
        <w:t>5.4-2</w:t>
      </w:r>
      <w:r>
        <w:rPr>
          <w:rFonts w:ascii="Times New Roman" w:hAnsi="Times New Roman" w:eastAsia="宋体"/>
          <w:b/>
          <w:bCs/>
          <w:caps w:val="0"/>
          <w:smallCaps w:val="0"/>
          <w:color w:val="auto"/>
          <w:kern w:val="0"/>
          <w:sz w:val="21"/>
          <w:szCs w:val="21"/>
          <w:highlight w:val="none"/>
        </w:rPr>
        <w:t xml:space="preserve">    本项目主要噪声源及治理情况一览表</w:t>
      </w:r>
      <w:r>
        <w:rPr>
          <w:rFonts w:hint="eastAsia" w:ascii="Times New Roman" w:hAnsi="Times New Roman" w:eastAsia="宋体"/>
          <w:b/>
          <w:bCs/>
          <w:caps w:val="0"/>
          <w:smallCaps w:val="0"/>
          <w:color w:val="auto"/>
          <w:kern w:val="0"/>
          <w:sz w:val="21"/>
          <w:szCs w:val="21"/>
          <w:highlight w:val="none"/>
          <w:lang w:eastAsia="zh-CN"/>
        </w:rPr>
        <w:t>（室内声源）</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0"/>
        <w:gridCol w:w="1023"/>
        <w:gridCol w:w="1233"/>
        <w:gridCol w:w="732"/>
        <w:gridCol w:w="1071"/>
        <w:gridCol w:w="1317"/>
        <w:gridCol w:w="621"/>
        <w:gridCol w:w="637"/>
        <w:gridCol w:w="660"/>
        <w:gridCol w:w="1034"/>
        <w:gridCol w:w="1183"/>
        <w:gridCol w:w="1107"/>
        <w:gridCol w:w="1241"/>
        <w:gridCol w:w="780"/>
        <w:gridCol w:w="939"/>
      </w:tblGrid>
      <w:tr w14:paraId="36C953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69" w:hRule="atLeast"/>
          <w:tblHeader/>
          <w:jc w:val="center"/>
        </w:trPr>
        <w:tc>
          <w:tcPr>
            <w:tcW w:w="136" w:type="pct"/>
            <w:vMerge w:val="restart"/>
            <w:tcBorders>
              <w:tl2br w:val="nil"/>
              <w:tr2bl w:val="nil"/>
            </w:tcBorders>
            <w:noWrap w:val="0"/>
            <w:vAlign w:val="center"/>
          </w:tcPr>
          <w:p w14:paraId="1CFBEA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序号</w:t>
            </w:r>
          </w:p>
        </w:tc>
        <w:tc>
          <w:tcPr>
            <w:tcW w:w="366" w:type="pct"/>
            <w:vMerge w:val="restart"/>
            <w:tcBorders>
              <w:tl2br w:val="nil"/>
              <w:tr2bl w:val="nil"/>
            </w:tcBorders>
            <w:noWrap w:val="0"/>
            <w:vAlign w:val="center"/>
          </w:tcPr>
          <w:p w14:paraId="2F3DD3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生产工序</w:t>
            </w:r>
          </w:p>
        </w:tc>
        <w:tc>
          <w:tcPr>
            <w:tcW w:w="441" w:type="pct"/>
            <w:vMerge w:val="restart"/>
            <w:tcBorders>
              <w:tl2br w:val="nil"/>
              <w:tr2bl w:val="nil"/>
            </w:tcBorders>
            <w:noWrap w:val="0"/>
            <w:vAlign w:val="center"/>
          </w:tcPr>
          <w:p w14:paraId="5295DE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噪声源名称</w:t>
            </w:r>
          </w:p>
        </w:tc>
        <w:tc>
          <w:tcPr>
            <w:tcW w:w="262" w:type="pct"/>
            <w:vMerge w:val="restart"/>
            <w:tcBorders>
              <w:tl2br w:val="nil"/>
              <w:tr2bl w:val="nil"/>
            </w:tcBorders>
            <w:noWrap w:val="0"/>
            <w:vAlign w:val="center"/>
          </w:tcPr>
          <w:p w14:paraId="375D5D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型号</w:t>
            </w:r>
          </w:p>
        </w:tc>
        <w:tc>
          <w:tcPr>
            <w:tcW w:w="383" w:type="pct"/>
            <w:vMerge w:val="restart"/>
            <w:tcBorders>
              <w:tl2br w:val="nil"/>
              <w:tr2bl w:val="nil"/>
            </w:tcBorders>
            <w:noWrap w:val="0"/>
            <w:vAlign w:val="center"/>
          </w:tcPr>
          <w:p w14:paraId="394367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声源源强</w:t>
            </w:r>
            <w:r>
              <w:rPr>
                <w:rFonts w:ascii="Times New Roman" w:hAnsi="Times New Roman" w:eastAsia="宋体"/>
                <w:caps w:val="0"/>
                <w:smallCaps w:val="0"/>
                <w:color w:val="auto"/>
                <w:sz w:val="21"/>
                <w:szCs w:val="21"/>
                <w:highlight w:val="none"/>
              </w:rPr>
              <w:t>/dB(A)</w:t>
            </w:r>
          </w:p>
        </w:tc>
        <w:tc>
          <w:tcPr>
            <w:tcW w:w="471" w:type="pct"/>
            <w:vMerge w:val="restart"/>
            <w:tcBorders>
              <w:tl2br w:val="nil"/>
              <w:tr2bl w:val="nil"/>
            </w:tcBorders>
            <w:noWrap w:val="0"/>
            <w:vAlign w:val="center"/>
          </w:tcPr>
          <w:p w14:paraId="51F911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ascii="Times New Roman" w:hAnsi="Times New Roman" w:eastAsia="宋体"/>
                <w:caps w:val="0"/>
                <w:smallCaps w:val="0"/>
                <w:color w:val="auto"/>
                <w:sz w:val="21"/>
                <w:szCs w:val="21"/>
                <w:highlight w:val="none"/>
              </w:rPr>
              <w:t>声源控制措施</w:t>
            </w:r>
          </w:p>
        </w:tc>
        <w:tc>
          <w:tcPr>
            <w:tcW w:w="686" w:type="pct"/>
            <w:gridSpan w:val="3"/>
            <w:tcBorders>
              <w:tl2br w:val="nil"/>
              <w:tr2bl w:val="nil"/>
            </w:tcBorders>
            <w:noWrap w:val="0"/>
            <w:vAlign w:val="center"/>
          </w:tcPr>
          <w:p w14:paraId="2B42B4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空间相对位置/m</w:t>
            </w:r>
          </w:p>
        </w:tc>
        <w:tc>
          <w:tcPr>
            <w:tcW w:w="370" w:type="pct"/>
            <w:vMerge w:val="restart"/>
            <w:tcBorders>
              <w:tl2br w:val="nil"/>
              <w:tr2bl w:val="nil"/>
            </w:tcBorders>
            <w:noWrap w:val="0"/>
            <w:vAlign w:val="center"/>
          </w:tcPr>
          <w:p w14:paraId="7F38FE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距室内边界距离</w:t>
            </w:r>
            <w:r>
              <w:rPr>
                <w:rFonts w:ascii="Times New Roman" w:hAnsi="Times New Roman" w:eastAsia="宋体"/>
                <w:caps w:val="0"/>
                <w:smallCaps w:val="0"/>
                <w:color w:val="auto"/>
                <w:sz w:val="21"/>
                <w:szCs w:val="21"/>
                <w:highlight w:val="none"/>
              </w:rPr>
              <w:t>/</w:t>
            </w:r>
            <w:r>
              <w:rPr>
                <w:rFonts w:hint="eastAsia" w:ascii="Times New Roman" w:hAnsi="Times New Roman" w:eastAsia="宋体"/>
                <w:caps w:val="0"/>
                <w:smallCaps w:val="0"/>
                <w:color w:val="auto"/>
                <w:sz w:val="21"/>
                <w:szCs w:val="21"/>
                <w:highlight w:val="none"/>
                <w:lang w:val="en-US" w:eastAsia="zh-CN"/>
              </w:rPr>
              <w:t>m</w:t>
            </w:r>
          </w:p>
        </w:tc>
        <w:tc>
          <w:tcPr>
            <w:tcW w:w="423" w:type="pct"/>
            <w:vMerge w:val="restart"/>
            <w:tcBorders>
              <w:tl2br w:val="nil"/>
              <w:tr2bl w:val="nil"/>
            </w:tcBorders>
            <w:noWrap w:val="0"/>
            <w:vAlign w:val="center"/>
          </w:tcPr>
          <w:p w14:paraId="0231EB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hint="eastAsia" w:ascii="Times New Roman" w:hAnsi="Times New Roman" w:eastAsia="宋体"/>
                <w:caps w:val="0"/>
                <w:smallCaps w:val="0"/>
                <w:color w:val="auto"/>
                <w:sz w:val="21"/>
                <w:szCs w:val="21"/>
                <w:highlight w:val="none"/>
                <w:lang w:val="en-US" w:eastAsia="zh-CN"/>
              </w:rPr>
              <w:t>室内边界声级</w:t>
            </w:r>
            <w:r>
              <w:rPr>
                <w:rFonts w:ascii="Times New Roman" w:hAnsi="Times New Roman" w:eastAsia="宋体"/>
                <w:caps w:val="0"/>
                <w:smallCaps w:val="0"/>
                <w:color w:val="auto"/>
                <w:sz w:val="21"/>
                <w:szCs w:val="21"/>
                <w:highlight w:val="none"/>
              </w:rPr>
              <w:t>/dB(A)</w:t>
            </w:r>
          </w:p>
        </w:tc>
        <w:tc>
          <w:tcPr>
            <w:tcW w:w="396" w:type="pct"/>
            <w:vMerge w:val="restart"/>
            <w:tcBorders>
              <w:tl2br w:val="nil"/>
              <w:tr2bl w:val="nil"/>
            </w:tcBorders>
            <w:noWrap w:val="0"/>
            <w:vAlign w:val="center"/>
          </w:tcPr>
          <w:p w14:paraId="199BC2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运行时段</w:t>
            </w:r>
          </w:p>
        </w:tc>
        <w:tc>
          <w:tcPr>
            <w:tcW w:w="444" w:type="pct"/>
            <w:vMerge w:val="restart"/>
            <w:tcBorders>
              <w:tl2br w:val="nil"/>
              <w:tr2bl w:val="nil"/>
            </w:tcBorders>
            <w:noWrap w:val="0"/>
            <w:vAlign w:val="center"/>
          </w:tcPr>
          <w:p w14:paraId="39A90D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建筑物插入损失</w:t>
            </w:r>
            <w:r>
              <w:rPr>
                <w:rFonts w:ascii="Times New Roman" w:hAnsi="Times New Roman" w:eastAsia="宋体"/>
                <w:caps w:val="0"/>
                <w:smallCaps w:val="0"/>
                <w:color w:val="auto"/>
                <w:sz w:val="21"/>
                <w:szCs w:val="21"/>
                <w:highlight w:val="none"/>
              </w:rPr>
              <w:t>/dB(A)</w:t>
            </w:r>
          </w:p>
        </w:tc>
        <w:tc>
          <w:tcPr>
            <w:tcW w:w="615" w:type="pct"/>
            <w:gridSpan w:val="2"/>
            <w:tcBorders>
              <w:tl2br w:val="nil"/>
              <w:tr2bl w:val="nil"/>
            </w:tcBorders>
            <w:noWrap w:val="0"/>
            <w:vAlign w:val="center"/>
          </w:tcPr>
          <w:p w14:paraId="7E5EFF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建筑物外噪声</w:t>
            </w:r>
          </w:p>
        </w:tc>
      </w:tr>
      <w:tr w14:paraId="682530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69" w:hRule="atLeast"/>
          <w:tblHeader/>
          <w:jc w:val="center"/>
        </w:trPr>
        <w:tc>
          <w:tcPr>
            <w:tcW w:w="136" w:type="pct"/>
            <w:vMerge w:val="continue"/>
            <w:tcBorders>
              <w:tl2br w:val="nil"/>
              <w:tr2bl w:val="nil"/>
            </w:tcBorders>
            <w:noWrap w:val="0"/>
            <w:vAlign w:val="center"/>
          </w:tcPr>
          <w:p w14:paraId="1CF2BB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366" w:type="pct"/>
            <w:vMerge w:val="continue"/>
            <w:tcBorders>
              <w:tl2br w:val="nil"/>
              <w:tr2bl w:val="nil"/>
            </w:tcBorders>
            <w:noWrap w:val="0"/>
            <w:vAlign w:val="center"/>
          </w:tcPr>
          <w:p w14:paraId="2DAB66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41" w:type="pct"/>
            <w:vMerge w:val="continue"/>
            <w:tcBorders>
              <w:tl2br w:val="nil"/>
              <w:tr2bl w:val="nil"/>
            </w:tcBorders>
            <w:noWrap w:val="0"/>
            <w:vAlign w:val="center"/>
          </w:tcPr>
          <w:p w14:paraId="3F1E57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262" w:type="pct"/>
            <w:vMerge w:val="continue"/>
            <w:tcBorders>
              <w:tl2br w:val="nil"/>
              <w:tr2bl w:val="nil"/>
            </w:tcBorders>
            <w:noWrap w:val="0"/>
            <w:vAlign w:val="center"/>
          </w:tcPr>
          <w:p w14:paraId="69DFA5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383" w:type="pct"/>
            <w:vMerge w:val="continue"/>
            <w:tcBorders>
              <w:tl2br w:val="nil"/>
              <w:tr2bl w:val="nil"/>
            </w:tcBorders>
            <w:noWrap w:val="0"/>
            <w:vAlign w:val="center"/>
          </w:tcPr>
          <w:p w14:paraId="6C0D42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71" w:type="pct"/>
            <w:vMerge w:val="continue"/>
            <w:tcBorders>
              <w:tl2br w:val="nil"/>
              <w:tr2bl w:val="nil"/>
            </w:tcBorders>
            <w:noWrap w:val="0"/>
            <w:vAlign w:val="center"/>
          </w:tcPr>
          <w:p w14:paraId="78A8A2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222" w:type="pct"/>
            <w:tcBorders>
              <w:tl2br w:val="nil"/>
              <w:tr2bl w:val="nil"/>
            </w:tcBorders>
            <w:noWrap w:val="0"/>
            <w:vAlign w:val="center"/>
          </w:tcPr>
          <w:p w14:paraId="73B821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X</w:t>
            </w:r>
          </w:p>
        </w:tc>
        <w:tc>
          <w:tcPr>
            <w:tcW w:w="228" w:type="pct"/>
            <w:tcBorders>
              <w:tl2br w:val="nil"/>
              <w:tr2bl w:val="nil"/>
            </w:tcBorders>
            <w:noWrap w:val="0"/>
            <w:vAlign w:val="center"/>
          </w:tcPr>
          <w:p w14:paraId="448D6A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Y</w:t>
            </w:r>
          </w:p>
        </w:tc>
        <w:tc>
          <w:tcPr>
            <w:tcW w:w="236" w:type="pct"/>
            <w:tcBorders>
              <w:tl2br w:val="nil"/>
              <w:tr2bl w:val="nil"/>
            </w:tcBorders>
            <w:noWrap w:val="0"/>
            <w:vAlign w:val="center"/>
          </w:tcPr>
          <w:p w14:paraId="46E46B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Z</w:t>
            </w:r>
          </w:p>
        </w:tc>
        <w:tc>
          <w:tcPr>
            <w:tcW w:w="370" w:type="pct"/>
            <w:vMerge w:val="continue"/>
            <w:tcBorders>
              <w:tl2br w:val="nil"/>
              <w:tr2bl w:val="nil"/>
            </w:tcBorders>
            <w:noWrap w:val="0"/>
            <w:vAlign w:val="center"/>
          </w:tcPr>
          <w:p w14:paraId="069A56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23" w:type="pct"/>
            <w:vMerge w:val="continue"/>
            <w:tcBorders>
              <w:tl2br w:val="nil"/>
              <w:tr2bl w:val="nil"/>
            </w:tcBorders>
            <w:noWrap w:val="0"/>
            <w:vAlign w:val="center"/>
          </w:tcPr>
          <w:p w14:paraId="1D086E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396" w:type="pct"/>
            <w:vMerge w:val="continue"/>
            <w:tcBorders>
              <w:tl2br w:val="nil"/>
              <w:tr2bl w:val="nil"/>
            </w:tcBorders>
            <w:noWrap w:val="0"/>
            <w:vAlign w:val="center"/>
          </w:tcPr>
          <w:p w14:paraId="636CDD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44" w:type="pct"/>
            <w:vMerge w:val="continue"/>
            <w:tcBorders>
              <w:tl2br w:val="nil"/>
              <w:tr2bl w:val="nil"/>
            </w:tcBorders>
            <w:noWrap w:val="0"/>
            <w:vAlign w:val="center"/>
          </w:tcPr>
          <w:p w14:paraId="630202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279" w:type="pct"/>
            <w:tcBorders>
              <w:tl2br w:val="nil"/>
              <w:tr2bl w:val="nil"/>
            </w:tcBorders>
            <w:noWrap w:val="0"/>
            <w:vAlign w:val="center"/>
          </w:tcPr>
          <w:p w14:paraId="1C3FA9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hint="eastAsia" w:ascii="Times New Roman" w:hAnsi="Times New Roman" w:eastAsia="宋体"/>
                <w:caps w:val="0"/>
                <w:smallCaps w:val="0"/>
                <w:color w:val="auto"/>
                <w:sz w:val="21"/>
                <w:szCs w:val="21"/>
                <w:highlight w:val="none"/>
                <w:lang w:val="en-US" w:eastAsia="zh-CN"/>
              </w:rPr>
              <w:t>声压级</w:t>
            </w:r>
            <w:r>
              <w:rPr>
                <w:rFonts w:ascii="Times New Roman" w:hAnsi="Times New Roman" w:eastAsia="宋体"/>
                <w:caps w:val="0"/>
                <w:smallCaps w:val="0"/>
                <w:color w:val="auto"/>
                <w:sz w:val="21"/>
                <w:szCs w:val="21"/>
                <w:highlight w:val="none"/>
              </w:rPr>
              <w:t>/dB(A)</w:t>
            </w:r>
          </w:p>
        </w:tc>
        <w:tc>
          <w:tcPr>
            <w:tcW w:w="336" w:type="pct"/>
            <w:tcBorders>
              <w:tl2br w:val="nil"/>
              <w:tr2bl w:val="nil"/>
            </w:tcBorders>
            <w:noWrap w:val="0"/>
            <w:vAlign w:val="center"/>
          </w:tcPr>
          <w:p w14:paraId="30E6C6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eastAsia="zh-CN"/>
              </w:rPr>
              <w:t>建筑物外距离</w:t>
            </w:r>
            <w:r>
              <w:rPr>
                <w:rFonts w:hint="eastAsia" w:ascii="Times New Roman" w:hAnsi="Times New Roman" w:eastAsia="宋体"/>
                <w:caps w:val="0"/>
                <w:smallCaps w:val="0"/>
                <w:color w:val="auto"/>
                <w:sz w:val="21"/>
                <w:szCs w:val="21"/>
                <w:highlight w:val="none"/>
                <w:lang w:val="en-US" w:eastAsia="zh-CN"/>
              </w:rPr>
              <w:t>/m</w:t>
            </w:r>
          </w:p>
        </w:tc>
      </w:tr>
      <w:tr w14:paraId="6BAA72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36" w:type="pct"/>
            <w:vMerge w:val="restart"/>
            <w:tcBorders>
              <w:tl2br w:val="nil"/>
              <w:tr2bl w:val="nil"/>
            </w:tcBorders>
            <w:noWrap w:val="0"/>
            <w:vAlign w:val="center"/>
          </w:tcPr>
          <w:p w14:paraId="65C611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w:t>
            </w:r>
          </w:p>
        </w:tc>
        <w:tc>
          <w:tcPr>
            <w:tcW w:w="366" w:type="pct"/>
            <w:vMerge w:val="restart"/>
            <w:tcBorders>
              <w:tl2br w:val="nil"/>
              <w:tr2bl w:val="nil"/>
            </w:tcBorders>
            <w:noWrap w:val="0"/>
            <w:vAlign w:val="center"/>
          </w:tcPr>
          <w:p w14:paraId="31BF42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选矿</w:t>
            </w:r>
          </w:p>
        </w:tc>
        <w:tc>
          <w:tcPr>
            <w:tcW w:w="441" w:type="pct"/>
            <w:tcBorders>
              <w:tl2br w:val="nil"/>
              <w:tr2bl w:val="nil"/>
            </w:tcBorders>
            <w:noWrap w:val="0"/>
            <w:vAlign w:val="center"/>
          </w:tcPr>
          <w:p w14:paraId="7ED02A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球磨机</w:t>
            </w:r>
          </w:p>
        </w:tc>
        <w:tc>
          <w:tcPr>
            <w:tcW w:w="262" w:type="pct"/>
            <w:tcBorders>
              <w:tl2br w:val="nil"/>
              <w:tr2bl w:val="nil"/>
            </w:tcBorders>
            <w:noWrap w:val="0"/>
            <w:vAlign w:val="center"/>
          </w:tcPr>
          <w:p w14:paraId="7D2F3B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383" w:type="pct"/>
            <w:tcBorders>
              <w:tl2br w:val="nil"/>
              <w:tr2bl w:val="nil"/>
            </w:tcBorders>
            <w:noWrap w:val="0"/>
            <w:vAlign w:val="center"/>
          </w:tcPr>
          <w:p w14:paraId="3A4590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120-130</w:t>
            </w:r>
          </w:p>
        </w:tc>
        <w:tc>
          <w:tcPr>
            <w:tcW w:w="471" w:type="pct"/>
            <w:tcBorders>
              <w:tl2br w:val="nil"/>
              <w:tr2bl w:val="nil"/>
            </w:tcBorders>
            <w:noWrap w:val="0"/>
            <w:vAlign w:val="center"/>
          </w:tcPr>
          <w:p w14:paraId="09E626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kern w:val="2"/>
                <w:sz w:val="21"/>
                <w:szCs w:val="21"/>
                <w:highlight w:val="none"/>
                <w:lang w:val="en-US" w:eastAsia="zh-CN" w:bidi="ar-SA"/>
              </w:rPr>
            </w:pPr>
            <w:r>
              <w:rPr>
                <w:rFonts w:ascii="Times New Roman" w:hAnsi="Times New Roman" w:eastAsia="宋体"/>
                <w:caps w:val="0"/>
                <w:smallCaps w:val="0"/>
                <w:color w:val="auto"/>
                <w:sz w:val="21"/>
                <w:szCs w:val="21"/>
                <w:highlight w:val="none"/>
              </w:rPr>
              <w:t>基础</w:t>
            </w:r>
            <w:r>
              <w:rPr>
                <w:rFonts w:hint="eastAsia"/>
                <w:caps w:val="0"/>
                <w:smallCaps w:val="0"/>
                <w:color w:val="auto"/>
                <w:sz w:val="21"/>
                <w:szCs w:val="21"/>
                <w:highlight w:val="none"/>
                <w:lang w:eastAsia="zh-CN"/>
              </w:rPr>
              <w:t>减振</w:t>
            </w:r>
            <w:r>
              <w:rPr>
                <w:rFonts w:ascii="Times New Roman" w:hAnsi="Times New Roman" w:eastAsia="宋体"/>
                <w:caps w:val="0"/>
                <w:smallCaps w:val="0"/>
                <w:color w:val="auto"/>
                <w:sz w:val="21"/>
                <w:szCs w:val="21"/>
                <w:highlight w:val="none"/>
              </w:rPr>
              <w:t>、消声</w:t>
            </w:r>
            <w:r>
              <w:rPr>
                <w:rFonts w:hint="eastAsia" w:ascii="Times New Roman" w:hAnsi="Times New Roman" w:eastAsia="宋体"/>
                <w:caps w:val="0"/>
                <w:smallCaps w:val="0"/>
                <w:color w:val="auto"/>
                <w:sz w:val="21"/>
                <w:szCs w:val="21"/>
                <w:highlight w:val="none"/>
                <w:lang w:eastAsia="zh-CN"/>
              </w:rPr>
              <w:t>、隔声</w:t>
            </w:r>
          </w:p>
        </w:tc>
        <w:tc>
          <w:tcPr>
            <w:tcW w:w="222" w:type="pct"/>
            <w:tcBorders>
              <w:tl2br w:val="nil"/>
              <w:tr2bl w:val="nil"/>
            </w:tcBorders>
            <w:noWrap w:val="0"/>
            <w:vAlign w:val="center"/>
          </w:tcPr>
          <w:p w14:paraId="77B6BA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80</w:t>
            </w:r>
          </w:p>
        </w:tc>
        <w:tc>
          <w:tcPr>
            <w:tcW w:w="228" w:type="pct"/>
            <w:tcBorders>
              <w:tl2br w:val="nil"/>
              <w:tr2bl w:val="nil"/>
            </w:tcBorders>
            <w:noWrap w:val="0"/>
            <w:vAlign w:val="center"/>
          </w:tcPr>
          <w:p w14:paraId="5F46AA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-6</w:t>
            </w:r>
          </w:p>
        </w:tc>
        <w:tc>
          <w:tcPr>
            <w:tcW w:w="236" w:type="pct"/>
            <w:tcBorders>
              <w:tl2br w:val="nil"/>
              <w:tr2bl w:val="nil"/>
            </w:tcBorders>
            <w:noWrap w:val="0"/>
            <w:vAlign w:val="center"/>
          </w:tcPr>
          <w:p w14:paraId="32E186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2.5</w:t>
            </w:r>
          </w:p>
        </w:tc>
        <w:tc>
          <w:tcPr>
            <w:tcW w:w="370" w:type="pct"/>
            <w:tcBorders>
              <w:tl2br w:val="nil"/>
              <w:tr2bl w:val="nil"/>
            </w:tcBorders>
            <w:noWrap w:val="0"/>
            <w:vAlign w:val="center"/>
          </w:tcPr>
          <w:p w14:paraId="7685E5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12</w:t>
            </w:r>
          </w:p>
        </w:tc>
        <w:tc>
          <w:tcPr>
            <w:tcW w:w="423" w:type="pct"/>
            <w:tcBorders>
              <w:tl2br w:val="nil"/>
              <w:tr2bl w:val="nil"/>
            </w:tcBorders>
            <w:noWrap w:val="0"/>
            <w:vAlign w:val="center"/>
          </w:tcPr>
          <w:p w14:paraId="536F65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68.4</w:t>
            </w:r>
          </w:p>
        </w:tc>
        <w:tc>
          <w:tcPr>
            <w:tcW w:w="396" w:type="pct"/>
            <w:tcBorders>
              <w:tl2br w:val="nil"/>
              <w:tr2bl w:val="nil"/>
            </w:tcBorders>
            <w:noWrap w:val="0"/>
            <w:vAlign w:val="center"/>
          </w:tcPr>
          <w:p w14:paraId="38939E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连续运行</w:t>
            </w:r>
          </w:p>
        </w:tc>
        <w:tc>
          <w:tcPr>
            <w:tcW w:w="444" w:type="pct"/>
            <w:tcBorders>
              <w:tl2br w:val="nil"/>
              <w:tr2bl w:val="nil"/>
            </w:tcBorders>
            <w:noWrap w:val="0"/>
            <w:vAlign w:val="center"/>
          </w:tcPr>
          <w:p w14:paraId="2A03DC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20</w:t>
            </w:r>
          </w:p>
        </w:tc>
        <w:tc>
          <w:tcPr>
            <w:tcW w:w="279" w:type="pct"/>
            <w:tcBorders>
              <w:tl2br w:val="nil"/>
              <w:tr2bl w:val="nil"/>
            </w:tcBorders>
            <w:noWrap w:val="0"/>
            <w:vAlign w:val="center"/>
          </w:tcPr>
          <w:p w14:paraId="35BA44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48.4</w:t>
            </w:r>
          </w:p>
        </w:tc>
        <w:tc>
          <w:tcPr>
            <w:tcW w:w="336" w:type="pct"/>
            <w:tcBorders>
              <w:tl2br w:val="nil"/>
              <w:tr2bl w:val="nil"/>
            </w:tcBorders>
            <w:noWrap w:val="0"/>
            <w:vAlign w:val="center"/>
          </w:tcPr>
          <w:p w14:paraId="37C827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1</w:t>
            </w:r>
          </w:p>
        </w:tc>
      </w:tr>
      <w:tr w14:paraId="53C920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36" w:type="pct"/>
            <w:vMerge w:val="continue"/>
            <w:tcBorders>
              <w:tl2br w:val="nil"/>
              <w:tr2bl w:val="nil"/>
            </w:tcBorders>
            <w:noWrap w:val="0"/>
            <w:vAlign w:val="center"/>
          </w:tcPr>
          <w:p w14:paraId="0232C6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366" w:type="pct"/>
            <w:vMerge w:val="continue"/>
            <w:tcBorders>
              <w:tl2br w:val="nil"/>
              <w:tr2bl w:val="nil"/>
            </w:tcBorders>
            <w:noWrap w:val="0"/>
            <w:vAlign w:val="center"/>
          </w:tcPr>
          <w:p w14:paraId="12AF43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41" w:type="pct"/>
            <w:tcBorders>
              <w:tl2br w:val="nil"/>
              <w:tr2bl w:val="nil"/>
            </w:tcBorders>
            <w:noWrap w:val="0"/>
            <w:vAlign w:val="center"/>
          </w:tcPr>
          <w:p w14:paraId="72F722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cs="Times New Roman"/>
                <w:snapToGrid w:val="0"/>
                <w:color w:val="auto"/>
                <w:sz w:val="21"/>
                <w:szCs w:val="21"/>
                <w:highlight w:val="none"/>
                <w:lang w:val="en-US" w:eastAsia="zh-CN"/>
              </w:rPr>
              <w:t>各类泵</w:t>
            </w:r>
          </w:p>
        </w:tc>
        <w:tc>
          <w:tcPr>
            <w:tcW w:w="262" w:type="pct"/>
            <w:tcBorders>
              <w:tl2br w:val="nil"/>
              <w:tr2bl w:val="nil"/>
            </w:tcBorders>
            <w:noWrap w:val="0"/>
            <w:vAlign w:val="center"/>
          </w:tcPr>
          <w:p w14:paraId="3BD614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383" w:type="pct"/>
            <w:tcBorders>
              <w:tl2br w:val="nil"/>
              <w:tr2bl w:val="nil"/>
            </w:tcBorders>
            <w:shd w:val="clear" w:color="auto" w:fill="auto"/>
            <w:noWrap w:val="0"/>
            <w:vAlign w:val="top"/>
          </w:tcPr>
          <w:p w14:paraId="7252AC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cs="Times New Roman"/>
                <w:snapToGrid w:val="0"/>
                <w:color w:val="auto"/>
                <w:sz w:val="21"/>
                <w:szCs w:val="21"/>
                <w:highlight w:val="none"/>
              </w:rPr>
              <w:t>95~ 105</w:t>
            </w:r>
          </w:p>
        </w:tc>
        <w:tc>
          <w:tcPr>
            <w:tcW w:w="471" w:type="pct"/>
            <w:tcBorders>
              <w:tl2br w:val="nil"/>
              <w:tr2bl w:val="nil"/>
            </w:tcBorders>
            <w:noWrap w:val="0"/>
            <w:vAlign w:val="center"/>
          </w:tcPr>
          <w:p w14:paraId="662DCD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kern w:val="2"/>
                <w:sz w:val="21"/>
                <w:szCs w:val="21"/>
                <w:highlight w:val="none"/>
                <w:lang w:val="en-US" w:eastAsia="zh-CN" w:bidi="ar-SA"/>
              </w:rPr>
            </w:pPr>
            <w:r>
              <w:rPr>
                <w:rFonts w:ascii="Times New Roman" w:hAnsi="Times New Roman" w:eastAsia="宋体"/>
                <w:caps w:val="0"/>
                <w:smallCaps w:val="0"/>
                <w:color w:val="auto"/>
                <w:sz w:val="21"/>
                <w:szCs w:val="21"/>
                <w:highlight w:val="none"/>
              </w:rPr>
              <w:t>基础</w:t>
            </w:r>
            <w:r>
              <w:rPr>
                <w:rFonts w:hint="eastAsia"/>
                <w:caps w:val="0"/>
                <w:smallCaps w:val="0"/>
                <w:color w:val="auto"/>
                <w:sz w:val="21"/>
                <w:szCs w:val="21"/>
                <w:highlight w:val="none"/>
                <w:lang w:eastAsia="zh-CN"/>
              </w:rPr>
              <w:t>减振</w:t>
            </w:r>
            <w:r>
              <w:rPr>
                <w:rFonts w:ascii="Times New Roman" w:hAnsi="Times New Roman" w:eastAsia="宋体"/>
                <w:caps w:val="0"/>
                <w:smallCaps w:val="0"/>
                <w:color w:val="auto"/>
                <w:sz w:val="21"/>
                <w:szCs w:val="21"/>
                <w:highlight w:val="none"/>
              </w:rPr>
              <w:t>、消声</w:t>
            </w:r>
            <w:r>
              <w:rPr>
                <w:rFonts w:hint="eastAsia" w:ascii="Times New Roman" w:hAnsi="Times New Roman" w:eastAsia="宋体"/>
                <w:caps w:val="0"/>
                <w:smallCaps w:val="0"/>
                <w:color w:val="auto"/>
                <w:sz w:val="21"/>
                <w:szCs w:val="21"/>
                <w:highlight w:val="none"/>
                <w:lang w:eastAsia="zh-CN"/>
              </w:rPr>
              <w:t>、隔声</w:t>
            </w:r>
          </w:p>
        </w:tc>
        <w:tc>
          <w:tcPr>
            <w:tcW w:w="222" w:type="pct"/>
            <w:tcBorders>
              <w:tl2br w:val="nil"/>
              <w:tr2bl w:val="nil"/>
            </w:tcBorders>
            <w:noWrap w:val="0"/>
            <w:vAlign w:val="center"/>
          </w:tcPr>
          <w:p w14:paraId="7F69D1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105</w:t>
            </w:r>
          </w:p>
        </w:tc>
        <w:tc>
          <w:tcPr>
            <w:tcW w:w="228" w:type="pct"/>
            <w:tcBorders>
              <w:tl2br w:val="nil"/>
              <w:tr2bl w:val="nil"/>
            </w:tcBorders>
            <w:noWrap w:val="0"/>
            <w:vAlign w:val="center"/>
          </w:tcPr>
          <w:p w14:paraId="048074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20</w:t>
            </w:r>
          </w:p>
        </w:tc>
        <w:tc>
          <w:tcPr>
            <w:tcW w:w="236" w:type="pct"/>
            <w:tcBorders>
              <w:tl2br w:val="nil"/>
              <w:tr2bl w:val="nil"/>
            </w:tcBorders>
            <w:noWrap w:val="0"/>
            <w:vAlign w:val="center"/>
          </w:tcPr>
          <w:p w14:paraId="2E19CA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0.5</w:t>
            </w:r>
          </w:p>
        </w:tc>
        <w:tc>
          <w:tcPr>
            <w:tcW w:w="370" w:type="pct"/>
            <w:tcBorders>
              <w:tl2br w:val="nil"/>
              <w:tr2bl w:val="nil"/>
            </w:tcBorders>
            <w:noWrap w:val="0"/>
            <w:vAlign w:val="center"/>
          </w:tcPr>
          <w:p w14:paraId="35DEA1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10</w:t>
            </w:r>
          </w:p>
        </w:tc>
        <w:tc>
          <w:tcPr>
            <w:tcW w:w="423" w:type="pct"/>
            <w:tcBorders>
              <w:tl2br w:val="nil"/>
              <w:tr2bl w:val="nil"/>
            </w:tcBorders>
            <w:noWrap w:val="0"/>
            <w:vAlign w:val="center"/>
          </w:tcPr>
          <w:p w14:paraId="52A33F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70</w:t>
            </w:r>
          </w:p>
        </w:tc>
        <w:tc>
          <w:tcPr>
            <w:tcW w:w="396" w:type="pct"/>
            <w:tcBorders>
              <w:tl2br w:val="nil"/>
              <w:tr2bl w:val="nil"/>
            </w:tcBorders>
            <w:noWrap w:val="0"/>
            <w:vAlign w:val="center"/>
          </w:tcPr>
          <w:p w14:paraId="45E364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连续运行</w:t>
            </w:r>
          </w:p>
        </w:tc>
        <w:tc>
          <w:tcPr>
            <w:tcW w:w="444" w:type="pct"/>
            <w:tcBorders>
              <w:tl2br w:val="nil"/>
              <w:tr2bl w:val="nil"/>
            </w:tcBorders>
            <w:noWrap w:val="0"/>
            <w:vAlign w:val="center"/>
          </w:tcPr>
          <w:p w14:paraId="7EDD16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20</w:t>
            </w:r>
          </w:p>
        </w:tc>
        <w:tc>
          <w:tcPr>
            <w:tcW w:w="279" w:type="pct"/>
            <w:tcBorders>
              <w:tl2br w:val="nil"/>
              <w:tr2bl w:val="nil"/>
            </w:tcBorders>
            <w:noWrap w:val="0"/>
            <w:vAlign w:val="center"/>
          </w:tcPr>
          <w:p w14:paraId="21848E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50</w:t>
            </w:r>
          </w:p>
        </w:tc>
        <w:tc>
          <w:tcPr>
            <w:tcW w:w="336" w:type="pct"/>
            <w:tcBorders>
              <w:tl2br w:val="nil"/>
              <w:tr2bl w:val="nil"/>
            </w:tcBorders>
            <w:noWrap w:val="0"/>
            <w:vAlign w:val="center"/>
          </w:tcPr>
          <w:p w14:paraId="7E5860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1</w:t>
            </w:r>
          </w:p>
        </w:tc>
      </w:tr>
    </w:tbl>
    <w:p w14:paraId="5C5A8A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highlight w:val="none"/>
        </w:rPr>
        <w:sectPr>
          <w:pgSz w:w="16838" w:h="11906" w:orient="landscape"/>
          <w:pgMar w:top="1797" w:right="1440" w:bottom="1797" w:left="1440" w:header="964"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6F4261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表5.4-</w:t>
      </w:r>
      <w:r>
        <w:rPr>
          <w:rFonts w:hint="eastAsia" w:cs="Times New Roman" w:eastAsiaTheme="minorEastAsia"/>
          <w:b/>
          <w:bCs/>
          <w:color w:val="auto"/>
          <w:kern w:val="0"/>
          <w:sz w:val="21"/>
          <w:szCs w:val="21"/>
          <w:highlight w:val="none"/>
          <w:lang w:val="en-US" w:eastAsia="zh-CN"/>
        </w:rPr>
        <w:t>3</w:t>
      </w:r>
      <w:r>
        <w:rPr>
          <w:rFonts w:hint="default" w:ascii="Times New Roman" w:hAnsi="Times New Roman" w:cs="Times New Roman" w:eastAsiaTheme="minorEastAsia"/>
          <w:b/>
          <w:bCs/>
          <w:color w:val="auto"/>
          <w:kern w:val="0"/>
          <w:sz w:val="21"/>
          <w:szCs w:val="21"/>
          <w:highlight w:val="none"/>
        </w:rPr>
        <w:t xml:space="preserve">  环境数据一览表</w:t>
      </w:r>
    </w:p>
    <w:tbl>
      <w:tblPr>
        <w:tblStyle w:val="2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41"/>
        <w:gridCol w:w="3287"/>
      </w:tblGrid>
      <w:tr w14:paraId="2272C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7209A12A">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环境数据类别</w:t>
            </w:r>
          </w:p>
        </w:tc>
        <w:tc>
          <w:tcPr>
            <w:tcW w:w="1927" w:type="pct"/>
            <w:vAlign w:val="center"/>
          </w:tcPr>
          <w:p w14:paraId="1CC47652">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数据</w:t>
            </w:r>
          </w:p>
        </w:tc>
      </w:tr>
      <w:tr w14:paraId="3BF44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0B3B8CE7">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年平均风速</w:t>
            </w:r>
          </w:p>
        </w:tc>
        <w:tc>
          <w:tcPr>
            <w:tcW w:w="1927" w:type="pct"/>
            <w:vAlign w:val="center"/>
          </w:tcPr>
          <w:p w14:paraId="14491FD9">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1.7m/s</w:t>
            </w:r>
          </w:p>
        </w:tc>
      </w:tr>
      <w:tr w14:paraId="4E3CD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30C4E297">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主导风向</w:t>
            </w:r>
          </w:p>
        </w:tc>
        <w:tc>
          <w:tcPr>
            <w:tcW w:w="1927" w:type="pct"/>
            <w:vAlign w:val="center"/>
          </w:tcPr>
          <w:p w14:paraId="777E7CEE">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东风</w:t>
            </w:r>
          </w:p>
        </w:tc>
      </w:tr>
      <w:tr w14:paraId="55513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2697B36D">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年平均气温</w:t>
            </w:r>
          </w:p>
        </w:tc>
        <w:tc>
          <w:tcPr>
            <w:tcW w:w="1927" w:type="pct"/>
            <w:vAlign w:val="center"/>
          </w:tcPr>
          <w:p w14:paraId="2E54FA70">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12.8℃</w:t>
            </w:r>
          </w:p>
        </w:tc>
      </w:tr>
      <w:tr w14:paraId="0A61E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01CF759E">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年平均相对湿度</w:t>
            </w:r>
          </w:p>
        </w:tc>
        <w:tc>
          <w:tcPr>
            <w:tcW w:w="1927" w:type="pct"/>
            <w:vAlign w:val="center"/>
          </w:tcPr>
          <w:p w14:paraId="75DA79E1">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61</w:t>
            </w:r>
            <w:r>
              <w:rPr>
                <w:rFonts w:hint="eastAsia" w:cs="Times New Roman"/>
                <w:color w:val="auto"/>
                <w:sz w:val="21"/>
                <w:szCs w:val="21"/>
                <w:highlight w:val="none"/>
                <w:lang w:eastAsia="zh-CN"/>
              </w:rPr>
              <w:t>%</w:t>
            </w:r>
          </w:p>
        </w:tc>
      </w:tr>
      <w:tr w14:paraId="6D032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2B00CE9C">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大气压强</w:t>
            </w:r>
          </w:p>
        </w:tc>
        <w:tc>
          <w:tcPr>
            <w:tcW w:w="1927" w:type="pct"/>
            <w:vAlign w:val="center"/>
          </w:tcPr>
          <w:p w14:paraId="4C01BCDD">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95.36kPa</w:t>
            </w:r>
          </w:p>
        </w:tc>
      </w:tr>
      <w:tr w14:paraId="26066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12F125E3">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地形</w:t>
            </w:r>
          </w:p>
        </w:tc>
        <w:tc>
          <w:tcPr>
            <w:tcW w:w="1927" w:type="pct"/>
            <w:vAlign w:val="center"/>
          </w:tcPr>
          <w:p w14:paraId="085CC601">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平原</w:t>
            </w:r>
          </w:p>
        </w:tc>
      </w:tr>
      <w:tr w14:paraId="249D3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469FC331">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声源和预测点障碍物几何尺寸</w:t>
            </w:r>
          </w:p>
        </w:tc>
        <w:tc>
          <w:tcPr>
            <w:tcW w:w="1927" w:type="pct"/>
            <w:vAlign w:val="center"/>
          </w:tcPr>
          <w:p w14:paraId="375AC92C">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2m高</w:t>
            </w:r>
          </w:p>
        </w:tc>
      </w:tr>
      <w:tr w14:paraId="7C87F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437D0762">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声源和预测点间的地面覆盖情况</w:t>
            </w:r>
          </w:p>
        </w:tc>
        <w:tc>
          <w:tcPr>
            <w:tcW w:w="1927" w:type="pct"/>
            <w:vAlign w:val="center"/>
          </w:tcPr>
          <w:p w14:paraId="67562743">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水泥地面</w:t>
            </w:r>
          </w:p>
        </w:tc>
      </w:tr>
    </w:tbl>
    <w:p w14:paraId="16B3AE51">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5.4.2声环境影响预测模式</w:t>
      </w:r>
    </w:p>
    <w:p w14:paraId="71A1A84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（1）预测条件假设</w:t>
      </w:r>
    </w:p>
    <w:p w14:paraId="5E49AE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①所有产噪设备均在正常工况条件下运行；</w:t>
      </w:r>
    </w:p>
    <w:p w14:paraId="2B7BC06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②室内噪声源考虑声源所在厂房围护结构的隔声作用；</w:t>
      </w:r>
    </w:p>
    <w:p w14:paraId="14E8640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③为便于预测计算，将各车间噪声源概化叠加作为源强；</w:t>
      </w:r>
    </w:p>
    <w:p w14:paraId="4AC5C5F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④考虑声源至预测点的距离衰减，忽略传播中建筑物的阻挡、地面反射以及空气吸收、雨、雪、温度等影响。</w:t>
      </w:r>
    </w:p>
    <w:p w14:paraId="351D1DE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（2）预测模式</w:t>
      </w:r>
    </w:p>
    <w:p w14:paraId="33AA797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eastAsia" w:cs="Times New Roman"/>
          <w:color w:val="auto"/>
          <w:spacing w:val="0"/>
          <w:kern w:val="0"/>
          <w:sz w:val="24"/>
          <w:szCs w:val="24"/>
          <w:highlight w:val="none"/>
          <w:lang w:val="en-US" w:eastAsia="zh-CN" w:bidi="ar-SA"/>
        </w:rPr>
        <w:t>1.</w:t>
      </w:r>
      <w:r>
        <w:rPr>
          <w:rFonts w:hint="default" w:ascii="Times New Roman" w:hAnsi="Times New Roman" w:eastAsia="宋体" w:cs="Times New Roman"/>
          <w:color w:val="auto"/>
          <w:spacing w:val="0"/>
          <w:kern w:val="0"/>
          <w:sz w:val="24"/>
          <w:szCs w:val="24"/>
          <w:highlight w:val="none"/>
          <w:lang w:val="en-US" w:eastAsia="zh-CN" w:bidi="ar-SA"/>
        </w:rPr>
        <w:t>预测因子：等效</w:t>
      </w:r>
      <w:r>
        <w:rPr>
          <w:rFonts w:hint="eastAsia"/>
          <w:color w:val="auto"/>
          <w:highlight w:val="none"/>
          <w:lang w:val="en-US" w:eastAsia="zh-CN"/>
        </w:rPr>
        <w:t>连续</w:t>
      </w:r>
      <w:r>
        <w:rPr>
          <w:rFonts w:hint="default" w:ascii="Times New Roman" w:hAnsi="Times New Roman" w:eastAsia="宋体" w:cs="Times New Roman"/>
          <w:color w:val="auto"/>
          <w:spacing w:val="0"/>
          <w:kern w:val="0"/>
          <w:sz w:val="24"/>
          <w:szCs w:val="24"/>
          <w:highlight w:val="none"/>
          <w:lang w:val="en-US" w:eastAsia="zh-CN" w:bidi="ar-SA"/>
        </w:rPr>
        <w:t>A声级。</w:t>
      </w:r>
    </w:p>
    <w:p w14:paraId="3F35290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eastAsia" w:cs="Times New Roman"/>
          <w:color w:val="auto"/>
          <w:spacing w:val="0"/>
          <w:kern w:val="0"/>
          <w:sz w:val="24"/>
          <w:szCs w:val="24"/>
          <w:highlight w:val="none"/>
          <w:lang w:val="en-US" w:eastAsia="zh-CN" w:bidi="ar-SA"/>
        </w:rPr>
        <w:t>2.</w:t>
      </w:r>
      <w:r>
        <w:rPr>
          <w:rFonts w:hint="default" w:ascii="Times New Roman" w:hAnsi="Times New Roman" w:eastAsia="宋体" w:cs="Times New Roman"/>
          <w:color w:val="auto"/>
          <w:spacing w:val="0"/>
          <w:kern w:val="0"/>
          <w:sz w:val="24"/>
          <w:szCs w:val="24"/>
          <w:highlight w:val="none"/>
          <w:lang w:val="en-US" w:eastAsia="zh-CN" w:bidi="ar-SA"/>
        </w:rPr>
        <w:t>预测模式：采用工业噪声预测模式和声压级叠加模式，预测噪声源对厂界噪声的贡献值。</w:t>
      </w:r>
    </w:p>
    <w:p w14:paraId="632B018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①室外声源</w:t>
      </w:r>
    </w:p>
    <w:p w14:paraId="11A39550">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31" o:spt="75" type="#_x0000_t75" style="height:19pt;width:157.95pt;" o:ole="t" filled="f" o:preferrelative="t" stroked="f" coordsize="21600,21600">
            <v:path/>
            <v:fill on="f" focussize="0,0"/>
            <v:stroke on="f"/>
            <v:imagedata r:id="rId53" o:title=""/>
            <o:lock v:ext="edit" grouping="f" rotation="f" text="f" aspectratio="t"/>
            <w10:wrap type="none"/>
            <w10:anchorlock/>
          </v:shape>
          <o:OLEObject Type="Embed" ProgID="Equation.DSMT4" ShapeID="_x0000_i1031" DrawAspect="Content" ObjectID="_1468075731" r:id="rId52">
            <o:LockedField>false</o:LockedField>
          </o:OLEObject>
        </w:object>
      </w:r>
    </w:p>
    <w:p w14:paraId="41890E8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position w:val="-14"/>
          <w:sz w:val="24"/>
          <w:highlight w:val="none"/>
        </w:rPr>
        <w:object>
          <v:shape id="_x0000_i1032" o:spt="75" type="#_x0000_t75" style="height:19pt;width:30pt;" o:ole="t" filled="f" o:preferrelative="t" stroked="f" coordsize="21600,21600">
            <v:path/>
            <v:fill on="f" focussize="0,0"/>
            <v:stroke on="f"/>
            <v:imagedata r:id="rId55" o:title=""/>
            <o:lock v:ext="edit" grouping="f" rotation="f" text="f" aspectratio="t"/>
            <w10:wrap type="none"/>
            <w10:anchorlock/>
          </v:shape>
          <o:OLEObject Type="Embed" ProgID="Equation.DSMT4" ShapeID="_x0000_i1032" DrawAspect="Content" ObjectID="_1468075732" r:id="rId54">
            <o:LockedField>false</o:LockedField>
          </o:OLEObject>
        </w:object>
      </w:r>
      <w:r>
        <w:rPr>
          <w:rFonts w:hint="default" w:ascii="Times New Roman" w:hAnsi="Times New Roman" w:eastAsia="宋体" w:cs="Times New Roman"/>
          <w:color w:val="auto"/>
          <w:sz w:val="24"/>
          <w:highlight w:val="none"/>
        </w:rPr>
        <w:t>—噪声源在预测点的声压级，dB</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1A8B571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33" o:spt="75" type="#_x0000_t75" style="height:19pt;width:33pt;" o:ole="t" filled="f" o:preferrelative="t" stroked="f" coordsize="21600,21600">
            <v:path/>
            <v:fill on="f" focussize="0,0"/>
            <v:stroke on="f"/>
            <v:imagedata r:id="rId57" o:title=""/>
            <o:lock v:ext="edit" grouping="f" rotation="f" text="f" aspectratio="t"/>
            <w10:wrap type="none"/>
            <w10:anchorlock/>
          </v:shape>
          <o:OLEObject Type="Embed" ProgID="Equation.DSMT4" ShapeID="_x0000_i1033" DrawAspect="Content" ObjectID="_1468075733" r:id="rId56">
            <o:LockedField>false</o:LockedField>
          </o:OLEObject>
        </w:object>
      </w:r>
      <w:r>
        <w:rPr>
          <w:rFonts w:hint="default" w:ascii="Times New Roman" w:hAnsi="Times New Roman" w:eastAsia="宋体" w:cs="Times New Roman"/>
          <w:color w:val="auto"/>
          <w:sz w:val="24"/>
          <w:highlight w:val="none"/>
        </w:rPr>
        <w:t>—参考位置</w:t>
      </w:r>
      <w:r>
        <w:rPr>
          <w:rFonts w:hint="default" w:ascii="Times New Roman" w:hAnsi="Times New Roman" w:eastAsia="宋体" w:cs="Times New Roman"/>
          <w:color w:val="auto"/>
          <w:position w:val="-12"/>
          <w:sz w:val="24"/>
          <w:highlight w:val="none"/>
        </w:rPr>
        <w:object>
          <v:shape id="_x0000_i1034" o:spt="75" type="#_x0000_t75" style="height:18pt;width:11pt;" o:ole="t" filled="f" o:preferrelative="t" stroked="f" coordsize="21600,21600">
            <v:path/>
            <v:fill on="f" focussize="0,0"/>
            <v:stroke on="f"/>
            <v:imagedata r:id="rId59" o:title=""/>
            <o:lock v:ext="edit" grouping="f" rotation="f" text="f" aspectratio="t"/>
            <w10:wrap type="none"/>
            <w10:anchorlock/>
          </v:shape>
          <o:OLEObject Type="Embed" ProgID="Equation.DSMT4" ShapeID="_x0000_i1034" DrawAspect="Content" ObjectID="_1468075734" r:id="rId58">
            <o:LockedField>false</o:LockedField>
          </o:OLEObject>
        </w:object>
      </w:r>
      <w:r>
        <w:rPr>
          <w:rFonts w:hint="default" w:ascii="Times New Roman" w:hAnsi="Times New Roman" w:eastAsia="宋体" w:cs="Times New Roman"/>
          <w:color w:val="auto"/>
          <w:sz w:val="24"/>
          <w:highlight w:val="none"/>
        </w:rPr>
        <w:t>处的声压级，dB</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5C51FE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2"/>
          <w:sz w:val="24"/>
          <w:highlight w:val="none"/>
        </w:rPr>
        <w:object>
          <v:shape id="_x0000_i1035" o:spt="75" type="#_x0000_t75" style="height:18pt;width:11pt;" o:ole="t" filled="f" o:preferrelative="t" stroked="f" coordsize="21600,21600">
            <v:path/>
            <v:fill on="f" focussize="0,0"/>
            <v:stroke on="f"/>
            <v:imagedata r:id="rId59" o:title=""/>
            <o:lock v:ext="edit" grouping="f" rotation="f" text="f" aspectratio="t"/>
            <w10:wrap type="none"/>
            <w10:anchorlock/>
          </v:shape>
          <o:OLEObject Type="Embed" ProgID="Equation.DSMT4" ShapeID="_x0000_i1035" DrawAspect="Content" ObjectID="_1468075735" r:id="rId60">
            <o:LockedField>false</o:LockedField>
          </o:OLEObject>
        </w:object>
      </w:r>
      <w:r>
        <w:rPr>
          <w:rFonts w:hint="default" w:ascii="Times New Roman" w:hAnsi="Times New Roman" w:eastAsia="宋体" w:cs="Times New Roman"/>
          <w:color w:val="auto"/>
          <w:sz w:val="24"/>
          <w:highlight w:val="none"/>
        </w:rPr>
        <w:t>—参考位置距声源中心的位置，m；</w:t>
      </w:r>
    </w:p>
    <w:p w14:paraId="7D7C9BE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rPr>
        <w:object>
          <v:shape id="_x0000_i1036" o:spt="75" type="#_x0000_t75" style="height:10pt;width:9pt;" o:ole="t" filled="f" o:preferrelative="t" stroked="f" coordsize="21600,21600">
            <v:path/>
            <v:fill on="f" focussize="0,0"/>
            <v:stroke on="f"/>
            <v:imagedata r:id="rId62" o:title=""/>
            <o:lock v:ext="edit" grouping="f" rotation="f" text="f" aspectratio="t"/>
            <w10:wrap type="none"/>
            <w10:anchorlock/>
          </v:shape>
          <o:OLEObject Type="Embed" ProgID="Equation.DSMT4" ShapeID="_x0000_i1036" DrawAspect="Content" ObjectID="_1468075736" r:id="rId61">
            <o:LockedField>false</o:LockedField>
          </o:OLEObject>
        </w:object>
      </w:r>
      <w:r>
        <w:rPr>
          <w:rFonts w:hint="default" w:ascii="Times New Roman" w:hAnsi="Times New Roman" w:eastAsia="宋体" w:cs="Times New Roman"/>
          <w:color w:val="auto"/>
          <w:sz w:val="24"/>
          <w:highlight w:val="none"/>
        </w:rPr>
        <w:t>—声源中心至预测点的距离，m；</w:t>
      </w:r>
    </w:p>
    <w:p w14:paraId="0B43618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rPr>
        <w:object>
          <v:shape id="_x0000_i1037" o:spt="75" type="#_x0000_t75" style="height:13pt;width:18pt;" o:ole="t" filled="f" o:preferrelative="t" stroked="f" coordsize="21600,21600">
            <v:path/>
            <v:fill on="f" focussize="0,0"/>
            <v:stroke on="f"/>
            <v:imagedata r:id="rId64" o:title=""/>
            <o:lock v:ext="edit" grouping="f" rotation="f" text="f" aspectratio="t"/>
            <w10:wrap type="none"/>
            <w10:anchorlock/>
          </v:shape>
          <o:OLEObject Type="Embed" ProgID="Equation.DSMT4" ShapeID="_x0000_i1037" DrawAspect="Content" ObjectID="_1468075737" r:id="rId63">
            <o:LockedField>false</o:LockedField>
          </o:OLEObject>
        </w:object>
      </w:r>
      <w:r>
        <w:rPr>
          <w:rFonts w:hint="default" w:ascii="Times New Roman" w:hAnsi="Times New Roman" w:eastAsia="宋体" w:cs="Times New Roman"/>
          <w:color w:val="auto"/>
          <w:sz w:val="24"/>
          <w:highlight w:val="none"/>
        </w:rPr>
        <w:t>—各种因素引起的声衰减量（如声屏障，遮挡物，空气吸收，地面吸收等引起的声衰减），dB</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6F98430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室内声源</w:t>
      </w:r>
    </w:p>
    <w:p w14:paraId="6D7EF8FA">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计算车间室内声源靠近围护结构处产生的声压级：</w:t>
      </w:r>
    </w:p>
    <w:p w14:paraId="11A68597">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2"/>
          <w:sz w:val="24"/>
          <w:highlight w:val="none"/>
        </w:rPr>
        <w:object>
          <v:shape id="_x0000_i1038" o:spt="75" type="#_x0000_t75" style="height:35pt;width:137pt;" o:ole="t" filled="f" o:preferrelative="t" stroked="f" coordsize="21600,21600">
            <v:path/>
            <v:fill on="f" focussize="0,0"/>
            <v:stroke on="f"/>
            <v:imagedata r:id="rId66" o:title=""/>
            <o:lock v:ext="edit" grouping="f" rotation="f" text="f" aspectratio="t"/>
            <w10:wrap type="none"/>
            <w10:anchorlock/>
          </v:shape>
          <o:OLEObject Type="Embed" ProgID="Equation.3" ShapeID="_x0000_i1038" DrawAspect="Content" ObjectID="_1468075738" r:id="rId65">
            <o:LockedField>false</o:LockedField>
          </o:OLEObject>
        </w:object>
      </w:r>
    </w:p>
    <w:p w14:paraId="2CB538B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position w:val="-10"/>
          <w:sz w:val="24"/>
          <w:highlight w:val="none"/>
        </w:rPr>
        <w:object>
          <v:shape id="_x0000_i1039" o:spt="75" type="#_x0000_t75" style="height:16pt;width:12pt;" o:ole="t" filled="f" o:preferrelative="t" stroked="f" coordsize="21600,21600">
            <v:path/>
            <v:fill on="f" focussize="0,0"/>
            <v:stroke on="f"/>
            <v:imagedata r:id="rId68" o:title=""/>
            <o:lock v:ext="edit" grouping="f" rotation="f" text="f" aspectratio="t"/>
            <w10:wrap type="none"/>
            <w10:anchorlock/>
          </v:shape>
          <o:OLEObject Type="Embed" ProgID="Equation.DSMT4" ShapeID="_x0000_i1039" DrawAspect="Content" ObjectID="_1468075739" r:id="rId67">
            <o:LockedField>false</o:LockedField>
          </o:OLEObject>
        </w:object>
      </w:r>
      <w:r>
        <w:rPr>
          <w:rFonts w:hint="default" w:ascii="Times New Roman" w:hAnsi="Times New Roman" w:eastAsia="宋体" w:cs="Times New Roman"/>
          <w:color w:val="auto"/>
          <w:sz w:val="24"/>
          <w:highlight w:val="none"/>
        </w:rPr>
        <w:t>—指向性因子；</w:t>
      </w:r>
    </w:p>
    <w:p w14:paraId="12214E4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W</w:t>
      </w:r>
      <w:r>
        <w:rPr>
          <w:rFonts w:hint="default" w:ascii="Times New Roman" w:hAnsi="Times New Roman" w:eastAsia="宋体" w:cs="Times New Roman"/>
          <w:color w:val="auto"/>
          <w:sz w:val="24"/>
          <w:highlight w:val="none"/>
        </w:rPr>
        <w:t>—室内声源声功率级，dB；</w:t>
      </w:r>
    </w:p>
    <w:p w14:paraId="56FC5FE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rPr>
        <w:object>
          <v:shape id="_x0000_i1040" o:spt="75" type="#_x0000_t75" style="height:13pt;width:12pt;" o:ole="t" filled="f" o:preferrelative="t" stroked="f" coordsize="21600,21600">
            <v:path/>
            <v:fill on="f" focussize="0,0"/>
            <v:stroke on="f"/>
            <v:imagedata r:id="rId70" o:title=""/>
            <o:lock v:ext="edit" grouping="f" rotation="f" text="f" aspectratio="t"/>
            <w10:wrap type="none"/>
            <w10:anchorlock/>
          </v:shape>
          <o:OLEObject Type="Embed" ProgID="Equation.DSMT4" ShapeID="_x0000_i1040" DrawAspect="Content" ObjectID="_1468075740" r:id="rId69">
            <o:LockedField>false</o:LockedField>
          </o:OLEObject>
        </w:object>
      </w:r>
      <w:r>
        <w:rPr>
          <w:rFonts w:hint="default" w:ascii="Times New Roman" w:hAnsi="Times New Roman" w:eastAsia="宋体" w:cs="Times New Roman"/>
          <w:color w:val="auto"/>
          <w:sz w:val="24"/>
          <w:highlight w:val="none"/>
        </w:rPr>
        <w:t>—房间常数；</w:t>
      </w:r>
    </w:p>
    <w:p w14:paraId="2FB366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2"/>
          <w:sz w:val="24"/>
          <w:highlight w:val="none"/>
        </w:rPr>
        <w:object>
          <v:shape id="_x0000_i1041" o:spt="75" type="#_x0000_t75" style="height:18pt;width:10pt;" o:ole="t" filled="f" o:preferrelative="t" stroked="f" coordsize="21600,21600">
            <v:path/>
            <v:fill on="f" focussize="0,0"/>
            <v:stroke on="f"/>
            <v:imagedata r:id="rId72" o:title=""/>
            <o:lock v:ext="edit" grouping="f" rotation="f" text="f" aspectratio="t"/>
            <w10:wrap type="none"/>
            <w10:anchorlock/>
          </v:shape>
          <o:OLEObject Type="Embed" ProgID="Equation.DSMT4" ShapeID="_x0000_i1041" DrawAspect="Content" ObjectID="_1468075741" r:id="rId71">
            <o:LockedField>false</o:LockedField>
          </o:OLEObject>
        </w:object>
      </w:r>
      <w:r>
        <w:rPr>
          <w:rFonts w:hint="default" w:ascii="Times New Roman" w:hAnsi="Times New Roman" w:eastAsia="宋体" w:cs="Times New Roman"/>
          <w:color w:val="auto"/>
          <w:sz w:val="24"/>
          <w:highlight w:val="none"/>
        </w:rPr>
        <w:t>—声源到靠近围护结构某点处的距离，m。</w:t>
      </w:r>
    </w:p>
    <w:p w14:paraId="07D1D3A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7" w:firstLineChars="28"/>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B.计算所有室内声源在围护结构处产生的叠加声压级：</w:t>
      </w:r>
    </w:p>
    <w:p w14:paraId="015E8595">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0"/>
          <w:sz w:val="24"/>
          <w:highlight w:val="none"/>
        </w:rPr>
        <w:object>
          <v:shape id="_x0000_i1042" o:spt="75" type="#_x0000_t75" style="height:35pt;width:128pt;" o:ole="t" filled="f" o:preferrelative="t" stroked="f" coordsize="21600,21600">
            <v:path/>
            <v:fill on="f" focussize="0,0"/>
            <v:stroke on="f"/>
            <v:imagedata r:id="rId74" o:title=""/>
            <o:lock v:ext="edit" grouping="f" rotation="f" text="f" aspectratio="t"/>
            <w10:wrap type="none"/>
            <w10:anchorlock/>
          </v:shape>
          <o:OLEObject Type="Embed" ProgID="Equation.3" ShapeID="_x0000_i1042" DrawAspect="Content" ObjectID="_1468075742" r:id="rId73">
            <o:LockedField>false</o:LockedField>
          </o:OLEObject>
        </w:object>
      </w:r>
    </w:p>
    <w:p w14:paraId="2F2394B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16" w:firstLineChars="257"/>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p1</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T</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—靠近围护结构处室内N个声源的叠加声压级，dB；</w:t>
      </w:r>
    </w:p>
    <w:p w14:paraId="0E8DF4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33" w:firstLineChars="514"/>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p1j</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T</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—室内j声源声压级，dB；</w:t>
      </w:r>
    </w:p>
    <w:p w14:paraId="1E5A7B6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33" w:firstLineChars="514"/>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N—室内声源总数。</w:t>
      </w:r>
    </w:p>
    <w:p w14:paraId="4FDA515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C.计算靠近室外</w:t>
      </w:r>
      <w:r>
        <w:rPr>
          <w:rFonts w:hint="eastAsia" w:ascii="Times New Roman" w:hAnsi="Times New Roman" w:eastAsia="宋体" w:cs="Times New Roman"/>
          <w:color w:val="auto"/>
          <w:sz w:val="24"/>
          <w:highlight w:val="none"/>
          <w:lang w:eastAsia="zh-CN"/>
        </w:rPr>
        <w:t>围</w:t>
      </w:r>
      <w:r>
        <w:rPr>
          <w:rFonts w:hint="default" w:ascii="Times New Roman" w:hAnsi="Times New Roman" w:eastAsia="宋体" w:cs="Times New Roman"/>
          <w:color w:val="auto"/>
          <w:sz w:val="24"/>
          <w:highlight w:val="none"/>
        </w:rPr>
        <w:t>护结构处的声压级：</w:t>
      </w:r>
    </w:p>
    <w:p w14:paraId="065F6690">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3" o:spt="75" type="#_x0000_t75" style="height:19pt;width:132.95pt;" o:ole="t" filled="f" o:preferrelative="t" stroked="f" coordsize="21600,21600">
            <v:path/>
            <v:fill on="f" focussize="0,0"/>
            <v:stroke on="f"/>
            <v:imagedata r:id="rId76" o:title=""/>
            <o:lock v:ext="edit" grouping="f" rotation="f" text="f" aspectratio="t"/>
            <w10:wrap type="none"/>
            <w10:anchorlock/>
          </v:shape>
          <o:OLEObject Type="Embed" ProgID="Equation.3" ShapeID="_x0000_i1043" DrawAspect="Content" ObjectID="_1468075743" r:id="rId75">
            <o:LockedField>false</o:LockedField>
          </o:OLEObject>
        </w:object>
      </w:r>
    </w:p>
    <w:p w14:paraId="279C355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720" w:firstLineChars="3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p2i</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T</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—靠近围护结构处室内N个声源的叠加声压级，dB；</w:t>
      </w:r>
    </w:p>
    <w:p w14:paraId="33F7312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33" w:firstLineChars="514"/>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TL—围护结构的隔声量，dB；</w:t>
      </w:r>
    </w:p>
    <w:p w14:paraId="69B2BBD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D.将室外声源的声压级和透过面积换算成等效的室外声源，计算中心位置位于透声面积处的等效声源的声功率级：</w:t>
      </w:r>
    </w:p>
    <w:p w14:paraId="69E821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2"/>
          <w:sz w:val="24"/>
          <w:highlight w:val="none"/>
        </w:rPr>
        <w:object>
          <v:shape id="_x0000_i1044" o:spt="75" type="#_x0000_t75" style="height:18pt;width:105pt;" o:ole="t" filled="f" o:preferrelative="t" stroked="f" coordsize="21600,21600">
            <v:path/>
            <v:fill on="f" focussize="0,0"/>
            <v:stroke on="f"/>
            <v:imagedata r:id="rId78" o:title=""/>
            <o:lock v:ext="edit" grouping="f" rotation="f" text="f" aspectratio="t"/>
            <w10:wrap type="none"/>
            <w10:anchorlock/>
          </v:shape>
          <o:OLEObject Type="Embed" ProgID="Equation.3" ShapeID="_x0000_i1044" DrawAspect="Content" ObjectID="_1468075744" r:id="rId77">
            <o:LockedField>false</o:LockedField>
          </o:OLEObject>
        </w:object>
      </w:r>
    </w:p>
    <w:p w14:paraId="0166176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E.按室外声源预测方法计算预测点处的声压级。</w:t>
      </w:r>
    </w:p>
    <w:p w14:paraId="57460AA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5" o:spt="75" type="#_x0000_t75" style="height:19pt;width:135pt;" o:ole="t" filled="f" o:preferrelative="t" stroked="f" coordsize="21600,21600">
            <v:path/>
            <v:fill on="f" focussize="0,0"/>
            <v:stroke on="f"/>
            <v:imagedata r:id="rId80" o:title=""/>
            <o:lock v:ext="edit" grouping="f" rotation="f" text="f" aspectratio="t"/>
            <w10:wrap type="none"/>
            <w10:anchorlock/>
          </v:shape>
          <o:OLEObject Type="Embed" ProgID="Equation.DSMT4" ShapeID="_x0000_i1045" DrawAspect="Content" ObjectID="_1468075745" r:id="rId79">
            <o:LockedField>false</o:LockedField>
          </o:OLEObject>
        </w:object>
      </w:r>
    </w:p>
    <w:p w14:paraId="63DF8B1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F.如预测点在靠近声源处，但不能满足声源条件时，需按线声源或面声源模式计算。</w:t>
      </w:r>
    </w:p>
    <w:p w14:paraId="1FECDA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总声压级</w:t>
      </w:r>
    </w:p>
    <w:p w14:paraId="571075D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320" w:firstLineChars="55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0"/>
          <w:sz w:val="24"/>
          <w:highlight w:val="none"/>
        </w:rPr>
        <w:object>
          <v:shape id="_x0000_i1046" o:spt="75" type="#_x0000_t75" style="height:35pt;width:240pt;" o:ole="t" filled="f" o:preferrelative="t" stroked="f" coordsize="21600,21600">
            <v:path/>
            <v:fill on="f" focussize="0,0"/>
            <v:stroke on="f"/>
            <v:imagedata r:id="rId82" o:title=""/>
            <o:lock v:ext="edit" grouping="f" rotation="f" text="f" aspectratio="t"/>
            <w10:wrap type="none"/>
            <w10:anchorlock/>
          </v:shape>
          <o:OLEObject Type="Embed" ProgID="Equation.DSMT4" ShapeID="_x0000_i1046" DrawAspect="Content" ObjectID="_1468075746" r:id="rId81">
            <o:LockedField>false</o:LockedField>
          </o:OLEObject>
        </w:object>
      </w:r>
    </w:p>
    <w:p w14:paraId="3652CFB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40" w:firstLineChars="225"/>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T为计算等效声级的时间；</w:t>
      </w:r>
    </w:p>
    <w:p w14:paraId="3D0EE47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525"/>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M为室外声源个数；N为室内声源个数；</w:t>
      </w:r>
    </w:p>
    <w:p w14:paraId="63DCF87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525"/>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7" o:spt="75" type="#_x0000_t75" style="height:19pt;width:21pt;" o:ole="t" filled="f" stroked="f" coordsize="21600,21600">
            <v:path/>
            <v:fill on="f" focussize="0,0"/>
            <v:stroke on="f"/>
            <v:imagedata r:id="rId84" o:title=""/>
            <o:lock v:ext="edit" grouping="f" rotation="f" text="f" aspectratio="t"/>
            <w10:wrap type="none"/>
            <w10:anchorlock/>
          </v:shape>
          <o:OLEObject Type="Embed" ProgID="Equation.DSMT4" ShapeID="_x0000_i1047" DrawAspect="Content" ObjectID="_1468075747" r:id="rId83">
            <o:LockedField>false</o:LockedField>
          </o:OLEObject>
        </w:object>
      </w:r>
      <w:r>
        <w:rPr>
          <w:rFonts w:hint="default" w:ascii="Times New Roman" w:hAnsi="Times New Roman" w:eastAsia="宋体" w:cs="Times New Roman"/>
          <w:color w:val="auto"/>
          <w:sz w:val="24"/>
          <w:highlight w:val="none"/>
        </w:rPr>
        <w:t>为T时间内第i个室外声源的工作时间；</w:t>
      </w:r>
    </w:p>
    <w:p w14:paraId="1D4C1C9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525"/>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8" o:spt="75" type="#_x0000_t75" style="height:19pt;width:18pt;" o:ole="t" filled="f" o:preferrelative="t" stroked="f" coordsize="21600,21600">
            <v:path/>
            <v:fill on="f" focussize="0,0"/>
            <v:stroke on="f"/>
            <v:imagedata r:id="rId86" o:title=""/>
            <o:lock v:ext="edit" grouping="f" rotation="f" text="f" aspectratio="t"/>
            <w10:wrap type="none"/>
            <w10:anchorlock/>
          </v:shape>
          <o:OLEObject Type="Embed" ProgID="Equation.DSMT4" ShapeID="_x0000_i1048" DrawAspect="Content" ObjectID="_1468075748" r:id="rId85">
            <o:LockedField>false</o:LockedField>
          </o:OLEObject>
        </w:object>
      </w:r>
      <w:r>
        <w:rPr>
          <w:rFonts w:hint="default" w:ascii="Times New Roman" w:hAnsi="Times New Roman" w:eastAsia="宋体" w:cs="Times New Roman"/>
          <w:color w:val="auto"/>
          <w:sz w:val="24"/>
          <w:highlight w:val="none"/>
        </w:rPr>
        <w:t>为T时间内第j个室内声源的工作时间。</w:t>
      </w:r>
    </w:p>
    <w:p w14:paraId="47968F2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525"/>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position w:val="-12"/>
          <w:sz w:val="24"/>
          <w:highlight w:val="none"/>
        </w:rPr>
        <w:object>
          <v:shape id="_x0000_i1049" o:spt="75" type="#_x0000_t75" style="height:18pt;width:16pt;" o:ole="t" filled="f" o:preferrelative="t" stroked="f" coordsize="21600,21600">
            <v:path/>
            <v:fill on="f" focussize="0,0"/>
            <v:stroke on="f"/>
            <v:imagedata r:id="rId88" o:title=""/>
            <o:lock v:ext="edit" grouping="f" rotation="f" text="f" aspectratio="t"/>
            <w10:wrap type="none"/>
            <w10:anchorlock/>
          </v:shape>
          <o:OLEObject Type="Embed" ProgID="Equation.DSMT4" ShapeID="_x0000_i1049" DrawAspect="Content" ObjectID="_1468075749" r:id="rId87">
            <o:LockedField>false</o:LockedField>
          </o:OLEObject>
        </w:object>
      </w:r>
      <w:r>
        <w:rPr>
          <w:rFonts w:hint="default" w:ascii="Times New Roman" w:hAnsi="Times New Roman" w:eastAsia="宋体" w:cs="Times New Roman"/>
          <w:color w:val="auto"/>
          <w:sz w:val="24"/>
          <w:highlight w:val="none"/>
        </w:rPr>
        <w:t>和</w:t>
      </w:r>
      <w:r>
        <w:rPr>
          <w:rFonts w:hint="default" w:ascii="Times New Roman" w:hAnsi="Times New Roman" w:eastAsia="宋体" w:cs="Times New Roman"/>
          <w:color w:val="auto"/>
          <w:position w:val="-12"/>
          <w:sz w:val="24"/>
          <w:highlight w:val="none"/>
        </w:rPr>
        <w:object>
          <v:shape id="_x0000_i1050" o:spt="75" type="#_x0000_t75" style="height:18pt;width:12pt;" o:ole="t" filled="f" o:preferrelative="t" stroked="f" coordsize="21600,21600">
            <v:path/>
            <v:fill on="f" focussize="0,0"/>
            <v:stroke on="f"/>
            <v:imagedata r:id="rId90" o:title=""/>
            <o:lock v:ext="edit" grouping="f" rotation="f" text="f" aspectratio="t"/>
            <w10:wrap type="none"/>
            <w10:anchorlock/>
          </v:shape>
          <o:OLEObject Type="Embed" ProgID="Equation.DSMT4" ShapeID="_x0000_i1050" DrawAspect="Content" ObjectID="_1468075750" r:id="rId89">
            <o:LockedField>false</o:LockedField>
          </o:OLEObject>
        </w:object>
      </w:r>
      <w:r>
        <w:rPr>
          <w:rFonts w:hint="default" w:ascii="Times New Roman" w:hAnsi="Times New Roman" w:eastAsia="宋体" w:cs="Times New Roman"/>
          <w:color w:val="auto"/>
          <w:sz w:val="24"/>
          <w:highlight w:val="none"/>
        </w:rPr>
        <w:t>均按T时间内实际工作时间计算。</w:t>
      </w:r>
    </w:p>
    <w:p w14:paraId="4453E5FC">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（3）噪声环境影响预测结果</w:t>
      </w:r>
    </w:p>
    <w:p w14:paraId="2C6407C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由于可研仅提出了原则性噪声防治措施，本次环评针对各种噪声源的特征对噪声防治措施进行了细化，预测按照采取治理措施后的影响进行计算，厂界噪声预测结果见表5.</w:t>
      </w:r>
      <w:r>
        <w:rPr>
          <w:rFonts w:hint="eastAsia" w:ascii="Times New Roman" w:hAnsi="Times New Roman" w:eastAsia="宋体" w:cs="Times New Roman"/>
          <w:color w:val="auto"/>
          <w:spacing w:val="0"/>
          <w:kern w:val="0"/>
          <w:sz w:val="24"/>
          <w:szCs w:val="24"/>
          <w:highlight w:val="none"/>
          <w:lang w:val="en-US" w:eastAsia="zh-CN" w:bidi="ar-SA"/>
        </w:rPr>
        <w:t>4</w:t>
      </w:r>
      <w:r>
        <w:rPr>
          <w:rFonts w:hint="default" w:ascii="Times New Roman" w:hAnsi="Times New Roman" w:eastAsia="宋体" w:cs="Times New Roman"/>
          <w:color w:val="auto"/>
          <w:spacing w:val="0"/>
          <w:kern w:val="0"/>
          <w:sz w:val="24"/>
          <w:szCs w:val="24"/>
          <w:highlight w:val="none"/>
          <w:lang w:val="en-US" w:eastAsia="zh-CN" w:bidi="ar-SA"/>
        </w:rPr>
        <w:t>-</w:t>
      </w:r>
      <w:r>
        <w:rPr>
          <w:rFonts w:hint="eastAsia" w:cs="Times New Roman"/>
          <w:color w:val="auto"/>
          <w:spacing w:val="0"/>
          <w:kern w:val="0"/>
          <w:sz w:val="24"/>
          <w:szCs w:val="24"/>
          <w:highlight w:val="none"/>
          <w:lang w:val="en-US" w:eastAsia="zh-CN" w:bidi="ar-SA"/>
        </w:rPr>
        <w:t>4</w:t>
      </w:r>
      <w:r>
        <w:rPr>
          <w:rFonts w:hint="default" w:ascii="Times New Roman" w:hAnsi="Times New Roman" w:eastAsia="宋体" w:cs="Times New Roman"/>
          <w:color w:val="auto"/>
          <w:spacing w:val="0"/>
          <w:kern w:val="0"/>
          <w:sz w:val="24"/>
          <w:szCs w:val="24"/>
          <w:highlight w:val="none"/>
          <w:lang w:val="en-US" w:eastAsia="zh-CN" w:bidi="ar-SA"/>
        </w:rPr>
        <w:t>。</w:t>
      </w:r>
    </w:p>
    <w:p w14:paraId="25A4272C">
      <w:pPr>
        <w:pStyle w:val="2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5.</w:t>
      </w:r>
      <w:r>
        <w:rPr>
          <w:rFonts w:hint="eastAsia" w:ascii="Times New Roman" w:hAnsi="Times New Roman" w:eastAsia="宋体" w:cs="Times New Roman"/>
          <w:b/>
          <w:color w:val="auto"/>
          <w:sz w:val="21"/>
          <w:szCs w:val="21"/>
          <w:highlight w:val="none"/>
          <w:lang w:val="en-US" w:eastAsia="zh-CN"/>
        </w:rPr>
        <w:t>4-</w:t>
      </w:r>
      <w:r>
        <w:rPr>
          <w:rFonts w:hint="eastAsia" w:asci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噪声影响预测结果表</w:t>
      </w:r>
      <w:r>
        <w:rPr>
          <w:rFonts w:hint="eastAsia" w:asci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单位：dB</w:t>
      </w:r>
      <w:r>
        <w:rPr>
          <w:rFonts w:hint="eastAsia"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eastAsia" w:ascii="Times New Roman" w:hAnsi="Times New Roman" w:eastAsia="宋体" w:cs="Times New Roman"/>
          <w:b/>
          <w:color w:val="auto"/>
          <w:sz w:val="21"/>
          <w:szCs w:val="21"/>
          <w:highlight w:val="none"/>
          <w:lang w:eastAsia="zh-CN"/>
        </w:rPr>
        <w:t>）</w:t>
      </w:r>
    </w:p>
    <w:tbl>
      <w:tblPr>
        <w:tblStyle w:val="33"/>
        <w:tblW w:w="49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17"/>
        <w:gridCol w:w="917"/>
        <w:gridCol w:w="923"/>
        <w:gridCol w:w="918"/>
        <w:gridCol w:w="924"/>
        <w:gridCol w:w="918"/>
        <w:gridCol w:w="924"/>
        <w:gridCol w:w="918"/>
        <w:gridCol w:w="921"/>
      </w:tblGrid>
      <w:tr w14:paraId="57018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54" w:type="pct"/>
            <w:vMerge w:val="restart"/>
            <w:tcBorders>
              <w:tl2br w:val="nil"/>
              <w:tr2bl w:val="nil"/>
            </w:tcBorders>
            <w:noWrap w:val="0"/>
            <w:tcMar>
              <w:left w:w="28" w:type="dxa"/>
              <w:right w:w="28" w:type="dxa"/>
            </w:tcMar>
            <w:vAlign w:val="center"/>
          </w:tcPr>
          <w:p w14:paraId="3CA81E0E">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受声点</w:t>
            </w:r>
          </w:p>
        </w:tc>
        <w:tc>
          <w:tcPr>
            <w:tcW w:w="1111" w:type="pct"/>
            <w:gridSpan w:val="2"/>
            <w:tcBorders>
              <w:tl2br w:val="nil"/>
              <w:tr2bl w:val="nil"/>
            </w:tcBorders>
            <w:noWrap w:val="0"/>
            <w:vAlign w:val="center"/>
          </w:tcPr>
          <w:p w14:paraId="62C06F30">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东厂界</w:t>
            </w:r>
          </w:p>
        </w:tc>
        <w:tc>
          <w:tcPr>
            <w:tcW w:w="1112" w:type="pct"/>
            <w:gridSpan w:val="2"/>
            <w:tcBorders>
              <w:tl2br w:val="nil"/>
              <w:tr2bl w:val="nil"/>
            </w:tcBorders>
            <w:noWrap w:val="0"/>
            <w:vAlign w:val="center"/>
          </w:tcPr>
          <w:p w14:paraId="73718107">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南厂界</w:t>
            </w:r>
          </w:p>
        </w:tc>
        <w:tc>
          <w:tcPr>
            <w:tcW w:w="1112" w:type="pct"/>
            <w:gridSpan w:val="2"/>
            <w:tcBorders>
              <w:tl2br w:val="nil"/>
              <w:tr2bl w:val="nil"/>
            </w:tcBorders>
            <w:noWrap w:val="0"/>
            <w:vAlign w:val="center"/>
          </w:tcPr>
          <w:p w14:paraId="157E09B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西厂界</w:t>
            </w:r>
          </w:p>
        </w:tc>
        <w:tc>
          <w:tcPr>
            <w:tcW w:w="1110" w:type="pct"/>
            <w:gridSpan w:val="2"/>
            <w:tcBorders>
              <w:tl2br w:val="nil"/>
              <w:tr2bl w:val="nil"/>
            </w:tcBorders>
            <w:noWrap w:val="0"/>
            <w:vAlign w:val="center"/>
          </w:tcPr>
          <w:p w14:paraId="7481FDBC">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北厂界</w:t>
            </w:r>
          </w:p>
        </w:tc>
      </w:tr>
      <w:tr w14:paraId="6F947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54" w:type="pct"/>
            <w:vMerge w:val="continue"/>
            <w:tcBorders>
              <w:tl2br w:val="nil"/>
              <w:tr2bl w:val="nil"/>
            </w:tcBorders>
            <w:noWrap w:val="0"/>
            <w:tcMar>
              <w:left w:w="28" w:type="dxa"/>
              <w:right w:w="28" w:type="dxa"/>
            </w:tcMar>
            <w:vAlign w:val="center"/>
          </w:tcPr>
          <w:p w14:paraId="295A6CB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54" w:type="pct"/>
            <w:tcBorders>
              <w:tl2br w:val="nil"/>
              <w:tr2bl w:val="nil"/>
            </w:tcBorders>
            <w:noWrap w:val="0"/>
            <w:vAlign w:val="center"/>
          </w:tcPr>
          <w:p w14:paraId="30EB01A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昼间</w:t>
            </w:r>
          </w:p>
        </w:tc>
        <w:tc>
          <w:tcPr>
            <w:tcW w:w="556" w:type="pct"/>
            <w:tcBorders>
              <w:tl2br w:val="nil"/>
              <w:tr2bl w:val="nil"/>
            </w:tcBorders>
            <w:noWrap w:val="0"/>
            <w:vAlign w:val="center"/>
          </w:tcPr>
          <w:p w14:paraId="74BAFE3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夜间</w:t>
            </w:r>
          </w:p>
        </w:tc>
        <w:tc>
          <w:tcPr>
            <w:tcW w:w="554" w:type="pct"/>
            <w:tcBorders>
              <w:tl2br w:val="nil"/>
              <w:tr2bl w:val="nil"/>
            </w:tcBorders>
            <w:noWrap w:val="0"/>
            <w:vAlign w:val="center"/>
          </w:tcPr>
          <w:p w14:paraId="63F416E2">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昼间</w:t>
            </w:r>
          </w:p>
        </w:tc>
        <w:tc>
          <w:tcPr>
            <w:tcW w:w="557" w:type="pct"/>
            <w:tcBorders>
              <w:tl2br w:val="nil"/>
              <w:tr2bl w:val="nil"/>
            </w:tcBorders>
            <w:noWrap w:val="0"/>
            <w:vAlign w:val="center"/>
          </w:tcPr>
          <w:p w14:paraId="0F2F026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夜间</w:t>
            </w:r>
          </w:p>
        </w:tc>
        <w:tc>
          <w:tcPr>
            <w:tcW w:w="554" w:type="pct"/>
            <w:tcBorders>
              <w:tl2br w:val="nil"/>
              <w:tr2bl w:val="nil"/>
            </w:tcBorders>
            <w:noWrap w:val="0"/>
            <w:vAlign w:val="center"/>
          </w:tcPr>
          <w:p w14:paraId="228691EF">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昼间</w:t>
            </w:r>
          </w:p>
        </w:tc>
        <w:tc>
          <w:tcPr>
            <w:tcW w:w="557" w:type="pct"/>
            <w:tcBorders>
              <w:tl2br w:val="nil"/>
              <w:tr2bl w:val="nil"/>
            </w:tcBorders>
            <w:noWrap w:val="0"/>
            <w:vAlign w:val="center"/>
          </w:tcPr>
          <w:p w14:paraId="58288F37">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夜间</w:t>
            </w:r>
          </w:p>
        </w:tc>
        <w:tc>
          <w:tcPr>
            <w:tcW w:w="554" w:type="pct"/>
            <w:tcBorders>
              <w:tl2br w:val="nil"/>
              <w:tr2bl w:val="nil"/>
            </w:tcBorders>
            <w:noWrap w:val="0"/>
            <w:vAlign w:val="center"/>
          </w:tcPr>
          <w:p w14:paraId="29817BF2">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昼间</w:t>
            </w:r>
          </w:p>
        </w:tc>
        <w:tc>
          <w:tcPr>
            <w:tcW w:w="555" w:type="pct"/>
            <w:tcBorders>
              <w:tl2br w:val="nil"/>
              <w:tr2bl w:val="nil"/>
            </w:tcBorders>
            <w:noWrap w:val="0"/>
            <w:vAlign w:val="center"/>
          </w:tcPr>
          <w:p w14:paraId="0899E9A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夜间</w:t>
            </w:r>
          </w:p>
        </w:tc>
      </w:tr>
      <w:tr w14:paraId="3DCA8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54" w:type="pct"/>
            <w:tcBorders>
              <w:tl2br w:val="nil"/>
              <w:tr2bl w:val="nil"/>
            </w:tcBorders>
            <w:noWrap w:val="0"/>
            <w:tcMar>
              <w:left w:w="28" w:type="dxa"/>
              <w:right w:w="28" w:type="dxa"/>
            </w:tcMar>
            <w:vAlign w:val="center"/>
          </w:tcPr>
          <w:p w14:paraId="034434A5">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贡献值</w:t>
            </w:r>
          </w:p>
        </w:tc>
        <w:tc>
          <w:tcPr>
            <w:tcW w:w="554" w:type="pct"/>
            <w:tcBorders>
              <w:tl2br w:val="nil"/>
              <w:tr2bl w:val="nil"/>
            </w:tcBorders>
            <w:noWrap w:val="0"/>
            <w:vAlign w:val="center"/>
          </w:tcPr>
          <w:p w14:paraId="13DC90E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36.4</w:t>
            </w:r>
          </w:p>
        </w:tc>
        <w:tc>
          <w:tcPr>
            <w:tcW w:w="556" w:type="pct"/>
            <w:tcBorders>
              <w:tl2br w:val="nil"/>
              <w:tr2bl w:val="nil"/>
            </w:tcBorders>
            <w:noWrap w:val="0"/>
            <w:vAlign w:val="center"/>
          </w:tcPr>
          <w:p w14:paraId="26C73388">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36.4</w:t>
            </w:r>
          </w:p>
        </w:tc>
        <w:tc>
          <w:tcPr>
            <w:tcW w:w="554" w:type="pct"/>
            <w:tcBorders>
              <w:tl2br w:val="nil"/>
              <w:tr2bl w:val="nil"/>
            </w:tcBorders>
            <w:noWrap w:val="0"/>
            <w:vAlign w:val="center"/>
          </w:tcPr>
          <w:p w14:paraId="4D28AA4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34.9</w:t>
            </w:r>
          </w:p>
        </w:tc>
        <w:tc>
          <w:tcPr>
            <w:tcW w:w="557" w:type="pct"/>
            <w:tcBorders>
              <w:tl2br w:val="nil"/>
              <w:tr2bl w:val="nil"/>
            </w:tcBorders>
            <w:noWrap w:val="0"/>
            <w:vAlign w:val="center"/>
          </w:tcPr>
          <w:p w14:paraId="240690FD">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34.9</w:t>
            </w:r>
          </w:p>
        </w:tc>
        <w:tc>
          <w:tcPr>
            <w:tcW w:w="554" w:type="pct"/>
            <w:tcBorders>
              <w:tl2br w:val="nil"/>
              <w:tr2bl w:val="nil"/>
            </w:tcBorders>
            <w:noWrap w:val="0"/>
            <w:vAlign w:val="center"/>
          </w:tcPr>
          <w:p w14:paraId="7CED3BA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25.7</w:t>
            </w:r>
          </w:p>
        </w:tc>
        <w:tc>
          <w:tcPr>
            <w:tcW w:w="557" w:type="pct"/>
            <w:tcBorders>
              <w:tl2br w:val="nil"/>
              <w:tr2bl w:val="nil"/>
            </w:tcBorders>
            <w:noWrap w:val="0"/>
            <w:vAlign w:val="center"/>
          </w:tcPr>
          <w:p w14:paraId="29C27F3C">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25.7</w:t>
            </w:r>
          </w:p>
        </w:tc>
        <w:tc>
          <w:tcPr>
            <w:tcW w:w="554" w:type="pct"/>
            <w:tcBorders>
              <w:tl2br w:val="nil"/>
              <w:tr2bl w:val="nil"/>
            </w:tcBorders>
            <w:noWrap w:val="0"/>
            <w:vAlign w:val="center"/>
          </w:tcPr>
          <w:p w14:paraId="32F5E0D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w:t>
            </w:r>
          </w:p>
        </w:tc>
        <w:tc>
          <w:tcPr>
            <w:tcW w:w="555" w:type="pct"/>
            <w:tcBorders>
              <w:tl2br w:val="nil"/>
              <w:tr2bl w:val="nil"/>
            </w:tcBorders>
            <w:noWrap w:val="0"/>
            <w:vAlign w:val="center"/>
          </w:tcPr>
          <w:p w14:paraId="6B2C57D0">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w:t>
            </w:r>
          </w:p>
        </w:tc>
      </w:tr>
      <w:tr w14:paraId="1B6F0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54" w:type="pct"/>
            <w:tcBorders>
              <w:tl2br w:val="nil"/>
              <w:tr2bl w:val="nil"/>
            </w:tcBorders>
            <w:noWrap w:val="0"/>
            <w:tcMar>
              <w:left w:w="28" w:type="dxa"/>
              <w:right w:w="28" w:type="dxa"/>
            </w:tcMar>
            <w:vAlign w:val="center"/>
          </w:tcPr>
          <w:p w14:paraId="0C469AD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标准值</w:t>
            </w:r>
          </w:p>
        </w:tc>
        <w:tc>
          <w:tcPr>
            <w:tcW w:w="554" w:type="pct"/>
            <w:tcBorders>
              <w:tl2br w:val="nil"/>
              <w:tr2bl w:val="nil"/>
            </w:tcBorders>
            <w:noWrap w:val="0"/>
            <w:vAlign w:val="center"/>
          </w:tcPr>
          <w:p w14:paraId="63395C90">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65</w:t>
            </w:r>
          </w:p>
        </w:tc>
        <w:tc>
          <w:tcPr>
            <w:tcW w:w="556" w:type="pct"/>
            <w:tcBorders>
              <w:tl2br w:val="nil"/>
              <w:tr2bl w:val="nil"/>
            </w:tcBorders>
            <w:noWrap w:val="0"/>
            <w:vAlign w:val="center"/>
          </w:tcPr>
          <w:p w14:paraId="0C8F8F0D">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55</w:t>
            </w:r>
          </w:p>
        </w:tc>
        <w:tc>
          <w:tcPr>
            <w:tcW w:w="554" w:type="pct"/>
            <w:tcBorders>
              <w:tl2br w:val="nil"/>
              <w:tr2bl w:val="nil"/>
            </w:tcBorders>
            <w:noWrap w:val="0"/>
            <w:vAlign w:val="center"/>
          </w:tcPr>
          <w:p w14:paraId="1DB922CE">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65</w:t>
            </w:r>
          </w:p>
        </w:tc>
        <w:tc>
          <w:tcPr>
            <w:tcW w:w="557" w:type="pct"/>
            <w:tcBorders>
              <w:tl2br w:val="nil"/>
              <w:tr2bl w:val="nil"/>
            </w:tcBorders>
            <w:noWrap w:val="0"/>
            <w:vAlign w:val="center"/>
          </w:tcPr>
          <w:p w14:paraId="7ECEC941">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r>
              <w:rPr>
                <w:rFonts w:hint="eastAsia" w:ascii="Times New Roman" w:eastAsia="宋体" w:cs="Times New Roman"/>
                <w:b w:val="0"/>
                <w:bCs w:val="0"/>
                <w:color w:val="auto"/>
                <w:sz w:val="21"/>
                <w:szCs w:val="21"/>
                <w:highlight w:val="none"/>
                <w:lang w:val="en-US" w:eastAsia="zh-CN"/>
              </w:rPr>
              <w:t>5</w:t>
            </w:r>
          </w:p>
        </w:tc>
        <w:tc>
          <w:tcPr>
            <w:tcW w:w="554" w:type="pct"/>
            <w:tcBorders>
              <w:tl2br w:val="nil"/>
              <w:tr2bl w:val="nil"/>
            </w:tcBorders>
            <w:noWrap w:val="0"/>
            <w:vAlign w:val="center"/>
          </w:tcPr>
          <w:p w14:paraId="3D85668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r>
              <w:rPr>
                <w:rFonts w:hint="eastAsia" w:ascii="Times New Roman" w:eastAsia="宋体" w:cs="Times New Roman"/>
                <w:b w:val="0"/>
                <w:bCs w:val="0"/>
                <w:color w:val="auto"/>
                <w:sz w:val="21"/>
                <w:szCs w:val="21"/>
                <w:highlight w:val="none"/>
                <w:lang w:val="en-US" w:eastAsia="zh-CN"/>
              </w:rPr>
              <w:t>5</w:t>
            </w:r>
          </w:p>
        </w:tc>
        <w:tc>
          <w:tcPr>
            <w:tcW w:w="557" w:type="pct"/>
            <w:tcBorders>
              <w:tl2br w:val="nil"/>
              <w:tr2bl w:val="nil"/>
            </w:tcBorders>
            <w:noWrap w:val="0"/>
            <w:vAlign w:val="center"/>
          </w:tcPr>
          <w:p w14:paraId="5932C86F">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r>
              <w:rPr>
                <w:rFonts w:hint="eastAsia" w:ascii="Times New Roman" w:eastAsia="宋体" w:cs="Times New Roman"/>
                <w:b w:val="0"/>
                <w:bCs w:val="0"/>
                <w:color w:val="auto"/>
                <w:sz w:val="21"/>
                <w:szCs w:val="21"/>
                <w:highlight w:val="none"/>
                <w:lang w:val="en-US" w:eastAsia="zh-CN"/>
              </w:rPr>
              <w:t>5</w:t>
            </w:r>
          </w:p>
        </w:tc>
        <w:tc>
          <w:tcPr>
            <w:tcW w:w="554" w:type="pct"/>
            <w:tcBorders>
              <w:tl2br w:val="nil"/>
              <w:tr2bl w:val="nil"/>
            </w:tcBorders>
            <w:noWrap w:val="0"/>
            <w:vAlign w:val="center"/>
          </w:tcPr>
          <w:p w14:paraId="0E37561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65</w:t>
            </w:r>
          </w:p>
        </w:tc>
        <w:tc>
          <w:tcPr>
            <w:tcW w:w="555" w:type="pct"/>
            <w:tcBorders>
              <w:tl2br w:val="nil"/>
              <w:tr2bl w:val="nil"/>
            </w:tcBorders>
            <w:noWrap w:val="0"/>
            <w:vAlign w:val="center"/>
          </w:tcPr>
          <w:p w14:paraId="09274DCE">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55</w:t>
            </w:r>
          </w:p>
        </w:tc>
      </w:tr>
    </w:tbl>
    <w:p w14:paraId="20C27F5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项目厂界噪声</w:t>
      </w:r>
      <w:r>
        <w:rPr>
          <w:rFonts w:hint="eastAsia" w:cs="Times New Roman"/>
          <w:color w:val="auto"/>
          <w:spacing w:val="0"/>
          <w:kern w:val="0"/>
          <w:sz w:val="24"/>
          <w:szCs w:val="24"/>
          <w:highlight w:val="none"/>
          <w:lang w:val="en-US" w:eastAsia="zh-CN" w:bidi="ar-SA"/>
        </w:rPr>
        <w:t>排放</w:t>
      </w:r>
      <w:r>
        <w:rPr>
          <w:rFonts w:hint="default" w:ascii="Times New Roman" w:hAnsi="Times New Roman" w:eastAsia="宋体" w:cs="Times New Roman"/>
          <w:color w:val="auto"/>
          <w:spacing w:val="0"/>
          <w:kern w:val="0"/>
          <w:sz w:val="24"/>
          <w:szCs w:val="24"/>
          <w:highlight w:val="none"/>
          <w:lang w:val="en-US" w:eastAsia="zh-CN" w:bidi="ar-SA"/>
        </w:rPr>
        <w:t>执行《工业企业厂界环境噪声排放标准》</w:t>
      </w:r>
      <w:r>
        <w:rPr>
          <w:rFonts w:hint="eastAsia" w:ascii="Times New Roman" w:hAnsi="Times New Roman" w:eastAsia="宋体" w:cs="Times New Roman"/>
          <w:color w:val="auto"/>
          <w:spacing w:val="0"/>
          <w:kern w:val="0"/>
          <w:sz w:val="24"/>
          <w:szCs w:val="24"/>
          <w:highlight w:val="none"/>
          <w:lang w:val="en-US" w:eastAsia="zh-CN" w:bidi="ar-SA"/>
        </w:rPr>
        <w:t>（</w:t>
      </w:r>
      <w:r>
        <w:rPr>
          <w:rFonts w:hint="default" w:ascii="Times New Roman" w:hAnsi="Times New Roman" w:eastAsia="宋体" w:cs="Times New Roman"/>
          <w:color w:val="auto"/>
          <w:spacing w:val="0"/>
          <w:kern w:val="0"/>
          <w:sz w:val="24"/>
          <w:szCs w:val="24"/>
          <w:highlight w:val="none"/>
          <w:lang w:val="en-US" w:eastAsia="zh-CN" w:bidi="ar-SA"/>
        </w:rPr>
        <w:t>GB12348-2008</w:t>
      </w:r>
      <w:r>
        <w:rPr>
          <w:rFonts w:hint="eastAsia" w:ascii="Times New Roman" w:hAnsi="Times New Roman" w:eastAsia="宋体" w:cs="Times New Roman"/>
          <w:color w:val="auto"/>
          <w:spacing w:val="0"/>
          <w:kern w:val="0"/>
          <w:sz w:val="24"/>
          <w:szCs w:val="24"/>
          <w:highlight w:val="none"/>
          <w:lang w:val="en-US" w:eastAsia="zh-CN" w:bidi="ar-SA"/>
        </w:rPr>
        <w:t>）</w:t>
      </w:r>
      <w:r>
        <w:rPr>
          <w:rFonts w:hint="eastAsia" w:cs="Times New Roman"/>
          <w:color w:val="auto"/>
          <w:spacing w:val="0"/>
          <w:kern w:val="0"/>
          <w:sz w:val="24"/>
          <w:szCs w:val="24"/>
          <w:highlight w:val="none"/>
          <w:lang w:val="en-US" w:eastAsia="zh-CN" w:bidi="ar-SA"/>
        </w:rPr>
        <w:t>3</w:t>
      </w:r>
      <w:r>
        <w:rPr>
          <w:rFonts w:hint="default" w:ascii="Times New Roman" w:hAnsi="Times New Roman" w:eastAsia="宋体" w:cs="Times New Roman"/>
          <w:color w:val="auto"/>
          <w:spacing w:val="0"/>
          <w:kern w:val="0"/>
          <w:sz w:val="24"/>
          <w:szCs w:val="24"/>
          <w:highlight w:val="none"/>
          <w:lang w:val="en-US" w:eastAsia="zh-CN" w:bidi="ar-SA"/>
        </w:rPr>
        <w:t>类标准。</w:t>
      </w:r>
    </w:p>
    <w:p w14:paraId="0E1AE9A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预测结果表明，主要噪声源在各厂界的最大预测值在25.7～36.4dB</w:t>
      </w:r>
      <w:r>
        <w:rPr>
          <w:rFonts w:hint="eastAsia" w:ascii="Times New Roman" w:hAnsi="Times New Roman" w:eastAsia="宋体" w:cs="Times New Roman"/>
          <w:color w:val="auto"/>
          <w:spacing w:val="0"/>
          <w:kern w:val="0"/>
          <w:sz w:val="24"/>
          <w:szCs w:val="24"/>
          <w:highlight w:val="none"/>
          <w:lang w:val="en-US" w:eastAsia="zh-CN" w:bidi="ar-SA"/>
        </w:rPr>
        <w:t>（</w:t>
      </w:r>
      <w:r>
        <w:rPr>
          <w:rFonts w:hint="default" w:ascii="Times New Roman" w:hAnsi="Times New Roman" w:eastAsia="宋体" w:cs="Times New Roman"/>
          <w:color w:val="auto"/>
          <w:spacing w:val="0"/>
          <w:kern w:val="0"/>
          <w:sz w:val="24"/>
          <w:szCs w:val="24"/>
          <w:highlight w:val="none"/>
          <w:lang w:val="en-US" w:eastAsia="zh-CN" w:bidi="ar-SA"/>
        </w:rPr>
        <w:t>A</w:t>
      </w:r>
      <w:r>
        <w:rPr>
          <w:rFonts w:hint="eastAsia" w:ascii="Times New Roman" w:hAnsi="Times New Roman" w:eastAsia="宋体" w:cs="Times New Roman"/>
          <w:color w:val="auto"/>
          <w:spacing w:val="0"/>
          <w:kern w:val="0"/>
          <w:sz w:val="24"/>
          <w:szCs w:val="24"/>
          <w:highlight w:val="none"/>
          <w:lang w:val="en-US" w:eastAsia="zh-CN" w:bidi="ar-SA"/>
        </w:rPr>
        <w:t>）</w:t>
      </w:r>
      <w:r>
        <w:rPr>
          <w:rFonts w:hint="default" w:ascii="Times New Roman" w:hAnsi="Times New Roman" w:eastAsia="宋体" w:cs="Times New Roman"/>
          <w:color w:val="auto"/>
          <w:spacing w:val="0"/>
          <w:kern w:val="0"/>
          <w:sz w:val="24"/>
          <w:szCs w:val="24"/>
          <w:highlight w:val="none"/>
          <w:lang w:val="en-US" w:eastAsia="zh-CN" w:bidi="ar-SA"/>
        </w:rPr>
        <w:t>之间，均符合《工业企业厂界环境噪声排放标准》中</w:t>
      </w:r>
      <w:r>
        <w:rPr>
          <w:rFonts w:hint="eastAsia" w:cs="Times New Roman"/>
          <w:color w:val="auto"/>
          <w:spacing w:val="0"/>
          <w:kern w:val="0"/>
          <w:sz w:val="24"/>
          <w:szCs w:val="24"/>
          <w:highlight w:val="none"/>
          <w:lang w:val="en-US" w:eastAsia="zh-CN" w:bidi="ar-SA"/>
        </w:rPr>
        <w:t>3</w:t>
      </w:r>
      <w:r>
        <w:rPr>
          <w:rFonts w:hint="default" w:ascii="Times New Roman" w:hAnsi="Times New Roman" w:eastAsia="宋体" w:cs="Times New Roman"/>
          <w:color w:val="auto"/>
          <w:spacing w:val="0"/>
          <w:kern w:val="0"/>
          <w:sz w:val="24"/>
          <w:szCs w:val="24"/>
          <w:highlight w:val="none"/>
          <w:lang w:val="en-US" w:eastAsia="zh-CN" w:bidi="ar-SA"/>
        </w:rPr>
        <w:t>类标准，拟建项目不会降低厂界声环境质量级别，同时项目建设过程中加强噪声源的减噪、降噪，则本项目的建设不会对外环境噪声造成显著影响。</w:t>
      </w:r>
    </w:p>
    <w:p w14:paraId="283835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SA"/>
        </w:rPr>
        <w:t>表5.</w:t>
      </w:r>
      <w:r>
        <w:rPr>
          <w:rFonts w:hint="eastAsia" w:ascii="Times New Roman" w:hAnsi="Times New Roman" w:eastAsia="宋体" w:cs="Times New Roman"/>
          <w:b/>
          <w:bCs/>
          <w:color w:val="auto"/>
          <w:kern w:val="0"/>
          <w:sz w:val="21"/>
          <w:szCs w:val="21"/>
          <w:highlight w:val="none"/>
          <w:lang w:val="en-US" w:eastAsia="zh-CN" w:bidi="ar-SA"/>
        </w:rPr>
        <w:t>4-</w:t>
      </w:r>
      <w:r>
        <w:rPr>
          <w:rFonts w:hint="eastAsia" w:cs="Times New Roman"/>
          <w:b/>
          <w:bCs/>
          <w:color w:val="auto"/>
          <w:kern w:val="0"/>
          <w:sz w:val="21"/>
          <w:szCs w:val="21"/>
          <w:highlight w:val="none"/>
          <w:lang w:val="en-US" w:eastAsia="zh-CN" w:bidi="ar-SA"/>
        </w:rPr>
        <w:t>5</w:t>
      </w:r>
      <w:r>
        <w:rPr>
          <w:rFonts w:hint="default" w:ascii="Times New Roman" w:hAnsi="Times New Roman" w:eastAsia="宋体" w:cs="Times New Roman"/>
          <w:b/>
          <w:bCs/>
          <w:color w:val="auto"/>
          <w:kern w:val="0"/>
          <w:sz w:val="21"/>
          <w:szCs w:val="21"/>
          <w:highlight w:val="none"/>
          <w:lang w:val="en-US" w:eastAsia="zh-CN" w:bidi="ar-SA"/>
        </w:rPr>
        <w:t xml:space="preserve">     </w:t>
      </w:r>
      <w:r>
        <w:rPr>
          <w:rFonts w:hint="default" w:ascii="Times New Roman" w:hAnsi="Times New Roman" w:eastAsia="宋体" w:cs="Times New Roman"/>
          <w:b/>
          <w:bCs/>
          <w:color w:val="auto"/>
          <w:kern w:val="0"/>
          <w:sz w:val="21"/>
          <w:szCs w:val="21"/>
          <w:highlight w:val="none"/>
          <w:lang w:val="zh-CN" w:eastAsia="zh-CN" w:bidi="ar-SA"/>
        </w:rPr>
        <w:t>声环境影响评价自查表</w:t>
      </w:r>
    </w:p>
    <w:tbl>
      <w:tblPr>
        <w:tblStyle w:val="12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82"/>
        <w:gridCol w:w="1457"/>
        <w:gridCol w:w="964"/>
        <w:gridCol w:w="153"/>
        <w:gridCol w:w="831"/>
        <w:gridCol w:w="653"/>
        <w:gridCol w:w="233"/>
        <w:gridCol w:w="342"/>
        <w:gridCol w:w="641"/>
        <w:gridCol w:w="386"/>
        <w:gridCol w:w="487"/>
        <w:gridCol w:w="101"/>
        <w:gridCol w:w="1079"/>
      </w:tblGrid>
      <w:tr w14:paraId="18CF48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468" w:type="pct"/>
            <w:gridSpan w:val="2"/>
            <w:tcBorders>
              <w:tl2br w:val="nil"/>
              <w:tr2bl w:val="nil"/>
            </w:tcBorders>
            <w:noWrap w:val="0"/>
            <w:vAlign w:val="center"/>
          </w:tcPr>
          <w:p w14:paraId="0F24765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8"/>
                <w:sz w:val="21"/>
                <w:szCs w:val="21"/>
                <w:highlight w:val="none"/>
              </w:rPr>
              <w:t>工作内</w:t>
            </w:r>
            <w:r>
              <w:rPr>
                <w:rFonts w:hint="default" w:ascii="Times New Roman" w:hAnsi="Times New Roman" w:eastAsia="宋体" w:cs="Times New Roman"/>
                <w:b/>
                <w:bCs/>
                <w:color w:val="auto"/>
                <w:spacing w:val="7"/>
                <w:sz w:val="21"/>
                <w:szCs w:val="21"/>
                <w:highlight w:val="none"/>
              </w:rPr>
              <w:t>容</w:t>
            </w:r>
          </w:p>
        </w:tc>
        <w:tc>
          <w:tcPr>
            <w:tcW w:w="3531" w:type="pct"/>
            <w:gridSpan w:val="11"/>
            <w:tcBorders>
              <w:tl2br w:val="nil"/>
              <w:tr2bl w:val="nil"/>
            </w:tcBorders>
            <w:noWrap w:val="0"/>
            <w:vAlign w:val="center"/>
          </w:tcPr>
          <w:p w14:paraId="1DE29EF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自查项目</w:t>
            </w:r>
          </w:p>
        </w:tc>
      </w:tr>
      <w:tr w14:paraId="3D7BB1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restart"/>
            <w:tcBorders>
              <w:tl2br w:val="nil"/>
              <w:tr2bl w:val="nil"/>
            </w:tcBorders>
            <w:noWrap w:val="0"/>
            <w:vAlign w:val="center"/>
          </w:tcPr>
          <w:p w14:paraId="5D4FF66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8"/>
                <w:sz w:val="21"/>
                <w:szCs w:val="21"/>
                <w:highlight w:val="none"/>
              </w:rPr>
              <w:t>价等级与</w:t>
            </w:r>
            <w:r>
              <w:rPr>
                <w:rFonts w:hint="default" w:ascii="Times New Roman" w:hAnsi="Times New Roman" w:eastAsia="宋体" w:cs="Times New Roman"/>
                <w:color w:val="auto"/>
                <w:spacing w:val="2"/>
                <w:sz w:val="21"/>
                <w:szCs w:val="21"/>
                <w:highlight w:val="none"/>
              </w:rPr>
              <w:t>范围</w:t>
            </w:r>
          </w:p>
        </w:tc>
        <w:tc>
          <w:tcPr>
            <w:tcW w:w="876" w:type="pct"/>
            <w:tcBorders>
              <w:tl2br w:val="nil"/>
              <w:tr2bl w:val="nil"/>
            </w:tcBorders>
            <w:noWrap w:val="0"/>
            <w:vAlign w:val="center"/>
          </w:tcPr>
          <w:p w14:paraId="1927CC2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价等级</w:t>
            </w:r>
          </w:p>
        </w:tc>
        <w:tc>
          <w:tcPr>
            <w:tcW w:w="1565" w:type="pct"/>
            <w:gridSpan w:val="4"/>
            <w:tcBorders>
              <w:tl2br w:val="nil"/>
              <w:tr2bl w:val="nil"/>
            </w:tcBorders>
            <w:noWrap w:val="0"/>
            <w:vAlign w:val="center"/>
          </w:tcPr>
          <w:p w14:paraId="7170FFB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9"/>
                <w:position w:val="3"/>
                <w:sz w:val="21"/>
                <w:szCs w:val="21"/>
                <w:highlight w:val="none"/>
              </w:rPr>
              <w:t>一</w:t>
            </w:r>
            <w:r>
              <w:rPr>
                <w:rFonts w:hint="default" w:ascii="Times New Roman" w:hAnsi="Times New Roman" w:eastAsia="宋体" w:cs="Times New Roman"/>
                <w:color w:val="auto"/>
                <w:spacing w:val="7"/>
                <w:position w:val="3"/>
                <w:sz w:val="21"/>
                <w:szCs w:val="21"/>
                <w:highlight w:val="none"/>
              </w:rPr>
              <w:t>级</w:t>
            </w:r>
            <w:r>
              <w:rPr>
                <w:rFonts w:hint="default" w:ascii="Times New Roman" w:hAnsi="Times New Roman" w:eastAsia="宋体" w:cs="Times New Roman"/>
                <w:color w:val="auto"/>
                <w:spacing w:val="7"/>
                <w:position w:val="3"/>
                <w:sz w:val="21"/>
                <w:szCs w:val="21"/>
                <w:highlight w:val="none"/>
                <w:lang w:eastAsia="zh-CN"/>
              </w:rPr>
              <w:t>□</w:t>
            </w:r>
          </w:p>
        </w:tc>
        <w:tc>
          <w:tcPr>
            <w:tcW w:w="964" w:type="pct"/>
            <w:gridSpan w:val="4"/>
            <w:tcBorders>
              <w:tl2br w:val="nil"/>
              <w:tr2bl w:val="nil"/>
            </w:tcBorders>
            <w:noWrap w:val="0"/>
            <w:vAlign w:val="center"/>
          </w:tcPr>
          <w:p w14:paraId="6F3ECF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二级</w:t>
            </w:r>
            <w:r>
              <w:rPr>
                <w:rFonts w:hint="eastAsia" w:cs="Times New Roman"/>
                <w:color w:val="auto"/>
                <w:spacing w:val="7"/>
                <w:position w:val="3"/>
                <w:sz w:val="21"/>
                <w:szCs w:val="21"/>
                <w:highlight w:val="none"/>
                <w:lang w:eastAsia="zh-CN"/>
              </w:rPr>
              <w:t>□</w:t>
            </w:r>
          </w:p>
        </w:tc>
        <w:tc>
          <w:tcPr>
            <w:tcW w:w="1001" w:type="pct"/>
            <w:gridSpan w:val="3"/>
            <w:tcBorders>
              <w:tl2br w:val="nil"/>
              <w:tr2bl w:val="nil"/>
            </w:tcBorders>
            <w:noWrap w:val="0"/>
            <w:vAlign w:val="center"/>
          </w:tcPr>
          <w:p w14:paraId="2CECEAF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三</w:t>
            </w:r>
            <w:r>
              <w:rPr>
                <w:rFonts w:hint="default" w:ascii="Times New Roman" w:hAnsi="Times New Roman" w:eastAsia="宋体" w:cs="Times New Roman"/>
                <w:color w:val="auto"/>
                <w:spacing w:val="5"/>
                <w:sz w:val="21"/>
                <w:szCs w:val="21"/>
                <w:highlight w:val="none"/>
              </w:rPr>
              <w:t>级</w:t>
            </w:r>
            <w:r>
              <w:rPr>
                <w:rFonts w:hint="eastAsia" w:cs="Times New Roman"/>
                <w:color w:val="auto"/>
                <w:spacing w:val="5"/>
                <w:sz w:val="21"/>
                <w:szCs w:val="21"/>
                <w:highlight w:val="none"/>
                <w:lang w:eastAsia="zh-CN"/>
              </w:rPr>
              <w:t>☑</w:t>
            </w:r>
          </w:p>
        </w:tc>
      </w:tr>
      <w:tr w14:paraId="69EC7C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continue"/>
            <w:tcBorders>
              <w:tl2br w:val="nil"/>
              <w:tr2bl w:val="nil"/>
            </w:tcBorders>
            <w:noWrap w:val="0"/>
            <w:vAlign w:val="center"/>
          </w:tcPr>
          <w:p w14:paraId="3455A40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4084DA5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价范围</w:t>
            </w:r>
          </w:p>
        </w:tc>
        <w:tc>
          <w:tcPr>
            <w:tcW w:w="1565" w:type="pct"/>
            <w:gridSpan w:val="4"/>
            <w:tcBorders>
              <w:tl2br w:val="nil"/>
              <w:tr2bl w:val="nil"/>
            </w:tcBorders>
            <w:noWrap w:val="0"/>
            <w:vAlign w:val="center"/>
          </w:tcPr>
          <w:p w14:paraId="6FAC68C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200</w:t>
            </w:r>
            <w:r>
              <w:rPr>
                <w:rFonts w:hint="default" w:ascii="Times New Roman" w:hAnsi="Times New Roman" w:eastAsia="宋体" w:cs="Times New Roman"/>
                <w:color w:val="auto"/>
                <w:sz w:val="21"/>
                <w:szCs w:val="21"/>
                <w:highlight w:val="none"/>
              </w:rPr>
              <w:t>m</w:t>
            </w:r>
            <w:r>
              <w:rPr>
                <w:rFonts w:hint="eastAsia" w:cs="Times New Roman"/>
                <w:color w:val="auto"/>
                <w:spacing w:val="-1"/>
                <w:sz w:val="21"/>
                <w:szCs w:val="21"/>
                <w:highlight w:val="none"/>
                <w:lang w:eastAsia="zh-CN"/>
              </w:rPr>
              <w:t>☑</w:t>
            </w:r>
          </w:p>
        </w:tc>
        <w:tc>
          <w:tcPr>
            <w:tcW w:w="964" w:type="pct"/>
            <w:gridSpan w:val="4"/>
            <w:tcBorders>
              <w:tl2br w:val="nil"/>
              <w:tr2bl w:val="nil"/>
            </w:tcBorders>
            <w:noWrap w:val="0"/>
            <w:vAlign w:val="center"/>
          </w:tcPr>
          <w:p w14:paraId="4B98391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rPr>
              <w:t>大于</w:t>
            </w:r>
            <w:r>
              <w:rPr>
                <w:rFonts w:hint="default" w:ascii="Times New Roman" w:hAnsi="Times New Roman" w:eastAsia="宋体" w:cs="Times New Roman"/>
                <w:color w:val="auto"/>
                <w:spacing w:val="-1"/>
                <w:sz w:val="21"/>
                <w:szCs w:val="21"/>
                <w:highlight w:val="none"/>
              </w:rPr>
              <w:t>200m</w:t>
            </w:r>
            <w:r>
              <w:rPr>
                <w:rFonts w:hint="default" w:ascii="Times New Roman" w:hAnsi="Times New Roman" w:eastAsia="宋体" w:cs="Times New Roman"/>
                <w:color w:val="auto"/>
                <w:spacing w:val="-1"/>
                <w:sz w:val="21"/>
                <w:szCs w:val="21"/>
                <w:highlight w:val="none"/>
                <w:lang w:eastAsia="zh-CN"/>
              </w:rPr>
              <w:t>□</w:t>
            </w:r>
          </w:p>
        </w:tc>
        <w:tc>
          <w:tcPr>
            <w:tcW w:w="1001" w:type="pct"/>
            <w:gridSpan w:val="3"/>
            <w:tcBorders>
              <w:tl2br w:val="nil"/>
              <w:tr2bl w:val="nil"/>
            </w:tcBorders>
            <w:noWrap w:val="0"/>
            <w:vAlign w:val="center"/>
          </w:tcPr>
          <w:p w14:paraId="64044CB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小于200</w:t>
            </w:r>
            <w:r>
              <w:rPr>
                <w:rFonts w:hint="default" w:ascii="Times New Roman" w:hAnsi="Times New Roman" w:eastAsia="宋体" w:cs="Times New Roman"/>
                <w:color w:val="auto"/>
                <w:spacing w:val="-2"/>
                <w:sz w:val="21"/>
                <w:szCs w:val="21"/>
                <w:highlight w:val="none"/>
              </w:rPr>
              <w:t>m</w:t>
            </w:r>
            <w:r>
              <w:rPr>
                <w:rFonts w:hint="eastAsia" w:cs="Times New Roman"/>
                <w:color w:val="auto"/>
                <w:spacing w:val="-1"/>
                <w:sz w:val="21"/>
                <w:szCs w:val="21"/>
                <w:highlight w:val="none"/>
                <w:lang w:eastAsia="zh-CN"/>
              </w:rPr>
              <w:t>□</w:t>
            </w:r>
          </w:p>
        </w:tc>
      </w:tr>
      <w:tr w14:paraId="7C0AF8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tcBorders>
              <w:tl2br w:val="nil"/>
              <w:tr2bl w:val="nil"/>
            </w:tcBorders>
            <w:noWrap w:val="0"/>
            <w:vAlign w:val="center"/>
          </w:tcPr>
          <w:p w14:paraId="7769006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价因子</w:t>
            </w:r>
          </w:p>
        </w:tc>
        <w:tc>
          <w:tcPr>
            <w:tcW w:w="876" w:type="pct"/>
            <w:tcBorders>
              <w:tl2br w:val="nil"/>
              <w:tr2bl w:val="nil"/>
            </w:tcBorders>
            <w:noWrap w:val="0"/>
            <w:vAlign w:val="center"/>
          </w:tcPr>
          <w:p w14:paraId="05233AB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价因子</w:t>
            </w:r>
          </w:p>
        </w:tc>
        <w:tc>
          <w:tcPr>
            <w:tcW w:w="3531" w:type="pct"/>
            <w:gridSpan w:val="11"/>
            <w:tcBorders>
              <w:tl2br w:val="nil"/>
              <w:tr2bl w:val="nil"/>
            </w:tcBorders>
            <w:noWrap w:val="0"/>
            <w:vAlign w:val="center"/>
          </w:tcPr>
          <w:p w14:paraId="7B68B4A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等效</w:t>
            </w:r>
            <w:r>
              <w:rPr>
                <w:rFonts w:hint="default" w:ascii="Times New Roman" w:hAnsi="Times New Roman" w:eastAsia="宋体" w:cs="Times New Roman"/>
                <w:color w:val="auto"/>
                <w:spacing w:val="5"/>
                <w:sz w:val="21"/>
                <w:szCs w:val="21"/>
                <w:highlight w:val="none"/>
              </w:rPr>
              <w:t>连续</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5"/>
                <w:sz w:val="21"/>
                <w:szCs w:val="21"/>
                <w:highlight w:val="none"/>
              </w:rPr>
              <w:t>声级</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5"/>
                <w:sz w:val="21"/>
                <w:szCs w:val="21"/>
                <w:highlight w:val="none"/>
              </w:rPr>
              <w:t>最大</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5"/>
                <w:sz w:val="21"/>
                <w:szCs w:val="21"/>
                <w:highlight w:val="none"/>
              </w:rPr>
              <w:t>声级</w:t>
            </w:r>
            <w:r>
              <w:rPr>
                <w:rFonts w:hint="default"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计权等效连续感觉噪声级</w:t>
            </w:r>
            <w:r>
              <w:rPr>
                <w:rFonts w:hint="default" w:ascii="Times New Roman" w:hAnsi="Times New Roman" w:eastAsia="宋体" w:cs="Times New Roman"/>
                <w:color w:val="auto"/>
                <w:spacing w:val="-1"/>
                <w:sz w:val="21"/>
                <w:szCs w:val="21"/>
                <w:highlight w:val="none"/>
                <w:lang w:eastAsia="zh-CN"/>
              </w:rPr>
              <w:t>□</w:t>
            </w:r>
          </w:p>
        </w:tc>
      </w:tr>
      <w:tr w14:paraId="4C15C5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tcBorders>
              <w:tl2br w:val="nil"/>
              <w:tr2bl w:val="nil"/>
            </w:tcBorders>
            <w:noWrap w:val="0"/>
            <w:vAlign w:val="center"/>
          </w:tcPr>
          <w:p w14:paraId="0CA49DF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价标准</w:t>
            </w:r>
          </w:p>
        </w:tc>
        <w:tc>
          <w:tcPr>
            <w:tcW w:w="876" w:type="pct"/>
            <w:tcBorders>
              <w:tl2br w:val="nil"/>
              <w:tr2bl w:val="nil"/>
            </w:tcBorders>
            <w:noWrap w:val="0"/>
            <w:vAlign w:val="center"/>
          </w:tcPr>
          <w:p w14:paraId="2B84467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价标准</w:t>
            </w:r>
          </w:p>
        </w:tc>
        <w:tc>
          <w:tcPr>
            <w:tcW w:w="3531" w:type="pct"/>
            <w:gridSpan w:val="11"/>
            <w:tcBorders>
              <w:tl2br w:val="nil"/>
              <w:tr2bl w:val="nil"/>
            </w:tcBorders>
            <w:noWrap w:val="0"/>
            <w:vAlign w:val="center"/>
          </w:tcPr>
          <w:p w14:paraId="397AFEF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国家标准</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2"/>
                <w:sz w:val="21"/>
                <w:szCs w:val="21"/>
                <w:highlight w:val="none"/>
              </w:rPr>
              <w:t>地方标准</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rPr>
              <w:t>国外标准</w:t>
            </w:r>
            <w:r>
              <w:rPr>
                <w:rFonts w:hint="default" w:ascii="Times New Roman" w:hAnsi="Times New Roman" w:eastAsia="宋体" w:cs="Times New Roman"/>
                <w:color w:val="auto"/>
                <w:spacing w:val="-1"/>
                <w:sz w:val="21"/>
                <w:szCs w:val="21"/>
                <w:highlight w:val="none"/>
                <w:lang w:eastAsia="zh-CN"/>
              </w:rPr>
              <w:t>□</w:t>
            </w:r>
          </w:p>
        </w:tc>
      </w:tr>
      <w:tr w14:paraId="529425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restart"/>
            <w:tcBorders>
              <w:tl2br w:val="nil"/>
              <w:tr2bl w:val="nil"/>
            </w:tcBorders>
            <w:noWrap w:val="0"/>
            <w:vAlign w:val="center"/>
          </w:tcPr>
          <w:p w14:paraId="5E474F0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现状评</w:t>
            </w:r>
            <w:r>
              <w:rPr>
                <w:rFonts w:hint="default" w:ascii="Times New Roman" w:hAnsi="Times New Roman" w:eastAsia="宋体" w:cs="Times New Roman"/>
                <w:color w:val="auto"/>
                <w:spacing w:val="6"/>
                <w:sz w:val="21"/>
                <w:szCs w:val="21"/>
                <w:highlight w:val="none"/>
              </w:rPr>
              <w:t>价</w:t>
            </w:r>
          </w:p>
        </w:tc>
        <w:tc>
          <w:tcPr>
            <w:tcW w:w="876" w:type="pct"/>
            <w:tcBorders>
              <w:tl2br w:val="nil"/>
              <w:tr2bl w:val="nil"/>
            </w:tcBorders>
            <w:noWrap w:val="0"/>
            <w:vAlign w:val="center"/>
          </w:tcPr>
          <w:p w14:paraId="4E94026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环境功能区</w:t>
            </w:r>
          </w:p>
        </w:tc>
        <w:tc>
          <w:tcPr>
            <w:tcW w:w="580" w:type="pct"/>
            <w:tcBorders>
              <w:tl2br w:val="nil"/>
              <w:tr2bl w:val="nil"/>
            </w:tcBorders>
            <w:noWrap w:val="0"/>
            <w:vAlign w:val="center"/>
          </w:tcPr>
          <w:p w14:paraId="4147336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0</w:t>
            </w:r>
            <w:r>
              <w:rPr>
                <w:rFonts w:hint="default" w:ascii="Times New Roman" w:hAnsi="Times New Roman" w:eastAsia="宋体" w:cs="Times New Roman"/>
                <w:color w:val="auto"/>
                <w:spacing w:val="4"/>
                <w:sz w:val="21"/>
                <w:szCs w:val="21"/>
                <w:highlight w:val="none"/>
              </w:rPr>
              <w:t>类区</w:t>
            </w:r>
            <w:r>
              <w:rPr>
                <w:rFonts w:hint="default" w:ascii="Times New Roman" w:hAnsi="Times New Roman" w:eastAsia="宋体" w:cs="Times New Roman"/>
                <w:color w:val="auto"/>
                <w:spacing w:val="4"/>
                <w:sz w:val="21"/>
                <w:szCs w:val="21"/>
                <w:highlight w:val="none"/>
                <w:lang w:eastAsia="zh-CN"/>
              </w:rPr>
              <w:t>□</w:t>
            </w:r>
          </w:p>
        </w:tc>
        <w:tc>
          <w:tcPr>
            <w:tcW w:w="592" w:type="pct"/>
            <w:gridSpan w:val="2"/>
            <w:tcBorders>
              <w:tl2br w:val="nil"/>
              <w:tr2bl w:val="nil"/>
            </w:tcBorders>
            <w:noWrap w:val="0"/>
            <w:vAlign w:val="center"/>
          </w:tcPr>
          <w:p w14:paraId="7869D53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 w:val="21"/>
                <w:szCs w:val="21"/>
                <w:highlight w:val="none"/>
                <w:lang w:val="en-US" w:eastAsia="zh-CN"/>
              </w:rPr>
              <w:t>1</w:t>
            </w:r>
            <w:r>
              <w:rPr>
                <w:rFonts w:hint="default" w:ascii="Times New Roman" w:hAnsi="Times New Roman" w:eastAsia="宋体" w:cs="Times New Roman"/>
                <w:color w:val="auto"/>
                <w:spacing w:val="5"/>
                <w:sz w:val="21"/>
                <w:szCs w:val="21"/>
                <w:highlight w:val="none"/>
              </w:rPr>
              <w:t>类区</w:t>
            </w:r>
            <w:r>
              <w:rPr>
                <w:rFonts w:hint="default" w:ascii="Times New Roman" w:hAnsi="Times New Roman" w:eastAsia="宋体" w:cs="Times New Roman"/>
                <w:color w:val="auto"/>
                <w:spacing w:val="5"/>
                <w:sz w:val="21"/>
                <w:szCs w:val="21"/>
                <w:highlight w:val="none"/>
                <w:lang w:eastAsia="zh-CN"/>
              </w:rPr>
              <w:t>□</w:t>
            </w:r>
          </w:p>
        </w:tc>
        <w:tc>
          <w:tcPr>
            <w:tcW w:w="533" w:type="pct"/>
            <w:gridSpan w:val="2"/>
            <w:tcBorders>
              <w:tl2br w:val="nil"/>
              <w:tr2bl w:val="nil"/>
            </w:tcBorders>
            <w:noWrap w:val="0"/>
            <w:vAlign w:val="center"/>
          </w:tcPr>
          <w:p w14:paraId="6E4AD3F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lang w:val="en-US" w:eastAsia="zh-CN"/>
              </w:rPr>
              <w:t>2</w:t>
            </w:r>
            <w:r>
              <w:rPr>
                <w:rFonts w:hint="default" w:ascii="Times New Roman" w:hAnsi="Times New Roman" w:eastAsia="宋体" w:cs="Times New Roman"/>
                <w:color w:val="auto"/>
                <w:spacing w:val="4"/>
                <w:sz w:val="21"/>
                <w:szCs w:val="21"/>
                <w:highlight w:val="none"/>
              </w:rPr>
              <w:t>类区</w:t>
            </w:r>
            <w:r>
              <w:rPr>
                <w:rFonts w:hint="eastAsia" w:cs="Times New Roman"/>
                <w:color w:val="auto"/>
                <w:spacing w:val="-1"/>
                <w:sz w:val="21"/>
                <w:szCs w:val="21"/>
                <w:highlight w:val="none"/>
                <w:lang w:eastAsia="zh-CN"/>
              </w:rPr>
              <w:t>□</w:t>
            </w:r>
          </w:p>
        </w:tc>
        <w:tc>
          <w:tcPr>
            <w:tcW w:w="591" w:type="pct"/>
            <w:gridSpan w:val="2"/>
            <w:tcBorders>
              <w:tl2br w:val="nil"/>
              <w:tr2bl w:val="nil"/>
            </w:tcBorders>
            <w:noWrap w:val="0"/>
            <w:vAlign w:val="center"/>
          </w:tcPr>
          <w:p w14:paraId="3256699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rPr>
              <w:t>3</w:t>
            </w:r>
            <w:r>
              <w:rPr>
                <w:rFonts w:hint="default" w:ascii="Times New Roman" w:hAnsi="Times New Roman" w:eastAsia="宋体" w:cs="Times New Roman"/>
                <w:color w:val="auto"/>
                <w:spacing w:val="4"/>
                <w:sz w:val="21"/>
                <w:szCs w:val="21"/>
                <w:highlight w:val="none"/>
              </w:rPr>
              <w:t>类区</w:t>
            </w:r>
            <w:r>
              <w:rPr>
                <w:rFonts w:hint="eastAsia" w:cs="Times New Roman"/>
                <w:color w:val="auto"/>
                <w:spacing w:val="4"/>
                <w:sz w:val="21"/>
                <w:szCs w:val="21"/>
                <w:highlight w:val="none"/>
                <w:lang w:eastAsia="zh-CN"/>
              </w:rPr>
              <w:t>☑</w:t>
            </w:r>
          </w:p>
        </w:tc>
        <w:tc>
          <w:tcPr>
            <w:tcW w:w="586" w:type="pct"/>
            <w:gridSpan w:val="3"/>
            <w:tcBorders>
              <w:tl2br w:val="nil"/>
              <w:tr2bl w:val="nil"/>
            </w:tcBorders>
            <w:noWrap w:val="0"/>
            <w:vAlign w:val="center"/>
          </w:tcPr>
          <w:p w14:paraId="6B014FA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4</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7"/>
                <w:sz w:val="21"/>
                <w:szCs w:val="21"/>
                <w:highlight w:val="none"/>
              </w:rPr>
              <w:t>类区</w:t>
            </w:r>
            <w:r>
              <w:rPr>
                <w:rFonts w:hint="default" w:ascii="Times New Roman" w:hAnsi="Times New Roman" w:eastAsia="宋体" w:cs="Times New Roman"/>
                <w:color w:val="auto"/>
                <w:spacing w:val="7"/>
                <w:sz w:val="21"/>
                <w:szCs w:val="21"/>
                <w:highlight w:val="none"/>
                <w:lang w:eastAsia="zh-CN"/>
              </w:rPr>
              <w:t>□</w:t>
            </w:r>
          </w:p>
        </w:tc>
        <w:tc>
          <w:tcPr>
            <w:tcW w:w="648" w:type="pct"/>
            <w:tcBorders>
              <w:tl2br w:val="nil"/>
              <w:tr2bl w:val="nil"/>
            </w:tcBorders>
            <w:noWrap w:val="0"/>
            <w:vAlign w:val="center"/>
          </w:tcPr>
          <w:p w14:paraId="1554E25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9"/>
                <w:position w:val="1"/>
                <w:sz w:val="21"/>
                <w:szCs w:val="21"/>
                <w:highlight w:val="none"/>
              </w:rPr>
              <w:t>4</w:t>
            </w:r>
            <w:r>
              <w:rPr>
                <w:rFonts w:hint="default" w:ascii="Times New Roman" w:hAnsi="Times New Roman" w:eastAsia="宋体" w:cs="Times New Roman"/>
                <w:color w:val="auto"/>
                <w:position w:val="1"/>
                <w:sz w:val="21"/>
                <w:szCs w:val="21"/>
                <w:highlight w:val="none"/>
              </w:rPr>
              <w:t>b</w:t>
            </w:r>
            <w:r>
              <w:rPr>
                <w:rFonts w:hint="default" w:ascii="Times New Roman" w:hAnsi="Times New Roman" w:eastAsia="宋体" w:cs="Times New Roman"/>
                <w:color w:val="auto"/>
                <w:spacing w:val="6"/>
                <w:position w:val="1"/>
                <w:sz w:val="21"/>
                <w:szCs w:val="21"/>
                <w:highlight w:val="none"/>
              </w:rPr>
              <w:t>类区</w:t>
            </w:r>
            <w:r>
              <w:rPr>
                <w:rFonts w:hint="default" w:ascii="Times New Roman" w:hAnsi="Times New Roman" w:eastAsia="宋体" w:cs="Times New Roman"/>
                <w:color w:val="auto"/>
                <w:spacing w:val="6"/>
                <w:position w:val="1"/>
                <w:sz w:val="21"/>
                <w:szCs w:val="21"/>
                <w:highlight w:val="none"/>
                <w:lang w:eastAsia="zh-CN"/>
              </w:rPr>
              <w:t>□</w:t>
            </w:r>
          </w:p>
        </w:tc>
      </w:tr>
      <w:tr w14:paraId="16F546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continue"/>
            <w:tcBorders>
              <w:tl2br w:val="nil"/>
              <w:tr2bl w:val="nil"/>
            </w:tcBorders>
            <w:noWrap w:val="0"/>
            <w:vAlign w:val="center"/>
          </w:tcPr>
          <w:p w14:paraId="0AEFFE2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0934C4C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价年度</w:t>
            </w:r>
          </w:p>
        </w:tc>
        <w:tc>
          <w:tcPr>
            <w:tcW w:w="672" w:type="pct"/>
            <w:gridSpan w:val="2"/>
            <w:tcBorders>
              <w:tl2br w:val="nil"/>
              <w:tr2bl w:val="nil"/>
            </w:tcBorders>
            <w:noWrap w:val="0"/>
            <w:vAlign w:val="center"/>
          </w:tcPr>
          <w:p w14:paraId="32B7DD6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rPr>
              <w:t>初期</w:t>
            </w:r>
            <w:r>
              <w:rPr>
                <w:rFonts w:hint="default" w:ascii="Times New Roman" w:hAnsi="Times New Roman" w:eastAsia="宋体" w:cs="Times New Roman"/>
                <w:color w:val="auto"/>
                <w:spacing w:val="6"/>
                <w:sz w:val="21"/>
                <w:szCs w:val="21"/>
                <w:highlight w:val="none"/>
                <w:lang w:eastAsia="zh-CN"/>
              </w:rPr>
              <w:t>□</w:t>
            </w:r>
          </w:p>
        </w:tc>
        <w:tc>
          <w:tcPr>
            <w:tcW w:w="893" w:type="pct"/>
            <w:gridSpan w:val="2"/>
            <w:tcBorders>
              <w:tl2br w:val="nil"/>
              <w:tr2bl w:val="nil"/>
            </w:tcBorders>
            <w:noWrap w:val="0"/>
            <w:vAlign w:val="center"/>
          </w:tcPr>
          <w:p w14:paraId="2136E42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近</w:t>
            </w:r>
            <w:r>
              <w:rPr>
                <w:rFonts w:hint="default" w:ascii="Times New Roman" w:hAnsi="Times New Roman" w:eastAsia="宋体" w:cs="Times New Roman"/>
                <w:color w:val="auto"/>
                <w:spacing w:val="3"/>
                <w:sz w:val="21"/>
                <w:szCs w:val="21"/>
                <w:highlight w:val="none"/>
              </w:rPr>
              <w:t>期</w:t>
            </w:r>
            <w:r>
              <w:rPr>
                <w:rFonts w:hint="default" w:ascii="Times New Roman" w:hAnsi="Times New Roman" w:eastAsia="宋体" w:cs="Times New Roman"/>
                <w:color w:val="auto"/>
                <w:spacing w:val="-1"/>
                <w:sz w:val="21"/>
                <w:szCs w:val="21"/>
                <w:highlight w:val="none"/>
                <w:lang w:eastAsia="zh-CN"/>
              </w:rPr>
              <w:t>☑</w:t>
            </w:r>
          </w:p>
        </w:tc>
        <w:tc>
          <w:tcPr>
            <w:tcW w:w="964" w:type="pct"/>
            <w:gridSpan w:val="4"/>
            <w:tcBorders>
              <w:tl2br w:val="nil"/>
              <w:tr2bl w:val="nil"/>
            </w:tcBorders>
            <w:noWrap w:val="0"/>
            <w:vAlign w:val="center"/>
          </w:tcPr>
          <w:p w14:paraId="6DA37DD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
                <w:sz w:val="21"/>
                <w:szCs w:val="21"/>
                <w:highlight w:val="none"/>
              </w:rPr>
              <w:t>中期</w:t>
            </w:r>
            <w:r>
              <w:rPr>
                <w:rFonts w:hint="default" w:ascii="Times New Roman" w:hAnsi="Times New Roman" w:eastAsia="宋体" w:cs="Times New Roman"/>
                <w:color w:val="auto"/>
                <w:spacing w:val="-1"/>
                <w:sz w:val="21"/>
                <w:szCs w:val="21"/>
                <w:highlight w:val="none"/>
                <w:lang w:eastAsia="zh-CN"/>
              </w:rPr>
              <w:t>□</w:t>
            </w:r>
          </w:p>
        </w:tc>
        <w:tc>
          <w:tcPr>
            <w:tcW w:w="1001" w:type="pct"/>
            <w:gridSpan w:val="3"/>
            <w:tcBorders>
              <w:tl2br w:val="nil"/>
              <w:tr2bl w:val="nil"/>
            </w:tcBorders>
            <w:noWrap w:val="0"/>
            <w:vAlign w:val="center"/>
          </w:tcPr>
          <w:p w14:paraId="5145512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远</w:t>
            </w:r>
            <w:r>
              <w:rPr>
                <w:rFonts w:hint="default" w:ascii="Times New Roman" w:hAnsi="Times New Roman" w:eastAsia="宋体" w:cs="Times New Roman"/>
                <w:color w:val="auto"/>
                <w:spacing w:val="5"/>
                <w:sz w:val="21"/>
                <w:szCs w:val="21"/>
                <w:highlight w:val="none"/>
              </w:rPr>
              <w:t>期</w:t>
            </w:r>
            <w:r>
              <w:rPr>
                <w:rFonts w:hint="default" w:ascii="Times New Roman" w:hAnsi="Times New Roman" w:eastAsia="宋体" w:cs="Times New Roman"/>
                <w:color w:val="auto"/>
                <w:spacing w:val="5"/>
                <w:sz w:val="21"/>
                <w:szCs w:val="21"/>
                <w:highlight w:val="none"/>
                <w:lang w:eastAsia="zh-CN"/>
              </w:rPr>
              <w:t>□</w:t>
            </w:r>
          </w:p>
        </w:tc>
      </w:tr>
      <w:tr w14:paraId="34CFBF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91" w:type="pct"/>
            <w:vMerge w:val="continue"/>
            <w:tcBorders>
              <w:tl2br w:val="nil"/>
              <w:tr2bl w:val="nil"/>
            </w:tcBorders>
            <w:noWrap w:val="0"/>
            <w:vAlign w:val="center"/>
          </w:tcPr>
          <w:p w14:paraId="16AC18D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2D9CBF0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环</w:t>
            </w:r>
            <w:r>
              <w:rPr>
                <w:rFonts w:hint="default" w:ascii="Times New Roman" w:hAnsi="Times New Roman" w:eastAsia="宋体" w:cs="Times New Roman"/>
                <w:color w:val="auto"/>
                <w:spacing w:val="8"/>
                <w:sz w:val="21"/>
                <w:szCs w:val="21"/>
                <w:highlight w:val="none"/>
              </w:rPr>
              <w:t>境调查方法</w:t>
            </w:r>
          </w:p>
        </w:tc>
        <w:tc>
          <w:tcPr>
            <w:tcW w:w="3531" w:type="pct"/>
            <w:gridSpan w:val="11"/>
            <w:tcBorders>
              <w:tl2br w:val="nil"/>
              <w:tr2bl w:val="nil"/>
            </w:tcBorders>
            <w:noWrap w:val="0"/>
            <w:vAlign w:val="center"/>
          </w:tcPr>
          <w:p w14:paraId="2E6F8A2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2"/>
                <w:sz w:val="21"/>
                <w:szCs w:val="21"/>
                <w:highlight w:val="none"/>
              </w:rPr>
              <w:t>现场实</w:t>
            </w:r>
            <w:r>
              <w:rPr>
                <w:rFonts w:hint="default" w:ascii="Times New Roman" w:hAnsi="Times New Roman" w:eastAsia="宋体" w:cs="Times New Roman"/>
                <w:color w:val="auto"/>
                <w:spacing w:val="8"/>
                <w:sz w:val="21"/>
                <w:szCs w:val="21"/>
                <w:highlight w:val="none"/>
              </w:rPr>
              <w:t>测</w:t>
            </w:r>
            <w:r>
              <w:rPr>
                <w:rFonts w:hint="default" w:ascii="Times New Roman" w:hAnsi="Times New Roman" w:eastAsia="宋体" w:cs="Times New Roman"/>
                <w:color w:val="auto"/>
                <w:spacing w:val="6"/>
                <w:sz w:val="21"/>
                <w:szCs w:val="21"/>
                <w:highlight w:val="none"/>
              </w:rPr>
              <w:t>法</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6"/>
                <w:sz w:val="21"/>
                <w:szCs w:val="21"/>
                <w:highlight w:val="none"/>
              </w:rPr>
              <w:t>现场实测加模型计算法</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6"/>
                <w:sz w:val="21"/>
                <w:szCs w:val="21"/>
                <w:highlight w:val="none"/>
              </w:rPr>
              <w:t>收集资料</w:t>
            </w:r>
            <w:r>
              <w:rPr>
                <w:rFonts w:hint="default" w:ascii="Times New Roman" w:hAnsi="Times New Roman" w:eastAsia="宋体" w:cs="Times New Roman"/>
                <w:color w:val="auto"/>
                <w:spacing w:val="-1"/>
                <w:sz w:val="21"/>
                <w:szCs w:val="21"/>
                <w:highlight w:val="none"/>
                <w:lang w:eastAsia="zh-CN"/>
              </w:rPr>
              <w:t>□</w:t>
            </w:r>
          </w:p>
        </w:tc>
      </w:tr>
      <w:tr w14:paraId="392D93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continue"/>
            <w:tcBorders>
              <w:tl2br w:val="nil"/>
              <w:tr2bl w:val="nil"/>
            </w:tcBorders>
            <w:noWrap w:val="0"/>
            <w:vAlign w:val="center"/>
          </w:tcPr>
          <w:p w14:paraId="6B031F3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2C81A8F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现状评</w:t>
            </w:r>
            <w:r>
              <w:rPr>
                <w:rFonts w:hint="default" w:ascii="Times New Roman" w:hAnsi="Times New Roman" w:eastAsia="宋体" w:cs="Times New Roman"/>
                <w:color w:val="auto"/>
                <w:spacing w:val="6"/>
                <w:sz w:val="21"/>
                <w:szCs w:val="21"/>
                <w:highlight w:val="none"/>
              </w:rPr>
              <w:t>价</w:t>
            </w:r>
          </w:p>
        </w:tc>
        <w:tc>
          <w:tcPr>
            <w:tcW w:w="2297" w:type="pct"/>
            <w:gridSpan w:val="7"/>
            <w:tcBorders>
              <w:tl2br w:val="nil"/>
              <w:tr2bl w:val="nil"/>
            </w:tcBorders>
            <w:noWrap w:val="0"/>
            <w:vAlign w:val="center"/>
          </w:tcPr>
          <w:p w14:paraId="408EE49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达</w:t>
            </w:r>
            <w:r>
              <w:rPr>
                <w:rFonts w:hint="default" w:ascii="Times New Roman" w:hAnsi="Times New Roman" w:eastAsia="宋体" w:cs="Times New Roman"/>
                <w:color w:val="auto"/>
                <w:spacing w:val="8"/>
                <w:sz w:val="21"/>
                <w:szCs w:val="21"/>
                <w:highlight w:val="none"/>
              </w:rPr>
              <w:t>标百分比</w:t>
            </w:r>
          </w:p>
        </w:tc>
        <w:tc>
          <w:tcPr>
            <w:tcW w:w="1234" w:type="pct"/>
            <w:gridSpan w:val="4"/>
            <w:tcBorders>
              <w:tl2br w:val="nil"/>
              <w:tr2bl w:val="nil"/>
            </w:tcBorders>
            <w:noWrap w:val="0"/>
            <w:vAlign w:val="center"/>
          </w:tcPr>
          <w:p w14:paraId="05D17A9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position w:val="2"/>
                <w:sz w:val="21"/>
                <w:szCs w:val="21"/>
                <w:highlight w:val="none"/>
                <w:lang w:val="en-US" w:eastAsia="zh-CN"/>
              </w:rPr>
              <w:t>100%</w:t>
            </w:r>
          </w:p>
        </w:tc>
      </w:tr>
      <w:tr w14:paraId="7A781C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591" w:type="pct"/>
            <w:tcBorders>
              <w:tl2br w:val="nil"/>
              <w:tr2bl w:val="nil"/>
            </w:tcBorders>
            <w:noWrap w:val="0"/>
            <w:vAlign w:val="center"/>
          </w:tcPr>
          <w:p w14:paraId="0005178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8"/>
                <w:sz w:val="21"/>
                <w:szCs w:val="21"/>
                <w:highlight w:val="none"/>
              </w:rPr>
              <w:t>噪</w:t>
            </w:r>
            <w:r>
              <w:rPr>
                <w:rFonts w:hint="default" w:ascii="Times New Roman" w:hAnsi="Times New Roman" w:eastAsia="宋体" w:cs="Times New Roman"/>
                <w:color w:val="auto"/>
                <w:spacing w:val="5"/>
                <w:sz w:val="21"/>
                <w:szCs w:val="21"/>
                <w:highlight w:val="none"/>
              </w:rPr>
              <w:t>声源</w:t>
            </w:r>
          </w:p>
          <w:p w14:paraId="0A20C5A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调查</w:t>
            </w:r>
          </w:p>
        </w:tc>
        <w:tc>
          <w:tcPr>
            <w:tcW w:w="876" w:type="pct"/>
            <w:tcBorders>
              <w:tl2br w:val="nil"/>
              <w:tr2bl w:val="nil"/>
            </w:tcBorders>
            <w:noWrap w:val="0"/>
            <w:vAlign w:val="center"/>
          </w:tcPr>
          <w:p w14:paraId="5EAC8B8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噪声源调查</w:t>
            </w:r>
          </w:p>
          <w:p w14:paraId="78EABE0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方</w:t>
            </w:r>
            <w:r>
              <w:rPr>
                <w:rFonts w:hint="default" w:ascii="Times New Roman" w:hAnsi="Times New Roman" w:eastAsia="宋体" w:cs="Times New Roman"/>
                <w:color w:val="auto"/>
                <w:sz w:val="21"/>
                <w:szCs w:val="21"/>
                <w:highlight w:val="none"/>
              </w:rPr>
              <w:t>法</w:t>
            </w:r>
          </w:p>
        </w:tc>
        <w:tc>
          <w:tcPr>
            <w:tcW w:w="3531" w:type="pct"/>
            <w:gridSpan w:val="11"/>
            <w:tcBorders>
              <w:tl2br w:val="nil"/>
              <w:tr2bl w:val="nil"/>
            </w:tcBorders>
            <w:noWrap w:val="0"/>
            <w:vAlign w:val="center"/>
          </w:tcPr>
          <w:p w14:paraId="3EEA31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现场实测</w:t>
            </w:r>
            <w:r>
              <w:rPr>
                <w:rFonts w:hint="eastAsia" w:ascii="Times New Roman" w:hAnsi="Times New Roman" w:cs="Times New Roman"/>
                <w:color w:val="auto"/>
                <w:spacing w:val="-1"/>
                <w:sz w:val="21"/>
                <w:szCs w:val="21"/>
                <w:highlight w:val="none"/>
                <w:lang w:eastAsia="zh-CN"/>
              </w:rPr>
              <w:t>□</w:t>
            </w:r>
            <w:r>
              <w:rPr>
                <w:rFonts w:hint="default" w:ascii="Times New Roman" w:hAnsi="Times New Roman" w:eastAsia="宋体" w:cs="Times New Roman"/>
                <w:color w:val="auto"/>
                <w:spacing w:val="7"/>
                <w:sz w:val="21"/>
                <w:szCs w:val="21"/>
                <w:highlight w:val="none"/>
              </w:rPr>
              <w:t>已有资料</w:t>
            </w:r>
            <w:r>
              <w:rPr>
                <w:rFonts w:hint="eastAsia" w:ascii="Times New Roman" w:hAnsi="Times New Roman" w:cs="Times New Roman"/>
                <w:color w:val="auto"/>
                <w:spacing w:val="-1"/>
                <w:sz w:val="21"/>
                <w:szCs w:val="21"/>
                <w:highlight w:val="none"/>
                <w:lang w:eastAsia="zh-CN"/>
              </w:rPr>
              <w:t>☑</w:t>
            </w:r>
            <w:r>
              <w:rPr>
                <w:rFonts w:hint="default" w:ascii="Times New Roman" w:hAnsi="Times New Roman" w:eastAsia="宋体" w:cs="Times New Roman"/>
                <w:color w:val="auto"/>
                <w:spacing w:val="7"/>
                <w:sz w:val="21"/>
                <w:szCs w:val="21"/>
                <w:highlight w:val="none"/>
              </w:rPr>
              <w:t>研究成</w:t>
            </w:r>
            <w:r>
              <w:rPr>
                <w:rFonts w:hint="default" w:ascii="Times New Roman" w:hAnsi="Times New Roman" w:eastAsia="宋体" w:cs="Times New Roman"/>
                <w:color w:val="auto"/>
                <w:spacing w:val="5"/>
                <w:sz w:val="21"/>
                <w:szCs w:val="21"/>
                <w:highlight w:val="none"/>
              </w:rPr>
              <w:t>果</w:t>
            </w:r>
            <w:r>
              <w:rPr>
                <w:rFonts w:hint="default" w:ascii="Times New Roman" w:hAnsi="Times New Roman" w:eastAsia="宋体" w:cs="Times New Roman"/>
                <w:color w:val="auto"/>
                <w:spacing w:val="-1"/>
                <w:sz w:val="21"/>
                <w:szCs w:val="21"/>
                <w:highlight w:val="none"/>
                <w:lang w:eastAsia="zh-CN"/>
              </w:rPr>
              <w:t>□</w:t>
            </w:r>
          </w:p>
        </w:tc>
      </w:tr>
      <w:tr w14:paraId="6D21B3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restart"/>
            <w:tcBorders>
              <w:tl2br w:val="nil"/>
              <w:tr2bl w:val="nil"/>
            </w:tcBorders>
            <w:noWrap w:val="0"/>
            <w:vAlign w:val="center"/>
          </w:tcPr>
          <w:p w14:paraId="5F2EFA0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声环境影</w:t>
            </w:r>
            <w:r>
              <w:rPr>
                <w:rFonts w:hint="default" w:ascii="Times New Roman" w:hAnsi="Times New Roman" w:eastAsia="宋体" w:cs="Times New Roman"/>
                <w:color w:val="auto"/>
                <w:spacing w:val="6"/>
                <w:sz w:val="21"/>
                <w:szCs w:val="21"/>
                <w:highlight w:val="none"/>
              </w:rPr>
              <w:t>响</w:t>
            </w:r>
            <w:r>
              <w:rPr>
                <w:rFonts w:hint="default" w:ascii="Times New Roman" w:hAnsi="Times New Roman" w:eastAsia="宋体" w:cs="Times New Roman"/>
                <w:color w:val="auto"/>
                <w:spacing w:val="8"/>
                <w:sz w:val="21"/>
                <w:szCs w:val="21"/>
                <w:highlight w:val="none"/>
              </w:rPr>
              <w:t>预测与评</w:t>
            </w:r>
            <w:r>
              <w:rPr>
                <w:rFonts w:hint="default" w:ascii="Times New Roman" w:hAnsi="Times New Roman" w:eastAsia="宋体" w:cs="Times New Roman"/>
                <w:color w:val="auto"/>
                <w:spacing w:val="7"/>
                <w:sz w:val="21"/>
                <w:szCs w:val="21"/>
                <w:highlight w:val="none"/>
              </w:rPr>
              <w:t>价</w:t>
            </w:r>
          </w:p>
        </w:tc>
        <w:tc>
          <w:tcPr>
            <w:tcW w:w="876" w:type="pct"/>
            <w:tcBorders>
              <w:tl2br w:val="nil"/>
              <w:tr2bl w:val="nil"/>
            </w:tcBorders>
            <w:noWrap w:val="0"/>
            <w:vAlign w:val="center"/>
          </w:tcPr>
          <w:p w14:paraId="16080CF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预测模</w:t>
            </w:r>
            <w:r>
              <w:rPr>
                <w:rFonts w:hint="default" w:ascii="Times New Roman" w:hAnsi="Times New Roman" w:eastAsia="宋体" w:cs="Times New Roman"/>
                <w:color w:val="auto"/>
                <w:spacing w:val="6"/>
                <w:sz w:val="21"/>
                <w:szCs w:val="21"/>
                <w:highlight w:val="none"/>
              </w:rPr>
              <w:t>型</w:t>
            </w:r>
          </w:p>
        </w:tc>
        <w:tc>
          <w:tcPr>
            <w:tcW w:w="1911" w:type="pct"/>
            <w:gridSpan w:val="6"/>
            <w:tcBorders>
              <w:tl2br w:val="nil"/>
              <w:tr2bl w:val="nil"/>
            </w:tcBorders>
            <w:noWrap w:val="0"/>
            <w:vAlign w:val="center"/>
          </w:tcPr>
          <w:p w14:paraId="682C42B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导</w:t>
            </w:r>
            <w:r>
              <w:rPr>
                <w:rFonts w:hint="default" w:ascii="Times New Roman" w:hAnsi="Times New Roman" w:eastAsia="宋体" w:cs="Times New Roman"/>
                <w:color w:val="auto"/>
                <w:spacing w:val="6"/>
                <w:sz w:val="21"/>
                <w:szCs w:val="21"/>
                <w:highlight w:val="none"/>
              </w:rPr>
              <w:t>则推荐模型</w:t>
            </w:r>
            <w:r>
              <w:rPr>
                <w:rFonts w:hint="default" w:ascii="Times New Roman" w:hAnsi="Times New Roman" w:eastAsia="宋体" w:cs="Times New Roman"/>
                <w:color w:val="auto"/>
                <w:spacing w:val="7"/>
                <w:position w:val="3"/>
                <w:sz w:val="21"/>
                <w:szCs w:val="21"/>
                <w:highlight w:val="none"/>
                <w:lang w:eastAsia="zh-CN"/>
              </w:rPr>
              <w:t>☑</w:t>
            </w:r>
          </w:p>
        </w:tc>
        <w:tc>
          <w:tcPr>
            <w:tcW w:w="1619" w:type="pct"/>
            <w:gridSpan w:val="5"/>
            <w:tcBorders>
              <w:tl2br w:val="nil"/>
              <w:tr2bl w:val="nil"/>
            </w:tcBorders>
            <w:noWrap w:val="0"/>
            <w:vAlign w:val="center"/>
          </w:tcPr>
          <w:p w14:paraId="4CB8E7B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其他</w:t>
            </w:r>
            <w:r>
              <w:rPr>
                <w:rFonts w:hint="default" w:ascii="Times New Roman" w:hAnsi="Times New Roman" w:eastAsia="宋体" w:cs="Times New Roman"/>
                <w:color w:val="auto"/>
                <w:spacing w:val="7"/>
                <w:position w:val="3"/>
                <w:sz w:val="21"/>
                <w:szCs w:val="21"/>
                <w:highlight w:val="none"/>
                <w:lang w:eastAsia="zh-CN"/>
              </w:rPr>
              <w:t>□</w:t>
            </w:r>
          </w:p>
        </w:tc>
      </w:tr>
      <w:tr w14:paraId="62560B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continue"/>
            <w:tcBorders>
              <w:tl2br w:val="nil"/>
              <w:tr2bl w:val="nil"/>
            </w:tcBorders>
            <w:noWrap w:val="0"/>
            <w:vAlign w:val="center"/>
          </w:tcPr>
          <w:p w14:paraId="19842C8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41D4C7C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预测范</w:t>
            </w:r>
            <w:r>
              <w:rPr>
                <w:rFonts w:hint="default" w:ascii="Times New Roman" w:hAnsi="Times New Roman" w:eastAsia="宋体" w:cs="Times New Roman"/>
                <w:color w:val="auto"/>
                <w:spacing w:val="6"/>
                <w:sz w:val="21"/>
                <w:szCs w:val="21"/>
                <w:highlight w:val="none"/>
              </w:rPr>
              <w:t>围</w:t>
            </w:r>
          </w:p>
        </w:tc>
        <w:tc>
          <w:tcPr>
            <w:tcW w:w="1911" w:type="pct"/>
            <w:gridSpan w:val="6"/>
            <w:tcBorders>
              <w:tl2br w:val="nil"/>
              <w:tr2bl w:val="nil"/>
            </w:tcBorders>
            <w:noWrap w:val="0"/>
            <w:vAlign w:val="center"/>
          </w:tcPr>
          <w:p w14:paraId="34A5092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200</w:t>
            </w:r>
            <w:r>
              <w:rPr>
                <w:rFonts w:hint="default" w:ascii="Times New Roman" w:hAnsi="Times New Roman" w:eastAsia="宋体" w:cs="Times New Roman"/>
                <w:color w:val="auto"/>
                <w:sz w:val="21"/>
                <w:szCs w:val="21"/>
                <w:highlight w:val="none"/>
              </w:rPr>
              <w:t>m</w:t>
            </w:r>
            <w:r>
              <w:rPr>
                <w:rFonts w:hint="eastAsia" w:ascii="Times New Roman" w:hAnsi="Times New Roman" w:cs="Times New Roman"/>
                <w:color w:val="auto"/>
                <w:spacing w:val="-1"/>
                <w:sz w:val="21"/>
                <w:szCs w:val="21"/>
                <w:highlight w:val="none"/>
                <w:lang w:eastAsia="zh-CN"/>
              </w:rPr>
              <w:t>☑</w:t>
            </w:r>
          </w:p>
        </w:tc>
        <w:tc>
          <w:tcPr>
            <w:tcW w:w="911" w:type="pct"/>
            <w:gridSpan w:val="3"/>
            <w:tcBorders>
              <w:tl2br w:val="nil"/>
              <w:tr2bl w:val="nil"/>
            </w:tcBorders>
            <w:noWrap w:val="0"/>
            <w:vAlign w:val="center"/>
          </w:tcPr>
          <w:p w14:paraId="5C61A75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rPr>
              <w:t>大于</w:t>
            </w:r>
            <w:r>
              <w:rPr>
                <w:rFonts w:hint="default" w:ascii="Times New Roman" w:hAnsi="Times New Roman" w:eastAsia="宋体" w:cs="Times New Roman"/>
                <w:color w:val="auto"/>
                <w:spacing w:val="-1"/>
                <w:sz w:val="21"/>
                <w:szCs w:val="21"/>
                <w:highlight w:val="none"/>
              </w:rPr>
              <w:t>200m</w:t>
            </w:r>
            <w:r>
              <w:rPr>
                <w:rFonts w:hint="default" w:ascii="Times New Roman" w:hAnsi="Times New Roman" w:eastAsia="宋体" w:cs="Times New Roman"/>
                <w:color w:val="auto"/>
                <w:spacing w:val="-1"/>
                <w:sz w:val="21"/>
                <w:szCs w:val="21"/>
                <w:highlight w:val="none"/>
                <w:lang w:eastAsia="zh-CN"/>
              </w:rPr>
              <w:t>□</w:t>
            </w:r>
          </w:p>
        </w:tc>
        <w:tc>
          <w:tcPr>
            <w:tcW w:w="708" w:type="pct"/>
            <w:gridSpan w:val="2"/>
            <w:tcBorders>
              <w:tl2br w:val="nil"/>
              <w:tr2bl w:val="nil"/>
            </w:tcBorders>
            <w:noWrap w:val="0"/>
            <w:vAlign w:val="center"/>
          </w:tcPr>
          <w:p w14:paraId="1D9EEA94">
            <w:pPr>
              <w:keepNext w:val="0"/>
              <w:keepLines w:val="0"/>
              <w:pageBreakBefore w:val="0"/>
              <w:wordWrap/>
              <w:overflowPunct/>
              <w:topLinePunct w:val="0"/>
              <w:bidi w:val="0"/>
              <w:adjustRightInd w:val="0"/>
              <w:snapToGrid w:val="0"/>
              <w:spacing w:line="240" w:lineRule="auto"/>
              <w:ind w:left="0" w:leftChars="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小于200</w:t>
            </w:r>
            <w:r>
              <w:rPr>
                <w:rFonts w:hint="default" w:ascii="Times New Roman" w:hAnsi="Times New Roman" w:eastAsia="宋体" w:cs="Times New Roman"/>
                <w:color w:val="auto"/>
                <w:spacing w:val="-2"/>
                <w:sz w:val="21"/>
                <w:szCs w:val="21"/>
                <w:highlight w:val="none"/>
              </w:rPr>
              <w:t>m</w:t>
            </w:r>
            <w:r>
              <w:rPr>
                <w:rFonts w:hint="eastAsia" w:ascii="Times New Roman" w:hAnsi="Times New Roman" w:cs="Times New Roman"/>
                <w:color w:val="auto"/>
                <w:spacing w:val="7"/>
                <w:position w:val="3"/>
                <w:sz w:val="21"/>
                <w:szCs w:val="21"/>
                <w:highlight w:val="none"/>
                <w:lang w:eastAsia="zh-CN"/>
              </w:rPr>
              <w:t>□</w:t>
            </w:r>
          </w:p>
        </w:tc>
      </w:tr>
      <w:tr w14:paraId="5849CE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continue"/>
            <w:tcBorders>
              <w:tl2br w:val="nil"/>
              <w:tr2bl w:val="nil"/>
            </w:tcBorders>
            <w:noWrap w:val="0"/>
            <w:vAlign w:val="center"/>
          </w:tcPr>
          <w:p w14:paraId="16A12FF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73921F4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预测因</w:t>
            </w:r>
            <w:r>
              <w:rPr>
                <w:rFonts w:hint="default" w:ascii="Times New Roman" w:hAnsi="Times New Roman" w:eastAsia="宋体" w:cs="Times New Roman"/>
                <w:color w:val="auto"/>
                <w:spacing w:val="6"/>
                <w:sz w:val="21"/>
                <w:szCs w:val="21"/>
                <w:highlight w:val="none"/>
              </w:rPr>
              <w:t>子</w:t>
            </w:r>
          </w:p>
        </w:tc>
        <w:tc>
          <w:tcPr>
            <w:tcW w:w="3531" w:type="pct"/>
            <w:gridSpan w:val="11"/>
            <w:tcBorders>
              <w:tl2br w:val="nil"/>
              <w:tr2bl w:val="nil"/>
            </w:tcBorders>
            <w:noWrap w:val="0"/>
            <w:vAlign w:val="center"/>
          </w:tcPr>
          <w:p w14:paraId="15081C7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等效连续</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4"/>
                <w:sz w:val="21"/>
                <w:szCs w:val="21"/>
                <w:highlight w:val="none"/>
              </w:rPr>
              <w:t>声级</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4"/>
                <w:sz w:val="21"/>
                <w:szCs w:val="21"/>
                <w:highlight w:val="none"/>
              </w:rPr>
              <w:t>最大</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4"/>
                <w:sz w:val="21"/>
                <w:szCs w:val="21"/>
                <w:highlight w:val="none"/>
              </w:rPr>
              <w:t>声级</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4"/>
                <w:sz w:val="21"/>
                <w:szCs w:val="21"/>
                <w:highlight w:val="none"/>
              </w:rPr>
              <w:t>计权等效连续感觉噪声</w:t>
            </w:r>
            <w:r>
              <w:rPr>
                <w:rFonts w:hint="default" w:ascii="Times New Roman" w:hAnsi="Times New Roman" w:eastAsia="宋体" w:cs="Times New Roman"/>
                <w:color w:val="auto"/>
                <w:spacing w:val="2"/>
                <w:sz w:val="21"/>
                <w:szCs w:val="21"/>
                <w:highlight w:val="none"/>
              </w:rPr>
              <w:t>级</w:t>
            </w:r>
            <w:r>
              <w:rPr>
                <w:rFonts w:hint="default" w:ascii="Times New Roman" w:hAnsi="Times New Roman" w:eastAsia="宋体" w:cs="Times New Roman"/>
                <w:color w:val="auto"/>
                <w:spacing w:val="7"/>
                <w:position w:val="3"/>
                <w:sz w:val="21"/>
                <w:szCs w:val="21"/>
                <w:highlight w:val="none"/>
                <w:lang w:eastAsia="zh-CN"/>
              </w:rPr>
              <w:t>□</w:t>
            </w:r>
          </w:p>
        </w:tc>
      </w:tr>
      <w:tr w14:paraId="1C4025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continue"/>
            <w:tcBorders>
              <w:tl2br w:val="nil"/>
              <w:tr2bl w:val="nil"/>
            </w:tcBorders>
            <w:noWrap w:val="0"/>
            <w:vAlign w:val="center"/>
          </w:tcPr>
          <w:p w14:paraId="7340D2E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15DC150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10"/>
                <w:sz w:val="21"/>
                <w:szCs w:val="21"/>
                <w:highlight w:val="none"/>
              </w:rPr>
              <w:t>厂</w:t>
            </w:r>
            <w:r>
              <w:rPr>
                <w:rFonts w:hint="default" w:ascii="Times New Roman" w:hAnsi="Times New Roman" w:eastAsia="宋体" w:cs="Times New Roman"/>
                <w:color w:val="auto"/>
                <w:spacing w:val="8"/>
                <w:sz w:val="21"/>
                <w:szCs w:val="21"/>
                <w:highlight w:val="none"/>
              </w:rPr>
              <w:t>界噪声</w:t>
            </w:r>
          </w:p>
          <w:p w14:paraId="0754B22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贡献值</w:t>
            </w:r>
          </w:p>
        </w:tc>
        <w:tc>
          <w:tcPr>
            <w:tcW w:w="3531" w:type="pct"/>
            <w:gridSpan w:val="11"/>
            <w:tcBorders>
              <w:tl2br w:val="nil"/>
              <w:tr2bl w:val="nil"/>
            </w:tcBorders>
            <w:noWrap w:val="0"/>
            <w:vAlign w:val="center"/>
          </w:tcPr>
          <w:p w14:paraId="1DA8420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4"/>
                <w:sz w:val="21"/>
                <w:szCs w:val="21"/>
                <w:highlight w:val="none"/>
              </w:rPr>
              <w:t>达</w:t>
            </w:r>
            <w:r>
              <w:rPr>
                <w:rFonts w:hint="default" w:ascii="Times New Roman" w:hAnsi="Times New Roman" w:eastAsia="宋体" w:cs="Times New Roman"/>
                <w:color w:val="auto"/>
                <w:spacing w:val="3"/>
                <w:sz w:val="21"/>
                <w:szCs w:val="21"/>
                <w:highlight w:val="none"/>
              </w:rPr>
              <w:t>标</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7"/>
                <w:sz w:val="21"/>
                <w:szCs w:val="21"/>
                <w:highlight w:val="none"/>
              </w:rPr>
              <w:t>不</w:t>
            </w:r>
            <w:r>
              <w:rPr>
                <w:rFonts w:hint="default" w:ascii="Times New Roman" w:hAnsi="Times New Roman" w:eastAsia="宋体" w:cs="Times New Roman"/>
                <w:color w:val="auto"/>
                <w:spacing w:val="5"/>
                <w:sz w:val="21"/>
                <w:szCs w:val="21"/>
                <w:highlight w:val="none"/>
              </w:rPr>
              <w:t>达标</w:t>
            </w:r>
            <w:r>
              <w:rPr>
                <w:rFonts w:hint="default" w:ascii="Times New Roman" w:hAnsi="Times New Roman" w:eastAsia="宋体" w:cs="Times New Roman"/>
                <w:color w:val="auto"/>
                <w:spacing w:val="5"/>
                <w:sz w:val="21"/>
                <w:szCs w:val="21"/>
                <w:highlight w:val="none"/>
                <w:lang w:eastAsia="zh-CN"/>
              </w:rPr>
              <w:t>□</w:t>
            </w:r>
          </w:p>
        </w:tc>
      </w:tr>
      <w:tr w14:paraId="0C995D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91" w:type="pct"/>
            <w:vMerge w:val="continue"/>
            <w:tcBorders>
              <w:tl2br w:val="nil"/>
              <w:tr2bl w:val="nil"/>
            </w:tcBorders>
            <w:noWrap w:val="0"/>
            <w:vAlign w:val="center"/>
          </w:tcPr>
          <w:p w14:paraId="4E3B2FE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5C6F4B0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声环境保护目标</w:t>
            </w:r>
            <w:r>
              <w:rPr>
                <w:rFonts w:hint="default" w:ascii="Times New Roman" w:hAnsi="Times New Roman" w:eastAsia="宋体" w:cs="Times New Roman"/>
                <w:color w:val="auto"/>
                <w:spacing w:val="7"/>
                <w:sz w:val="21"/>
                <w:szCs w:val="21"/>
                <w:highlight w:val="none"/>
              </w:rPr>
              <w:t>处</w:t>
            </w:r>
            <w:r>
              <w:rPr>
                <w:rFonts w:hint="default" w:ascii="Times New Roman" w:hAnsi="Times New Roman" w:eastAsia="宋体" w:cs="Times New Roman"/>
                <w:color w:val="auto"/>
                <w:spacing w:val="6"/>
                <w:sz w:val="21"/>
                <w:szCs w:val="21"/>
                <w:highlight w:val="none"/>
              </w:rPr>
              <w:t>噪声值</w:t>
            </w:r>
          </w:p>
        </w:tc>
        <w:tc>
          <w:tcPr>
            <w:tcW w:w="3531" w:type="pct"/>
            <w:gridSpan w:val="11"/>
            <w:tcBorders>
              <w:tl2br w:val="nil"/>
              <w:tr2bl w:val="nil"/>
            </w:tcBorders>
            <w:noWrap w:val="0"/>
            <w:vAlign w:val="center"/>
          </w:tcPr>
          <w:p w14:paraId="1CBF48B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r>
              <w:rPr>
                <w:rFonts w:hint="eastAsia" w:ascii="Times New Roman" w:hAnsi="Times New Roman"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7"/>
                <w:sz w:val="21"/>
                <w:szCs w:val="21"/>
                <w:highlight w:val="none"/>
              </w:rPr>
              <w:t>不</w:t>
            </w:r>
            <w:r>
              <w:rPr>
                <w:rFonts w:hint="default" w:ascii="Times New Roman" w:hAnsi="Times New Roman" w:eastAsia="宋体" w:cs="Times New Roman"/>
                <w:color w:val="auto"/>
                <w:spacing w:val="6"/>
                <w:sz w:val="21"/>
                <w:szCs w:val="21"/>
                <w:highlight w:val="none"/>
              </w:rPr>
              <w:t>达标</w:t>
            </w:r>
            <w:r>
              <w:rPr>
                <w:rFonts w:hint="default" w:ascii="Times New Roman" w:hAnsi="Times New Roman" w:eastAsia="宋体" w:cs="Times New Roman"/>
                <w:color w:val="auto"/>
                <w:spacing w:val="7"/>
                <w:position w:val="3"/>
                <w:sz w:val="21"/>
                <w:szCs w:val="21"/>
                <w:highlight w:val="none"/>
                <w:lang w:eastAsia="zh-CN"/>
              </w:rPr>
              <w:t>□</w:t>
            </w:r>
          </w:p>
        </w:tc>
      </w:tr>
      <w:tr w14:paraId="345417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restart"/>
            <w:tcBorders>
              <w:tl2br w:val="nil"/>
              <w:tr2bl w:val="nil"/>
            </w:tcBorders>
            <w:noWrap w:val="0"/>
            <w:vAlign w:val="center"/>
          </w:tcPr>
          <w:p w14:paraId="0E809CD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环境监测计</w:t>
            </w:r>
            <w:r>
              <w:rPr>
                <w:rFonts w:hint="default" w:ascii="Times New Roman" w:hAnsi="Times New Roman" w:eastAsia="宋体" w:cs="Times New Roman"/>
                <w:color w:val="auto"/>
                <w:spacing w:val="1"/>
                <w:sz w:val="21"/>
                <w:szCs w:val="21"/>
                <w:highlight w:val="none"/>
              </w:rPr>
              <w:t>划</w:t>
            </w:r>
          </w:p>
        </w:tc>
        <w:tc>
          <w:tcPr>
            <w:tcW w:w="876" w:type="pct"/>
            <w:tcBorders>
              <w:tl2br w:val="nil"/>
              <w:tr2bl w:val="nil"/>
            </w:tcBorders>
            <w:noWrap w:val="0"/>
            <w:vAlign w:val="center"/>
          </w:tcPr>
          <w:p w14:paraId="43A3BDE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排</w:t>
            </w:r>
            <w:r>
              <w:rPr>
                <w:rFonts w:hint="default" w:ascii="Times New Roman" w:hAnsi="Times New Roman" w:eastAsia="宋体" w:cs="Times New Roman"/>
                <w:color w:val="auto"/>
                <w:spacing w:val="7"/>
                <w:sz w:val="21"/>
                <w:szCs w:val="21"/>
                <w:highlight w:val="none"/>
              </w:rPr>
              <w:t>放监测</w:t>
            </w:r>
          </w:p>
        </w:tc>
        <w:tc>
          <w:tcPr>
            <w:tcW w:w="3531" w:type="pct"/>
            <w:gridSpan w:val="11"/>
            <w:tcBorders>
              <w:tl2br w:val="nil"/>
              <w:tr2bl w:val="nil"/>
            </w:tcBorders>
            <w:noWrap w:val="0"/>
            <w:vAlign w:val="center"/>
          </w:tcPr>
          <w:p w14:paraId="2BDF6C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厂界监测</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8"/>
                <w:sz w:val="21"/>
                <w:szCs w:val="21"/>
                <w:highlight w:val="none"/>
              </w:rPr>
              <w:t>固定位置监测</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8"/>
                <w:sz w:val="21"/>
                <w:szCs w:val="21"/>
                <w:highlight w:val="none"/>
              </w:rPr>
              <w:t>自动监测</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8"/>
                <w:sz w:val="21"/>
                <w:szCs w:val="21"/>
                <w:highlight w:val="none"/>
              </w:rPr>
              <w:t>手动监测</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8"/>
                <w:sz w:val="21"/>
                <w:szCs w:val="21"/>
                <w:highlight w:val="none"/>
              </w:rPr>
              <w:t>无监</w:t>
            </w:r>
            <w:r>
              <w:rPr>
                <w:rFonts w:hint="default" w:ascii="Times New Roman" w:hAnsi="Times New Roman" w:eastAsia="宋体" w:cs="Times New Roman"/>
                <w:color w:val="auto"/>
                <w:spacing w:val="3"/>
                <w:sz w:val="21"/>
                <w:szCs w:val="21"/>
                <w:highlight w:val="none"/>
              </w:rPr>
              <w:t>测</w:t>
            </w:r>
            <w:r>
              <w:rPr>
                <w:rFonts w:hint="default" w:ascii="Times New Roman" w:hAnsi="Times New Roman" w:eastAsia="宋体" w:cs="Times New Roman"/>
                <w:color w:val="auto"/>
                <w:spacing w:val="7"/>
                <w:position w:val="3"/>
                <w:sz w:val="21"/>
                <w:szCs w:val="21"/>
                <w:highlight w:val="none"/>
                <w:lang w:eastAsia="zh-CN"/>
              </w:rPr>
              <w:t>□</w:t>
            </w:r>
          </w:p>
        </w:tc>
      </w:tr>
      <w:tr w14:paraId="6BE4F8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91" w:type="pct"/>
            <w:vMerge w:val="continue"/>
            <w:tcBorders>
              <w:tl2br w:val="nil"/>
              <w:tr2bl w:val="nil"/>
            </w:tcBorders>
            <w:noWrap w:val="0"/>
            <w:vAlign w:val="center"/>
          </w:tcPr>
          <w:p w14:paraId="64CBD25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784A525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声环境保护目标处</w:t>
            </w:r>
            <w:r>
              <w:rPr>
                <w:rFonts w:hint="default" w:ascii="Times New Roman" w:hAnsi="Times New Roman" w:eastAsia="宋体" w:cs="Times New Roman"/>
                <w:color w:val="auto"/>
                <w:spacing w:val="7"/>
                <w:sz w:val="21"/>
                <w:szCs w:val="21"/>
                <w:highlight w:val="none"/>
              </w:rPr>
              <w:t>噪声监测</w:t>
            </w:r>
          </w:p>
        </w:tc>
        <w:tc>
          <w:tcPr>
            <w:tcW w:w="1911" w:type="pct"/>
            <w:gridSpan w:val="6"/>
            <w:tcBorders>
              <w:tl2br w:val="nil"/>
              <w:tr2bl w:val="nil"/>
            </w:tcBorders>
            <w:noWrap w:val="0"/>
            <w:vAlign w:val="center"/>
          </w:tcPr>
          <w:p w14:paraId="5FA8C63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rPr>
              <w:t>监</w:t>
            </w:r>
            <w:r>
              <w:rPr>
                <w:rFonts w:hint="default" w:ascii="Times New Roman" w:hAnsi="Times New Roman" w:eastAsia="宋体" w:cs="Times New Roman"/>
                <w:color w:val="auto"/>
                <w:spacing w:val="-7"/>
                <w:sz w:val="21"/>
                <w:szCs w:val="21"/>
                <w:highlight w:val="none"/>
              </w:rPr>
              <w:t>测因子：</w:t>
            </w:r>
            <w:r>
              <w:rPr>
                <w:rFonts w:hint="eastAsia" w:ascii="Times New Roman" w:hAnsi="Times New Roman" w:eastAsia="宋体" w:cs="Times New Roman"/>
                <w:color w:val="auto"/>
                <w:spacing w:val="-7"/>
                <w:sz w:val="21"/>
                <w:szCs w:val="21"/>
                <w:highlight w:val="none"/>
                <w:lang w:eastAsia="zh-CN"/>
              </w:rPr>
              <w:t>（）</w:t>
            </w:r>
          </w:p>
        </w:tc>
        <w:tc>
          <w:tcPr>
            <w:tcW w:w="911" w:type="pct"/>
            <w:gridSpan w:val="3"/>
            <w:tcBorders>
              <w:tl2br w:val="nil"/>
              <w:tr2bl w:val="nil"/>
            </w:tcBorders>
            <w:noWrap w:val="0"/>
            <w:vAlign w:val="center"/>
          </w:tcPr>
          <w:p w14:paraId="38C4F51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监</w:t>
            </w:r>
            <w:r>
              <w:rPr>
                <w:rFonts w:hint="default" w:ascii="Times New Roman" w:hAnsi="Times New Roman" w:eastAsia="宋体" w:cs="Times New Roman"/>
                <w:color w:val="auto"/>
                <w:spacing w:val="6"/>
                <w:sz w:val="21"/>
                <w:szCs w:val="21"/>
                <w:highlight w:val="none"/>
              </w:rPr>
              <w:t>测点位数</w:t>
            </w:r>
            <w:r>
              <w:rPr>
                <w:rFonts w:hint="eastAsia" w:ascii="Times New Roman" w:hAnsi="Times New Roman" w:eastAsia="宋体" w:cs="Times New Roman"/>
                <w:color w:val="auto"/>
                <w:spacing w:val="6"/>
                <w:sz w:val="21"/>
                <w:szCs w:val="21"/>
                <w:highlight w:val="none"/>
                <w:lang w:eastAsia="zh-CN"/>
              </w:rPr>
              <w:t>（）</w:t>
            </w:r>
          </w:p>
        </w:tc>
        <w:tc>
          <w:tcPr>
            <w:tcW w:w="708" w:type="pct"/>
            <w:gridSpan w:val="2"/>
            <w:tcBorders>
              <w:tl2br w:val="nil"/>
              <w:tr2bl w:val="nil"/>
            </w:tcBorders>
            <w:noWrap w:val="0"/>
            <w:vAlign w:val="center"/>
          </w:tcPr>
          <w:p w14:paraId="06B7CA8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rPr>
              <w:t>无</w:t>
            </w:r>
            <w:r>
              <w:rPr>
                <w:rFonts w:hint="default" w:ascii="Times New Roman" w:hAnsi="Times New Roman" w:eastAsia="宋体" w:cs="Times New Roman"/>
                <w:color w:val="auto"/>
                <w:spacing w:val="6"/>
                <w:sz w:val="21"/>
                <w:szCs w:val="21"/>
                <w:highlight w:val="none"/>
              </w:rPr>
              <w:t>监测</w:t>
            </w:r>
            <w:r>
              <w:rPr>
                <w:rFonts w:hint="default" w:ascii="Times New Roman" w:hAnsi="Times New Roman" w:eastAsia="宋体" w:cs="Times New Roman"/>
                <w:color w:val="auto"/>
                <w:spacing w:val="6"/>
                <w:sz w:val="21"/>
                <w:szCs w:val="21"/>
                <w:highlight w:val="none"/>
                <w:lang w:eastAsia="zh-CN"/>
              </w:rPr>
              <w:t>☑</w:t>
            </w:r>
          </w:p>
        </w:tc>
      </w:tr>
      <w:tr w14:paraId="2CEFD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tcBorders>
              <w:tl2br w:val="nil"/>
              <w:tr2bl w:val="nil"/>
            </w:tcBorders>
            <w:noWrap w:val="0"/>
            <w:vAlign w:val="center"/>
          </w:tcPr>
          <w:p w14:paraId="327195C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价结论</w:t>
            </w:r>
          </w:p>
        </w:tc>
        <w:tc>
          <w:tcPr>
            <w:tcW w:w="876" w:type="pct"/>
            <w:tcBorders>
              <w:tl2br w:val="nil"/>
              <w:tr2bl w:val="nil"/>
            </w:tcBorders>
            <w:noWrap w:val="0"/>
            <w:vAlign w:val="center"/>
          </w:tcPr>
          <w:p w14:paraId="49789DB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环</w:t>
            </w:r>
            <w:r>
              <w:rPr>
                <w:rFonts w:hint="default" w:ascii="Times New Roman" w:hAnsi="Times New Roman" w:eastAsia="宋体" w:cs="Times New Roman"/>
                <w:color w:val="auto"/>
                <w:spacing w:val="7"/>
                <w:sz w:val="21"/>
                <w:szCs w:val="21"/>
                <w:highlight w:val="none"/>
              </w:rPr>
              <w:t>境影响</w:t>
            </w:r>
          </w:p>
        </w:tc>
        <w:tc>
          <w:tcPr>
            <w:tcW w:w="3531" w:type="pct"/>
            <w:gridSpan w:val="11"/>
            <w:tcBorders>
              <w:tl2br w:val="nil"/>
              <w:tr2bl w:val="nil"/>
            </w:tcBorders>
            <w:noWrap w:val="0"/>
            <w:vAlign w:val="center"/>
          </w:tcPr>
          <w:p w14:paraId="18901AD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rPr>
              <w:t>可</w:t>
            </w:r>
            <w:r>
              <w:rPr>
                <w:rFonts w:hint="default" w:ascii="Times New Roman" w:hAnsi="Times New Roman" w:eastAsia="宋体" w:cs="Times New Roman"/>
                <w:color w:val="auto"/>
                <w:spacing w:val="4"/>
                <w:sz w:val="21"/>
                <w:szCs w:val="21"/>
                <w:highlight w:val="none"/>
              </w:rPr>
              <w:t>行</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4"/>
                <w:sz w:val="21"/>
                <w:szCs w:val="21"/>
                <w:highlight w:val="none"/>
              </w:rPr>
              <w:t>不可行</w:t>
            </w:r>
            <w:r>
              <w:rPr>
                <w:rFonts w:hint="default" w:ascii="Times New Roman" w:hAnsi="Times New Roman" w:eastAsia="宋体" w:cs="Times New Roman"/>
                <w:color w:val="auto"/>
                <w:spacing w:val="4"/>
                <w:sz w:val="21"/>
                <w:szCs w:val="21"/>
                <w:highlight w:val="none"/>
                <w:lang w:eastAsia="zh-CN"/>
              </w:rPr>
              <w:t>□</w:t>
            </w:r>
          </w:p>
        </w:tc>
      </w:tr>
      <w:tr w14:paraId="564FAA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5000" w:type="pct"/>
            <w:gridSpan w:val="13"/>
            <w:tcBorders>
              <w:tl2br w:val="nil"/>
              <w:tr2bl w:val="nil"/>
            </w:tcBorders>
            <w:noWrap w:val="0"/>
            <w:vAlign w:val="center"/>
          </w:tcPr>
          <w:p w14:paraId="194D885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注</w:t>
            </w:r>
            <w:r>
              <w:rPr>
                <w:rFonts w:hint="default" w:ascii="Times New Roman" w:hAnsi="Times New Roman" w:eastAsia="宋体" w:cs="Times New Roman"/>
                <w:color w:val="auto"/>
                <w:spacing w:val="7"/>
                <w:sz w:val="21"/>
                <w:szCs w:val="21"/>
                <w:highlight w:val="none"/>
              </w:rPr>
              <w:t>：“”为勾选项，填“√”；“</w:t>
            </w:r>
            <w:r>
              <w:rPr>
                <w:rFonts w:hint="eastAsia"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rPr>
              <w:t>”为内容填写项</w:t>
            </w:r>
          </w:p>
        </w:tc>
      </w:tr>
    </w:tbl>
    <w:p w14:paraId="56B98569">
      <w:pPr>
        <w:pStyle w:val="3"/>
        <w:pageBreakBefore w:val="0"/>
        <w:wordWrap/>
        <w:topLinePunct w:val="0"/>
        <w:bidi w:val="0"/>
        <w:adjustRightInd w:val="0"/>
        <w:snapToGrid w:val="0"/>
        <w:ind w:left="0" w:leftChars="0" w:right="0" w:firstLine="281" w:firstLineChars="100"/>
        <w:rPr>
          <w:rFonts w:hint="default" w:ascii="Times New Roman" w:hAnsi="Times New Roman" w:eastAsia="宋体" w:cs="Times New Roman"/>
          <w:color w:val="auto"/>
          <w:highlight w:val="none"/>
        </w:rPr>
      </w:pPr>
      <w:bookmarkStart w:id="184" w:name="_Toc6366"/>
      <w:bookmarkStart w:id="185" w:name="_Toc14085"/>
      <w:r>
        <w:rPr>
          <w:rFonts w:hint="default" w:ascii="Times New Roman" w:hAnsi="Times New Roman" w:eastAsia="宋体" w:cs="Times New Roman"/>
          <w:color w:val="auto"/>
          <w:highlight w:val="none"/>
        </w:rPr>
        <w:t>5.5 固体废物影响分析</w:t>
      </w:r>
      <w:bookmarkEnd w:id="184"/>
      <w:bookmarkEnd w:id="185"/>
    </w:p>
    <w:p w14:paraId="47CF0F57">
      <w:pPr>
        <w:pageBreakBefore w:val="0"/>
        <w:wordWrap/>
        <w:topLinePunct w:val="0"/>
        <w:bidi w:val="0"/>
        <w:adjustRightInd w:val="0"/>
        <w:snapToGrid w:val="0"/>
        <w:spacing w:line="360" w:lineRule="auto"/>
        <w:ind w:left="0" w:leftChars="0" w:right="0" w:firstLine="482" w:firstLineChars="200"/>
        <w:outlineLvl w:val="2"/>
        <w:rPr>
          <w:rFonts w:hint="default" w:ascii="Times New Roman" w:hAnsi="Times New Roman" w:cs="Times New Roman"/>
          <w:b/>
          <w:color w:val="auto"/>
          <w:szCs w:val="24"/>
          <w:highlight w:val="none"/>
          <w:lang w:val="en-US" w:eastAsia="zh-CN"/>
        </w:rPr>
      </w:pPr>
      <w:bookmarkStart w:id="186" w:name="_Toc7914"/>
      <w:r>
        <w:rPr>
          <w:rFonts w:hint="eastAsia" w:ascii="Times New Roman" w:hAnsi="Times New Roman" w:cs="Times New Roman"/>
          <w:b/>
          <w:color w:val="auto"/>
          <w:szCs w:val="24"/>
          <w:highlight w:val="none"/>
          <w:lang w:val="en-US" w:eastAsia="zh-CN"/>
        </w:rPr>
        <w:t>5.5.1</w:t>
      </w:r>
      <w:r>
        <w:rPr>
          <w:rFonts w:hint="default" w:ascii="Times New Roman" w:hAnsi="Times New Roman" w:cs="Times New Roman"/>
          <w:b/>
          <w:color w:val="auto"/>
          <w:szCs w:val="24"/>
          <w:highlight w:val="none"/>
        </w:rPr>
        <w:t>固体废物</w:t>
      </w:r>
      <w:bookmarkEnd w:id="186"/>
      <w:r>
        <w:rPr>
          <w:rFonts w:hint="default" w:ascii="Times New Roman" w:hAnsi="Times New Roman" w:cs="Times New Roman"/>
          <w:b/>
          <w:color w:val="auto"/>
          <w:szCs w:val="24"/>
          <w:highlight w:val="none"/>
          <w:lang w:val="en-US" w:eastAsia="zh-CN"/>
        </w:rPr>
        <w:t>产生及处置情况</w:t>
      </w:r>
    </w:p>
    <w:p w14:paraId="0245C055">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highlight w:val="none"/>
        </w:rPr>
      </w:pP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lang w:val="en-US" w:eastAsia="zh-CN"/>
        </w:rPr>
        <w:t>1</w:t>
      </w: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rPr>
        <w:t>生活垃圾</w:t>
      </w:r>
    </w:p>
    <w:p w14:paraId="5D42F9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b w:val="0"/>
          <w:bCs/>
          <w:color w:val="auto"/>
          <w:kern w:val="0"/>
          <w:szCs w:val="28"/>
          <w:highlight w:val="none"/>
        </w:rPr>
      </w:pPr>
      <w:r>
        <w:rPr>
          <w:rFonts w:hint="default" w:ascii="Times New Roman" w:hAnsi="Times New Roman" w:cs="Times New Roman"/>
          <w:b w:val="0"/>
          <w:bCs/>
          <w:color w:val="auto"/>
          <w:kern w:val="0"/>
          <w:szCs w:val="28"/>
          <w:highlight w:val="none"/>
        </w:rPr>
        <w:t>项目新增员工30人，以每人每天产生0.5kg生活垃圾计算，则共产生生活垃圾15kg/d，</w:t>
      </w:r>
      <w:r>
        <w:rPr>
          <w:rFonts w:hint="eastAsia" w:cs="Times New Roman"/>
          <w:b w:val="0"/>
          <w:bCs/>
          <w:color w:val="auto"/>
          <w:kern w:val="0"/>
          <w:szCs w:val="28"/>
          <w:highlight w:val="none"/>
          <w:lang w:val="en-US" w:eastAsia="zh-CN"/>
        </w:rPr>
        <w:t>7.5</w:t>
      </w:r>
      <w:r>
        <w:rPr>
          <w:rFonts w:hint="default" w:ascii="Times New Roman" w:hAnsi="Times New Roman" w:cs="Times New Roman"/>
          <w:b w:val="0"/>
          <w:bCs/>
          <w:color w:val="auto"/>
          <w:kern w:val="0"/>
          <w:szCs w:val="28"/>
          <w:highlight w:val="none"/>
        </w:rPr>
        <w:t>t/a；此类垃圾分类收集于生活垃圾箱中，定期清运至生活垃圾填埋场</w:t>
      </w:r>
      <w:r>
        <w:rPr>
          <w:rFonts w:hint="eastAsia" w:cs="Times New Roman"/>
          <w:b w:val="0"/>
          <w:bCs/>
          <w:color w:val="auto"/>
          <w:kern w:val="0"/>
          <w:szCs w:val="28"/>
          <w:highlight w:val="none"/>
          <w:lang w:val="en-US" w:eastAsia="zh-CN"/>
        </w:rPr>
        <w:t>填埋</w:t>
      </w:r>
      <w:r>
        <w:rPr>
          <w:rFonts w:hint="default" w:ascii="Times New Roman" w:hAnsi="Times New Roman" w:cs="Times New Roman"/>
          <w:b w:val="0"/>
          <w:bCs/>
          <w:color w:val="auto"/>
          <w:kern w:val="0"/>
          <w:szCs w:val="28"/>
          <w:highlight w:val="none"/>
        </w:rPr>
        <w:t>处置。</w:t>
      </w:r>
    </w:p>
    <w:p w14:paraId="3214425C">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eastAsia" w:ascii="Times New Roman" w:hAnsi="Times New Roman" w:eastAsia="宋体" w:cs="Times New Roman"/>
          <w:b w:val="0"/>
          <w:bCs/>
          <w:color w:val="auto"/>
          <w:spacing w:val="0"/>
          <w:sz w:val="24"/>
          <w:highlight w:val="none"/>
          <w:lang w:eastAsia="zh-CN"/>
        </w:rPr>
      </w:pP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lang w:val="en-US" w:eastAsia="zh-CN"/>
        </w:rPr>
        <w:t>2</w:t>
      </w:r>
      <w:r>
        <w:rPr>
          <w:rFonts w:hint="default" w:ascii="Times New Roman" w:hAnsi="Times New Roman" w:eastAsia="宋体" w:cs="Times New Roman"/>
          <w:b w:val="0"/>
          <w:bCs/>
          <w:color w:val="auto"/>
          <w:spacing w:val="0"/>
          <w:sz w:val="24"/>
          <w:highlight w:val="none"/>
          <w:lang w:eastAsia="zh-CN"/>
        </w:rPr>
        <w:t>）</w:t>
      </w:r>
      <w:r>
        <w:rPr>
          <w:rFonts w:hint="eastAsia" w:ascii="Times New Roman" w:eastAsia="宋体" w:cs="Times New Roman"/>
          <w:b w:val="0"/>
          <w:bCs/>
          <w:color w:val="auto"/>
          <w:spacing w:val="0"/>
          <w:sz w:val="24"/>
          <w:highlight w:val="none"/>
          <w:lang w:eastAsia="zh-CN"/>
        </w:rPr>
        <w:t>浸出矿渣</w:t>
      </w:r>
    </w:p>
    <w:p w14:paraId="73A1AE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val="en-US" w:eastAsia="zh-CN"/>
        </w:rPr>
        <w:t>项目本次产生的浸出矿渣约496500t，按照《铜冶炼污染防治可行技术指南》中“2.2.3 固体废物污染：湿法炼铜排放的固体废物主要为浸出渣。湿法炼铜浸出渣、脱硫副产物的属性需经过鉴别，并根据其性质和类别确定处理处置方式。</w:t>
      </w:r>
      <w:r>
        <w:rPr>
          <w:rFonts w:hint="eastAsia" w:cs="Times New Roman"/>
          <w:color w:val="auto"/>
          <w:kern w:val="0"/>
          <w:szCs w:val="28"/>
          <w:highlight w:val="none"/>
          <w:lang w:val="en-US" w:eastAsia="zh-CN"/>
        </w:rPr>
        <w:t>”的要求进行鉴别，鉴别前</w:t>
      </w:r>
      <w:r>
        <w:rPr>
          <w:rFonts w:hint="default" w:ascii="Times New Roman" w:hAnsi="Times New Roman" w:cs="Times New Roman"/>
          <w:color w:val="auto"/>
          <w:kern w:val="0"/>
          <w:szCs w:val="28"/>
          <w:highlight w:val="none"/>
          <w:lang w:val="en-US" w:eastAsia="zh-CN"/>
        </w:rPr>
        <w:t>的浸出渣按照《危险废物贮存污染控制标准》（GB18597-2023）进行管理，暂存于</w:t>
      </w:r>
      <w:r>
        <w:rPr>
          <w:rFonts w:hint="eastAsia" w:cs="Times New Roman"/>
          <w:color w:val="auto"/>
          <w:kern w:val="0"/>
          <w:szCs w:val="28"/>
          <w:highlight w:val="none"/>
          <w:lang w:val="en-US" w:eastAsia="zh-CN"/>
        </w:rPr>
        <w:t>危废贮存库</w:t>
      </w:r>
      <w:r>
        <w:rPr>
          <w:rFonts w:hint="default" w:ascii="Times New Roman" w:hAnsi="Times New Roman" w:cs="Times New Roman"/>
          <w:color w:val="auto"/>
          <w:kern w:val="0"/>
          <w:szCs w:val="28"/>
          <w:highlight w:val="none"/>
          <w:lang w:val="en-US" w:eastAsia="zh-CN"/>
        </w:rPr>
        <w:t>内</w:t>
      </w:r>
      <w:r>
        <w:rPr>
          <w:rFonts w:hint="eastAsia" w:cs="Times New Roman"/>
          <w:color w:val="auto"/>
          <w:kern w:val="0"/>
          <w:szCs w:val="28"/>
          <w:highlight w:val="none"/>
          <w:lang w:val="en-US" w:eastAsia="zh-CN"/>
        </w:rPr>
        <w:t>，若</w:t>
      </w:r>
      <w:r>
        <w:rPr>
          <w:rFonts w:hint="default" w:ascii="Times New Roman" w:hAnsi="Times New Roman" w:cs="Times New Roman"/>
          <w:color w:val="auto"/>
          <w:kern w:val="0"/>
          <w:szCs w:val="28"/>
          <w:highlight w:val="none"/>
          <w:lang w:val="en-US" w:eastAsia="zh-CN"/>
        </w:rPr>
        <w:t>鉴别结果为危险废物，收集后交由有相应危险废物处理资质的单位处置，若属于一般固体废物，则暂存于尾矿库中，并采取苫盖防尘网定期洒水等措施有效抑制扬尘产生，外售下游企业</w:t>
      </w:r>
      <w:r>
        <w:rPr>
          <w:rFonts w:hint="eastAsia" w:cs="Times New Roman"/>
          <w:color w:val="auto"/>
          <w:kern w:val="0"/>
          <w:szCs w:val="28"/>
          <w:highlight w:val="none"/>
          <w:lang w:val="en-US" w:eastAsia="zh-CN"/>
        </w:rPr>
        <w:t>。</w:t>
      </w:r>
    </w:p>
    <w:p w14:paraId="714BAFA9">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position w:val="0"/>
          <w:sz w:val="24"/>
          <w:szCs w:val="24"/>
          <w:highlight w:val="none"/>
          <w:lang w:eastAsia="zh-CN"/>
        </w:rPr>
      </w:pPr>
      <w:r>
        <w:rPr>
          <w:rFonts w:hint="default" w:ascii="Times New Roman" w:hAnsi="Times New Roman" w:eastAsia="宋体" w:cs="Times New Roman"/>
          <w:b w:val="0"/>
          <w:bCs/>
          <w:color w:val="auto"/>
          <w:spacing w:val="0"/>
          <w:position w:val="0"/>
          <w:sz w:val="24"/>
          <w:szCs w:val="24"/>
          <w:highlight w:val="none"/>
          <w:lang w:eastAsia="zh-CN"/>
        </w:rPr>
        <w:t>现</w:t>
      </w:r>
      <w:r>
        <w:rPr>
          <w:rFonts w:hint="eastAsia" w:ascii="Times New Roman" w:eastAsia="宋体" w:cs="Times New Roman"/>
          <w:b w:val="0"/>
          <w:bCs/>
          <w:color w:val="auto"/>
          <w:spacing w:val="0"/>
          <w:position w:val="0"/>
          <w:sz w:val="24"/>
          <w:szCs w:val="24"/>
          <w:highlight w:val="none"/>
          <w:lang w:val="en-US" w:eastAsia="zh-CN"/>
        </w:rPr>
        <w:t>有</w:t>
      </w:r>
      <w:r>
        <w:rPr>
          <w:rFonts w:hint="default" w:ascii="Times New Roman" w:hAnsi="Times New Roman" w:eastAsia="宋体" w:cs="Times New Roman"/>
          <w:b w:val="0"/>
          <w:bCs/>
          <w:color w:val="auto"/>
          <w:spacing w:val="0"/>
          <w:position w:val="0"/>
          <w:sz w:val="24"/>
          <w:szCs w:val="24"/>
          <w:highlight w:val="none"/>
          <w:lang w:eastAsia="zh-CN"/>
        </w:rPr>
        <w:t>尾矿库防渗要求可以满足《一般工业固体废物贮存和填埋污染控制标准》（GB 18599-2020）</w:t>
      </w:r>
      <w:r>
        <w:rPr>
          <w:rFonts w:hint="eastAsia" w:ascii="Times New Roman" w:eastAsia="宋体" w:cs="Times New Roman"/>
          <w:b w:val="0"/>
          <w:bCs/>
          <w:color w:val="auto"/>
          <w:spacing w:val="0"/>
          <w:position w:val="0"/>
          <w:sz w:val="24"/>
          <w:szCs w:val="24"/>
          <w:highlight w:val="none"/>
          <w:lang w:eastAsia="zh-CN"/>
        </w:rPr>
        <w:t>“</w:t>
      </w:r>
      <w:r>
        <w:rPr>
          <w:rFonts w:hint="default" w:ascii="Times New Roman" w:hAnsi="Times New Roman" w:eastAsia="宋体" w:cs="Times New Roman"/>
          <w:b w:val="0"/>
          <w:bCs/>
          <w:color w:val="auto"/>
          <w:spacing w:val="0"/>
          <w:position w:val="0"/>
          <w:sz w:val="24"/>
          <w:szCs w:val="24"/>
          <w:highlight w:val="none"/>
          <w:lang w:eastAsia="zh-CN"/>
        </w:rPr>
        <w:t xml:space="preserve">5.3 </w:t>
      </w:r>
      <w:r>
        <w:rPr>
          <w:rFonts w:hint="eastAsia" w:ascii="Times New Roman" w:eastAsia="宋体" w:cs="Times New Roman"/>
          <w:b w:val="0"/>
          <w:bCs/>
          <w:color w:val="auto"/>
          <w:spacing w:val="0"/>
          <w:position w:val="0"/>
          <w:sz w:val="24"/>
          <w:szCs w:val="24"/>
          <w:highlight w:val="none"/>
          <w:lang w:eastAsia="zh-CN"/>
        </w:rPr>
        <w:t>Ⅱ</w:t>
      </w:r>
      <w:r>
        <w:rPr>
          <w:rFonts w:hint="default" w:ascii="Times New Roman" w:hAnsi="Times New Roman" w:eastAsia="宋体" w:cs="Times New Roman"/>
          <w:b w:val="0"/>
          <w:bCs/>
          <w:color w:val="auto"/>
          <w:spacing w:val="0"/>
          <w:position w:val="0"/>
          <w:sz w:val="24"/>
          <w:szCs w:val="24"/>
          <w:highlight w:val="none"/>
          <w:lang w:eastAsia="zh-CN"/>
        </w:rPr>
        <w:t xml:space="preserve"> 类场技术要求</w:t>
      </w:r>
      <w:r>
        <w:rPr>
          <w:rFonts w:hint="eastAsia" w:ascii="Times New Roman" w:eastAsia="宋体" w:cs="Times New Roman"/>
          <w:b w:val="0"/>
          <w:bCs/>
          <w:color w:val="auto"/>
          <w:spacing w:val="0"/>
          <w:position w:val="0"/>
          <w:sz w:val="24"/>
          <w:szCs w:val="24"/>
          <w:highlight w:val="none"/>
          <w:lang w:val="en-US" w:eastAsia="zh-CN"/>
        </w:rPr>
        <w:t xml:space="preserve"> </w:t>
      </w:r>
      <w:r>
        <w:rPr>
          <w:rFonts w:hint="default" w:ascii="Times New Roman" w:hAnsi="Times New Roman" w:eastAsia="宋体" w:cs="Times New Roman"/>
          <w:b w:val="0"/>
          <w:bCs/>
          <w:color w:val="auto"/>
          <w:spacing w:val="0"/>
          <w:position w:val="0"/>
          <w:sz w:val="24"/>
          <w:szCs w:val="24"/>
          <w:highlight w:val="none"/>
          <w:lang w:eastAsia="zh-CN"/>
        </w:rPr>
        <w:t xml:space="preserve">5.3.1 </w:t>
      </w:r>
      <w:r>
        <w:rPr>
          <w:rFonts w:hint="eastAsia" w:ascii="Times New Roman" w:eastAsia="宋体" w:cs="Times New Roman"/>
          <w:b w:val="0"/>
          <w:bCs/>
          <w:color w:val="auto"/>
          <w:spacing w:val="0"/>
          <w:position w:val="0"/>
          <w:sz w:val="24"/>
          <w:szCs w:val="24"/>
          <w:highlight w:val="none"/>
          <w:lang w:eastAsia="zh-CN"/>
        </w:rPr>
        <w:t>Ⅱ</w:t>
      </w:r>
      <w:r>
        <w:rPr>
          <w:rFonts w:hint="default" w:ascii="Times New Roman" w:hAnsi="Times New Roman" w:eastAsia="宋体" w:cs="Times New Roman"/>
          <w:b w:val="0"/>
          <w:bCs/>
          <w:color w:val="auto"/>
          <w:spacing w:val="0"/>
          <w:position w:val="0"/>
          <w:sz w:val="24"/>
          <w:szCs w:val="24"/>
          <w:highlight w:val="none"/>
          <w:lang w:eastAsia="zh-CN"/>
        </w:rPr>
        <w:t xml:space="preserve"> 类场应采用单人工复合衬层作为防渗衬层，并符合以下技术要求：a）人工合成材料应采用高密度聚乙烯膜，厚度不小于1.5 mm，并满足 GB/T 17643 规定的技术指标要求。采用其他人工合成材料的，其防渗性能至少相当于1.5 mm高密度聚乙烯膜的防渗性能。</w:t>
      </w:r>
      <w:r>
        <w:rPr>
          <w:rFonts w:hint="eastAsia" w:ascii="Times New Roman" w:eastAsia="宋体" w:cs="Times New Roman"/>
          <w:b w:val="0"/>
          <w:bCs/>
          <w:color w:val="auto"/>
          <w:spacing w:val="0"/>
          <w:position w:val="0"/>
          <w:sz w:val="24"/>
          <w:szCs w:val="24"/>
          <w:highlight w:val="none"/>
          <w:lang w:eastAsia="zh-CN"/>
        </w:rPr>
        <w:t>”</w:t>
      </w:r>
      <w:r>
        <w:rPr>
          <w:rFonts w:hint="default" w:ascii="Times New Roman" w:hAnsi="Times New Roman" w:eastAsia="宋体" w:cs="Times New Roman"/>
          <w:b w:val="0"/>
          <w:bCs/>
          <w:color w:val="auto"/>
          <w:spacing w:val="0"/>
          <w:position w:val="0"/>
          <w:sz w:val="24"/>
          <w:szCs w:val="24"/>
          <w:highlight w:val="none"/>
          <w:lang w:eastAsia="zh-CN"/>
        </w:rPr>
        <w:t>，因此到现尾矿库堆放是可行的。</w:t>
      </w:r>
    </w:p>
    <w:p w14:paraId="21A572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（3）收集尘</w:t>
      </w:r>
    </w:p>
    <w:p w14:paraId="4ECE8A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破碎系统除尘器收集的收集尘470.26t/a，全部回用于生产。根据《国家危险废物名录（2025版）》，铜冶炼烟气收尘属于危险废物，废物类别HW48（废物代码091-001-48），危险特性T。</w:t>
      </w:r>
    </w:p>
    <w:p w14:paraId="16745C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eastAsia" w:cs="Times New Roman"/>
          <w:color w:val="auto"/>
          <w:kern w:val="0"/>
          <w:szCs w:val="28"/>
          <w:highlight w:val="none"/>
          <w:lang w:val="en-US" w:eastAsia="zh-CN"/>
        </w:rPr>
        <w:t>（4）</w:t>
      </w:r>
      <w:r>
        <w:rPr>
          <w:rFonts w:hint="default" w:cs="Times New Roman"/>
          <w:color w:val="auto"/>
          <w:kern w:val="0"/>
          <w:szCs w:val="28"/>
          <w:highlight w:val="none"/>
          <w:lang w:val="en-US" w:eastAsia="zh-CN"/>
        </w:rPr>
        <w:t>废弃除尘布袋</w:t>
      </w:r>
    </w:p>
    <w:p w14:paraId="04B777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本项目生产过程中废气通过布袋除尘器进行收尘，其中的布袋需要定期更换，滤袋是袋式除尘器的核心部件，滤袋使用寿命根据不同滤袋材质和使用的工况而不同，使用寿命一般为3至4年，滤袋每隔数年需更换，更换下来的废弃滤袋数量大，处置不当将会产生新的污染源。根据企业提供资料，废布袋产生量约为9t，约3年更换一次，定期委托有资质的单位处理。</w:t>
      </w:r>
    </w:p>
    <w:p w14:paraId="78A895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w:t>
      </w:r>
      <w:r>
        <w:rPr>
          <w:rFonts w:hint="eastAsia" w:cs="Times New Roman"/>
          <w:color w:val="auto"/>
          <w:kern w:val="0"/>
          <w:szCs w:val="28"/>
          <w:highlight w:val="none"/>
          <w:lang w:val="en-US" w:eastAsia="zh-CN"/>
        </w:rPr>
        <w:t>5</w:t>
      </w:r>
      <w:r>
        <w:rPr>
          <w:rFonts w:hint="default" w:cs="Times New Roman"/>
          <w:color w:val="auto"/>
          <w:kern w:val="0"/>
          <w:szCs w:val="28"/>
          <w:highlight w:val="none"/>
          <w:lang w:val="en-US" w:eastAsia="zh-CN"/>
        </w:rPr>
        <w:t>）氢氧化钠包装袋</w:t>
      </w:r>
    </w:p>
    <w:p w14:paraId="47F6AF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本项目碱洗塔使用氢氧化钠将产生氢氧化钠包装袋，根据建设单位提供资料，本项目氢氧化钠包装袋产生量为0.0</w:t>
      </w:r>
      <w:r>
        <w:rPr>
          <w:rFonts w:hint="eastAsia" w:cs="Times New Roman"/>
          <w:color w:val="auto"/>
          <w:kern w:val="0"/>
          <w:szCs w:val="28"/>
          <w:highlight w:val="none"/>
          <w:lang w:val="en-US" w:eastAsia="zh-CN"/>
        </w:rPr>
        <w:t>5</w:t>
      </w:r>
      <w:r>
        <w:rPr>
          <w:rFonts w:hint="default" w:cs="Times New Roman"/>
          <w:color w:val="auto"/>
          <w:kern w:val="0"/>
          <w:szCs w:val="28"/>
          <w:highlight w:val="none"/>
          <w:lang w:val="en-US" w:eastAsia="zh-CN"/>
        </w:rPr>
        <w:t>t/a。氢氧化钠包装袋通过对照《国家危险废物名录（2025年版）》，氢氧化钠包装袋属于危险废物，危废代码为（HW49，900-041-49），本项目生产过程中产生的氢氧化钠包装袋统一收集，暂存在危险废物贮存点，委托有资质的单位统一处理。</w:t>
      </w:r>
    </w:p>
    <w:p w14:paraId="7A6216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w:t>
      </w:r>
      <w:r>
        <w:rPr>
          <w:rFonts w:hint="eastAsia" w:cs="Times New Roman"/>
          <w:color w:val="auto"/>
          <w:kern w:val="0"/>
          <w:szCs w:val="28"/>
          <w:highlight w:val="none"/>
          <w:lang w:val="en-US" w:eastAsia="zh-CN"/>
        </w:rPr>
        <w:t>6</w:t>
      </w:r>
      <w:r>
        <w:rPr>
          <w:rFonts w:hint="default" w:cs="Times New Roman"/>
          <w:color w:val="auto"/>
          <w:kern w:val="0"/>
          <w:szCs w:val="28"/>
          <w:highlight w:val="none"/>
          <w:lang w:val="en-US" w:eastAsia="zh-CN"/>
        </w:rPr>
        <w:t>）废润滑油</w:t>
      </w:r>
    </w:p>
    <w:p w14:paraId="163798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本项目设备维护、更换和拆解过程中产生的废润滑油，产生量约为0.1t/a，收集、储存于</w:t>
      </w:r>
      <w:r>
        <w:rPr>
          <w:rFonts w:hint="eastAsia" w:cs="Times New Roman"/>
          <w:color w:val="auto"/>
          <w:kern w:val="0"/>
          <w:szCs w:val="28"/>
          <w:highlight w:val="none"/>
          <w:lang w:val="en-US" w:eastAsia="zh-CN"/>
        </w:rPr>
        <w:t>危废贮存库</w:t>
      </w:r>
      <w:r>
        <w:rPr>
          <w:rFonts w:hint="default" w:cs="Times New Roman"/>
          <w:color w:val="auto"/>
          <w:kern w:val="0"/>
          <w:szCs w:val="28"/>
          <w:highlight w:val="none"/>
          <w:lang w:val="en-US" w:eastAsia="zh-CN"/>
        </w:rPr>
        <w:t>，交由有资质的机构处理。根据《国家危险废物名录（2025年版）》，废润滑油属于危险废物，危险废物代码为（HW08，900-217-08），暂存在危险废物贮存点，委托有资质的单位处理。</w:t>
      </w:r>
    </w:p>
    <w:p w14:paraId="28BD79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w:t>
      </w:r>
      <w:r>
        <w:rPr>
          <w:rFonts w:hint="eastAsia" w:cs="Times New Roman"/>
          <w:color w:val="auto"/>
          <w:kern w:val="0"/>
          <w:szCs w:val="28"/>
          <w:highlight w:val="none"/>
          <w:lang w:val="en-US" w:eastAsia="zh-CN"/>
        </w:rPr>
        <w:t>7</w:t>
      </w:r>
      <w:r>
        <w:rPr>
          <w:rFonts w:hint="default" w:cs="Times New Roman"/>
          <w:color w:val="auto"/>
          <w:kern w:val="0"/>
          <w:szCs w:val="28"/>
          <w:highlight w:val="none"/>
          <w:lang w:val="en-US" w:eastAsia="zh-CN"/>
        </w:rPr>
        <w:t>）空油桶</w:t>
      </w:r>
    </w:p>
    <w:p w14:paraId="2E251F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本项目在使用矿物油时产生的空油桶约为0.0</w:t>
      </w:r>
      <w:r>
        <w:rPr>
          <w:rFonts w:hint="eastAsia" w:cs="Times New Roman"/>
          <w:color w:val="auto"/>
          <w:kern w:val="0"/>
          <w:szCs w:val="28"/>
          <w:highlight w:val="none"/>
          <w:lang w:val="en-US" w:eastAsia="zh-CN"/>
        </w:rPr>
        <w:t>6</w:t>
      </w:r>
      <w:r>
        <w:rPr>
          <w:rFonts w:hint="default" w:cs="Times New Roman"/>
          <w:color w:val="auto"/>
          <w:kern w:val="0"/>
          <w:szCs w:val="28"/>
          <w:highlight w:val="none"/>
          <w:lang w:val="en-US" w:eastAsia="zh-CN"/>
        </w:rPr>
        <w:t>t/a，收集、储存于</w:t>
      </w:r>
      <w:r>
        <w:rPr>
          <w:rFonts w:hint="eastAsia" w:cs="Times New Roman"/>
          <w:color w:val="auto"/>
          <w:kern w:val="0"/>
          <w:szCs w:val="28"/>
          <w:highlight w:val="none"/>
          <w:lang w:val="en-US" w:eastAsia="zh-CN"/>
        </w:rPr>
        <w:t>危废贮存库</w:t>
      </w:r>
      <w:r>
        <w:rPr>
          <w:rFonts w:hint="default" w:cs="Times New Roman"/>
          <w:color w:val="auto"/>
          <w:kern w:val="0"/>
          <w:szCs w:val="28"/>
          <w:highlight w:val="none"/>
          <w:lang w:val="en-US" w:eastAsia="zh-CN"/>
        </w:rPr>
        <w:t>，交由有资质的单位处理。根据《国家危险废物名录（2025年版）》，沾染矿物油的废弃包装物属于危险废物，危废代码为（HW08，900-249-08），暂存在危险废物贮存点，委托有资质的单位统一处理。</w:t>
      </w:r>
    </w:p>
    <w:p w14:paraId="5574F05E">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position w:val="0"/>
          <w:sz w:val="24"/>
          <w:szCs w:val="24"/>
          <w:highlight w:val="none"/>
        </w:rPr>
      </w:pPr>
      <w:r>
        <w:rPr>
          <w:rFonts w:hint="default" w:ascii="Times New Roman" w:hAnsi="Times New Roman" w:eastAsia="宋体" w:cs="Times New Roman"/>
          <w:b w:val="0"/>
          <w:bCs/>
          <w:color w:val="auto"/>
          <w:spacing w:val="0"/>
          <w:position w:val="0"/>
          <w:sz w:val="24"/>
          <w:szCs w:val="24"/>
          <w:highlight w:val="none"/>
        </w:rPr>
        <w:t>项目生活垃圾、一般工业固废均按照相关要求进行处置。危险废物暂存于</w:t>
      </w:r>
      <w:r>
        <w:rPr>
          <w:rFonts w:hint="default" w:ascii="Times New Roman" w:hAnsi="Times New Roman" w:eastAsia="宋体" w:cs="Times New Roman"/>
          <w:b w:val="0"/>
          <w:bCs/>
          <w:color w:val="auto"/>
          <w:spacing w:val="0"/>
          <w:position w:val="0"/>
          <w:sz w:val="24"/>
          <w:szCs w:val="24"/>
          <w:highlight w:val="none"/>
          <w:lang w:eastAsia="zh-CN"/>
        </w:rPr>
        <w:t>危险废物</w:t>
      </w:r>
      <w:r>
        <w:rPr>
          <w:rFonts w:hint="eastAsia" w:ascii="Times New Roman" w:eastAsia="宋体" w:cs="Times New Roman"/>
          <w:b w:val="0"/>
          <w:bCs/>
          <w:color w:val="auto"/>
          <w:spacing w:val="0"/>
          <w:position w:val="0"/>
          <w:sz w:val="24"/>
          <w:szCs w:val="24"/>
          <w:highlight w:val="none"/>
          <w:lang w:val="en-US" w:eastAsia="zh-CN"/>
        </w:rPr>
        <w:t>贮存点</w:t>
      </w:r>
      <w:r>
        <w:rPr>
          <w:rFonts w:hint="default" w:ascii="Times New Roman" w:hAnsi="Times New Roman" w:eastAsia="宋体" w:cs="Times New Roman"/>
          <w:b w:val="0"/>
          <w:bCs/>
          <w:color w:val="auto"/>
          <w:spacing w:val="0"/>
          <w:position w:val="0"/>
          <w:sz w:val="24"/>
          <w:szCs w:val="24"/>
          <w:highlight w:val="none"/>
          <w:lang w:val="en-US" w:eastAsia="zh-CN"/>
        </w:rPr>
        <w:t>，</w:t>
      </w:r>
      <w:r>
        <w:rPr>
          <w:rFonts w:hint="default" w:ascii="Times New Roman" w:hAnsi="Times New Roman" w:eastAsia="宋体" w:cs="Times New Roman"/>
          <w:b w:val="0"/>
          <w:bCs/>
          <w:color w:val="auto"/>
          <w:spacing w:val="0"/>
          <w:position w:val="0"/>
          <w:sz w:val="24"/>
          <w:szCs w:val="24"/>
          <w:highlight w:val="none"/>
          <w:lang w:eastAsia="zh-CN"/>
        </w:rPr>
        <w:t>定期</w:t>
      </w:r>
      <w:r>
        <w:rPr>
          <w:rFonts w:hint="default" w:ascii="Times New Roman" w:hAnsi="Times New Roman" w:eastAsia="宋体" w:cs="Times New Roman"/>
          <w:b w:val="0"/>
          <w:bCs/>
          <w:color w:val="auto"/>
          <w:spacing w:val="0"/>
          <w:position w:val="0"/>
          <w:sz w:val="24"/>
          <w:szCs w:val="24"/>
          <w:highlight w:val="none"/>
          <w:lang w:val="en-US" w:eastAsia="zh-CN"/>
        </w:rPr>
        <w:t>交由有相应处置</w:t>
      </w:r>
      <w:r>
        <w:rPr>
          <w:rFonts w:hint="default" w:ascii="Times New Roman" w:hAnsi="Times New Roman" w:eastAsia="宋体" w:cs="Times New Roman"/>
          <w:b w:val="0"/>
          <w:bCs/>
          <w:color w:val="auto"/>
          <w:spacing w:val="0"/>
          <w:position w:val="0"/>
          <w:sz w:val="24"/>
          <w:szCs w:val="24"/>
          <w:highlight w:val="none"/>
          <w:lang w:eastAsia="zh-CN"/>
        </w:rPr>
        <w:t>资质单位处置</w:t>
      </w:r>
      <w:r>
        <w:rPr>
          <w:rFonts w:hint="eastAsia" w:ascii="Times New Roman" w:hAnsi="Times New Roman" w:eastAsia="宋体" w:cs="Times New Roman"/>
          <w:b w:val="0"/>
          <w:bCs/>
          <w:color w:val="auto"/>
          <w:spacing w:val="0"/>
          <w:position w:val="0"/>
          <w:sz w:val="24"/>
          <w:szCs w:val="24"/>
          <w:highlight w:val="none"/>
          <w:lang w:eastAsia="zh-CN"/>
        </w:rPr>
        <w:t>。</w:t>
      </w:r>
    </w:p>
    <w:p w14:paraId="2D49BBF3">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一般固体废物及生活垃圾对周围环境的影响分析</w:t>
      </w:r>
    </w:p>
    <w:p w14:paraId="52F501A4">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项目生活垃圾、一般工业固废均按照相关要求进行处置。</w:t>
      </w:r>
    </w:p>
    <w:p w14:paraId="0D88AD19">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bookmarkStart w:id="187" w:name="_Hlk149948304"/>
      <w:r>
        <w:rPr>
          <w:rFonts w:hint="default" w:ascii="Times New Roman" w:hAnsi="Times New Roman" w:cs="Times New Roman"/>
          <w:color w:val="auto"/>
          <w:highlight w:val="none"/>
        </w:rPr>
        <w:t>综上所述，本项目产生的固体废物进行了分类处置，且均得到了妥善处置，危险废物临时贮存满足《危险废物贮存污染控制标准》（GB18597-2023）中的相关要求，且固体废物临时贮存和运输采取了相应的污染防治措施，因此本项目固废对环境影响较小。</w:t>
      </w:r>
    </w:p>
    <w:bookmarkEnd w:id="187"/>
    <w:p w14:paraId="19A6D2CC">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r>
        <w:rPr>
          <w:rFonts w:hint="eastAsia" w:cs="Times New Roman"/>
          <w:color w:val="auto"/>
          <w:highlight w:val="none"/>
          <w:lang w:val="en-US" w:eastAsia="zh-CN"/>
        </w:rPr>
        <w:t>3</w:t>
      </w:r>
      <w:r>
        <w:rPr>
          <w:rFonts w:hint="default" w:ascii="Times New Roman" w:hAnsi="Times New Roman" w:cs="Times New Roman"/>
          <w:color w:val="auto"/>
          <w:highlight w:val="none"/>
        </w:rPr>
        <w:t>危险废物贮存场所环境影响分析</w:t>
      </w:r>
    </w:p>
    <w:p w14:paraId="1F8A394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（1）选址可行性分析</w:t>
      </w:r>
    </w:p>
    <w:p w14:paraId="7179736F">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本项目拟在</w:t>
      </w:r>
      <w:r>
        <w:rPr>
          <w:rFonts w:hint="eastAsia" w:ascii="Times New Roman" w:hAnsi="Times New Roman" w:cs="Times New Roman"/>
          <w:color w:val="auto"/>
          <w:highlight w:val="none"/>
          <w:lang w:val="en-US" w:eastAsia="zh-CN"/>
        </w:rPr>
        <w:t>浸出车间旁</w:t>
      </w:r>
      <w:r>
        <w:rPr>
          <w:rFonts w:hint="default" w:ascii="Times New Roman" w:hAnsi="Times New Roman" w:cs="Times New Roman"/>
          <w:color w:val="auto"/>
          <w:highlight w:val="none"/>
        </w:rPr>
        <w:t>设置</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1座，占地面积约20m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。本项目建设的</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仅暂存本项目产生的危险废物，其选址符合生态环境保护</w:t>
      </w:r>
      <w:r>
        <w:rPr>
          <w:rFonts w:hint="eastAsia" w:cs="Times New Roman"/>
          <w:color w:val="auto"/>
          <w:highlight w:val="none"/>
          <w:lang w:eastAsia="zh-CN"/>
        </w:rPr>
        <w:t>法律法规</w:t>
      </w:r>
      <w:r>
        <w:rPr>
          <w:rFonts w:hint="default" w:ascii="Times New Roman" w:hAnsi="Times New Roman" w:cs="Times New Roman"/>
          <w:color w:val="auto"/>
          <w:highlight w:val="none"/>
        </w:rPr>
        <w:t>、“三线一单”生态环境分区管控的要求，周围无生态保护红线、永久基本农田和其他特殊保护的区域，周围无溶洞区、江河、湖泊渠道、水库等设施，</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选址符合《危险废物贮存污染控制标准》（GB18597-2023）的选址要求。</w:t>
      </w:r>
    </w:p>
    <w:p w14:paraId="4257CBED">
      <w:pPr>
        <w:pageBreakBefore w:val="0"/>
        <w:widowControl w:val="0"/>
        <w:numPr>
          <w:ilvl w:val="0"/>
          <w:numId w:val="7"/>
        </w:numPr>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最大贮存能力</w:t>
      </w:r>
      <w:r>
        <w:rPr>
          <w:rFonts w:hint="eastAsia" w:cs="Times New Roman"/>
          <w:color w:val="auto"/>
          <w:highlight w:val="none"/>
          <w:lang w:val="en-US" w:eastAsia="zh-CN"/>
        </w:rPr>
        <w:t>不超过</w:t>
      </w:r>
      <w:r>
        <w:rPr>
          <w:rFonts w:hint="default" w:ascii="Times New Roman" w:hAnsi="Times New Roman" w:cs="Times New Roman"/>
          <w:color w:val="auto"/>
          <w:highlight w:val="none"/>
        </w:rPr>
        <w:t>10t，本项目产生的各类危险废物均采用符合国家要求的危险废物包装容器/物包装，在</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内的贮存期限</w:t>
      </w:r>
      <w:r>
        <w:rPr>
          <w:rFonts w:hint="eastAsia" w:cs="Times New Roman"/>
          <w:color w:val="auto"/>
          <w:highlight w:val="none"/>
          <w:lang w:eastAsia="zh-CN"/>
        </w:rPr>
        <w:t>不得</w:t>
      </w:r>
      <w:r>
        <w:rPr>
          <w:rFonts w:hint="default" w:ascii="Times New Roman" w:hAnsi="Times New Roman" w:cs="Times New Roman"/>
          <w:color w:val="auto"/>
          <w:highlight w:val="none"/>
        </w:rPr>
        <w:t>超过一年，危险废物存入贮存设施前应对危险废物类别和特性与危险废物标签等危险废物识别标志的一致性进行核验，不一致的或类别、特性不明的不应存入；定期检查危险废物的贮存状况，及时清理贮存设施地面，更换破损泄漏的危险废物贮存容器和包装物，保证堆存危险废物的防雨、防风、防扬尘等设施功能完好；采取以上措施后正常情况下不会对周围环境产生明显不利影响。</w:t>
      </w:r>
    </w:p>
    <w:p w14:paraId="22FACE39">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（3）对各环境要素影响分析</w:t>
      </w:r>
    </w:p>
    <w:p w14:paraId="5E1C3847">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各危险废物均采用包装物包装，暂存时产生的粉尘量很小，且</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为封闭结构，不会对周围大气环境产生明显不利影响；项目周围无地表水体，</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底部采取了防渗措施，正常情况下不会对区域地下水、土壤环境产生不利影响。</w:t>
      </w:r>
    </w:p>
    <w:p w14:paraId="5568A335">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r>
        <w:rPr>
          <w:rFonts w:hint="eastAsia" w:cs="Times New Roman"/>
          <w:color w:val="auto"/>
          <w:highlight w:val="none"/>
          <w:lang w:val="en-US" w:eastAsia="zh-CN"/>
        </w:rPr>
        <w:t>4</w:t>
      </w:r>
      <w:r>
        <w:rPr>
          <w:rFonts w:hint="default" w:ascii="Times New Roman" w:hAnsi="Times New Roman" w:cs="Times New Roman"/>
          <w:color w:val="auto"/>
          <w:highlight w:val="none"/>
        </w:rPr>
        <w:t>危险废物运输过程的环境影响分析</w:t>
      </w:r>
    </w:p>
    <w:p w14:paraId="4FBF009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eastAsia" w:cs="Times New Roman"/>
          <w:snapToGrid w:val="0"/>
          <w:color w:val="auto"/>
          <w:sz w:val="24"/>
          <w:highlight w:val="none"/>
          <w:lang w:eastAsia="zh-CN"/>
        </w:rPr>
        <w:t>（</w:t>
      </w:r>
      <w:r>
        <w:rPr>
          <w:rFonts w:hint="eastAsia" w:cs="Times New Roman"/>
          <w:snapToGrid w:val="0"/>
          <w:color w:val="auto"/>
          <w:sz w:val="24"/>
          <w:highlight w:val="none"/>
          <w:lang w:val="en-US" w:eastAsia="zh-CN"/>
        </w:rPr>
        <w:t>1</w:t>
      </w:r>
      <w:r>
        <w:rPr>
          <w:rFonts w:hint="eastAsia" w:cs="Times New Roman"/>
          <w:snapToGrid w:val="0"/>
          <w:color w:val="auto"/>
          <w:sz w:val="24"/>
          <w:highlight w:val="none"/>
          <w:lang w:eastAsia="zh-CN"/>
        </w:rPr>
        <w:t>）</w:t>
      </w:r>
      <w:r>
        <w:rPr>
          <w:rFonts w:hint="eastAsia" w:cs="Times New Roman"/>
          <w:snapToGrid w:val="0"/>
          <w:color w:val="auto"/>
          <w:sz w:val="24"/>
          <w:highlight w:val="none"/>
          <w:lang w:val="en-US" w:eastAsia="zh-CN"/>
        </w:rPr>
        <w:t>厂</w:t>
      </w:r>
      <w:r>
        <w:rPr>
          <w:rFonts w:hint="default" w:ascii="Times New Roman" w:hAnsi="Times New Roman" w:eastAsia="宋体" w:cs="Times New Roman"/>
          <w:snapToGrid w:val="0"/>
          <w:color w:val="auto"/>
          <w:sz w:val="24"/>
          <w:highlight w:val="none"/>
          <w:lang w:val="en-US" w:eastAsia="zh-CN"/>
        </w:rPr>
        <w:t>内</w:t>
      </w:r>
      <w:r>
        <w:rPr>
          <w:rFonts w:hint="default" w:ascii="Times New Roman" w:hAnsi="Times New Roman" w:eastAsia="宋体" w:cs="Times New Roman"/>
          <w:snapToGrid w:val="0"/>
          <w:color w:val="auto"/>
          <w:sz w:val="24"/>
          <w:highlight w:val="none"/>
        </w:rPr>
        <w:t>运输</w:t>
      </w:r>
    </w:p>
    <w:p w14:paraId="1F7E664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危险废物内部转运作业应满足以下要求：</w:t>
      </w:r>
    </w:p>
    <w:p w14:paraId="57B7F7C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①危险废物内部转运应综合考虑厂区的实际情况确定转运路线，本项目生产区</w:t>
      </w:r>
      <w:r>
        <w:rPr>
          <w:rFonts w:hint="eastAsia" w:ascii="Times New Roman" w:hAnsi="Times New Roman" w:eastAsia="宋体" w:cs="Times New Roman"/>
          <w:snapToGrid w:val="0"/>
          <w:color w:val="auto"/>
          <w:sz w:val="24"/>
          <w:highlight w:val="none"/>
          <w:lang w:eastAsia="zh-CN"/>
        </w:rPr>
        <w:t>域与</w:t>
      </w:r>
      <w:r>
        <w:rPr>
          <w:rFonts w:hint="default" w:ascii="Times New Roman" w:hAnsi="Times New Roman" w:eastAsia="宋体" w:cs="Times New Roman"/>
          <w:snapToGrid w:val="0"/>
          <w:color w:val="auto"/>
          <w:sz w:val="24"/>
          <w:highlight w:val="none"/>
        </w:rPr>
        <w:t>办公生活区分开设置，危险废物从生产区直接转运至</w:t>
      </w:r>
      <w:r>
        <w:rPr>
          <w:rFonts w:hint="default" w:ascii="Times New Roman" w:hAnsi="Times New Roman" w:eastAsia="宋体" w:cs="Times New Roman"/>
          <w:color w:val="auto"/>
          <w:kern w:val="2"/>
          <w:sz w:val="24"/>
          <w:highlight w:val="none"/>
        </w:rPr>
        <w:t>危险废物</w:t>
      </w:r>
      <w:r>
        <w:rPr>
          <w:rFonts w:hint="eastAsia" w:cs="Times New Roman"/>
          <w:color w:val="auto"/>
          <w:kern w:val="2"/>
          <w:sz w:val="24"/>
          <w:highlight w:val="none"/>
          <w:lang w:eastAsia="zh-CN"/>
        </w:rPr>
        <w:t>贮存点</w:t>
      </w:r>
      <w:r>
        <w:rPr>
          <w:rFonts w:hint="default" w:ascii="Times New Roman" w:hAnsi="Times New Roman" w:eastAsia="宋体" w:cs="Times New Roman"/>
          <w:snapToGrid w:val="0"/>
          <w:color w:val="auto"/>
          <w:sz w:val="24"/>
          <w:highlight w:val="none"/>
        </w:rPr>
        <w:t>，不经过办公区和生活区。</w:t>
      </w:r>
    </w:p>
    <w:p w14:paraId="12B307F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②危险废物内部转运作业应采用专用的工具，危险废物内部转运应填写《危险废物厂内转运记录表》。</w:t>
      </w:r>
    </w:p>
    <w:p w14:paraId="4E8118F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③危险废物内部转运结束后，应对转运路线进行检查和清理，确保无危险废物遗失在转运路线上，并对转运工具进行清洗。</w:t>
      </w:r>
    </w:p>
    <w:p w14:paraId="5C8BB16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④危险废物内部转运</w:t>
      </w:r>
      <w:r>
        <w:rPr>
          <w:rFonts w:hint="eastAsia" w:cs="Times New Roman"/>
          <w:snapToGrid w:val="0"/>
          <w:color w:val="auto"/>
          <w:sz w:val="24"/>
          <w:highlight w:val="none"/>
          <w:lang w:eastAsia="zh-CN"/>
        </w:rPr>
        <w:t>过程</w:t>
      </w:r>
      <w:r>
        <w:rPr>
          <w:rFonts w:hint="default" w:ascii="Times New Roman" w:hAnsi="Times New Roman" w:eastAsia="宋体" w:cs="Times New Roman"/>
          <w:snapToGrid w:val="0"/>
          <w:color w:val="auto"/>
          <w:sz w:val="24"/>
          <w:highlight w:val="none"/>
        </w:rPr>
        <w:t>中出现危险废物散落的情况，应立即启动相关应急预案，防止其影响进一步扩大。</w:t>
      </w:r>
    </w:p>
    <w:p w14:paraId="725C58D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综上所述，在严格落实相关要求的前提下，项目危险废物厂内运输对环境影响较小。</w:t>
      </w:r>
    </w:p>
    <w:p w14:paraId="29342C7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eastAsia"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2</w:t>
      </w:r>
      <w:r>
        <w:rPr>
          <w:rFonts w:hint="default" w:ascii="Times New Roman" w:hAnsi="Times New Roman" w:eastAsia="宋体" w:cs="Times New Roman"/>
          <w:snapToGrid w:val="0"/>
          <w:color w:val="auto"/>
          <w:sz w:val="24"/>
          <w:highlight w:val="none"/>
          <w:lang w:eastAsia="zh-CN"/>
        </w:rPr>
        <w:t>）</w:t>
      </w:r>
      <w:r>
        <w:rPr>
          <w:rFonts w:hint="eastAsia" w:cs="Times New Roman"/>
          <w:snapToGrid w:val="0"/>
          <w:color w:val="auto"/>
          <w:sz w:val="24"/>
          <w:highlight w:val="none"/>
          <w:lang w:val="en-US" w:eastAsia="zh-CN"/>
        </w:rPr>
        <w:t>厂</w:t>
      </w:r>
      <w:r>
        <w:rPr>
          <w:rFonts w:hint="default" w:ascii="Times New Roman" w:hAnsi="Times New Roman" w:eastAsia="宋体" w:cs="Times New Roman"/>
          <w:snapToGrid w:val="0"/>
          <w:color w:val="auto"/>
          <w:sz w:val="24"/>
          <w:highlight w:val="none"/>
        </w:rPr>
        <w:t>外运输</w:t>
      </w:r>
    </w:p>
    <w:p w14:paraId="6BF2594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危险废物运输应按照</w:t>
      </w:r>
      <w:r>
        <w:rPr>
          <w:rFonts w:hint="default" w:ascii="Times New Roman" w:hAnsi="Times New Roman" w:eastAsia="宋体" w:cs="Times New Roman"/>
          <w:color w:val="auto"/>
          <w:sz w:val="24"/>
          <w:highlight w:val="none"/>
        </w:rPr>
        <w:t>《危险废物收集 贮存 运输技术规范》（HJ2025-2012）</w:t>
      </w:r>
      <w:r>
        <w:rPr>
          <w:rFonts w:hint="default" w:ascii="Times New Roman" w:hAnsi="Times New Roman" w:eastAsia="宋体" w:cs="Times New Roman"/>
          <w:snapToGrid w:val="0"/>
          <w:color w:val="auto"/>
          <w:sz w:val="24"/>
          <w:highlight w:val="none"/>
        </w:rPr>
        <w:t>执行；运输单位承运危险废物时，应在危险废物包装上按照《危险废物识别标志设置技术规范》（HJ 1276</w:t>
      </w:r>
      <w:r>
        <w:rPr>
          <w:rFonts w:hint="eastAsia"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2022）要求设置标志。</w:t>
      </w:r>
    </w:p>
    <w:p w14:paraId="60912CD0">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188" w:name="_Toc21045"/>
      <w:bookmarkStart w:id="189" w:name="_Toc8360"/>
      <w:r>
        <w:rPr>
          <w:rFonts w:hint="default" w:ascii="Times New Roman" w:hAnsi="Times New Roman" w:eastAsia="宋体" w:cs="Times New Roman"/>
          <w:color w:val="auto"/>
          <w:highlight w:val="none"/>
        </w:rPr>
        <w:t>5.6 地下水环境影响预测与</w:t>
      </w:r>
      <w:r>
        <w:rPr>
          <w:rFonts w:hint="eastAsia" w:eastAsia="宋体" w:cs="Times New Roman"/>
          <w:color w:val="auto"/>
          <w:highlight w:val="none"/>
          <w:lang w:val="en-US" w:eastAsia="zh-CN"/>
        </w:rPr>
        <w:t>评价</w:t>
      </w:r>
      <w:bookmarkEnd w:id="188"/>
      <w:bookmarkEnd w:id="189"/>
    </w:p>
    <w:p w14:paraId="791E43C0">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5.6.1区域水文地质条件</w:t>
      </w:r>
    </w:p>
    <w:p w14:paraId="506C52A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（1）地下水类型</w:t>
      </w:r>
    </w:p>
    <w:p w14:paraId="04DB78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根据含水介质和地下水性质划分，项目区周边地下水类型为单一结构第四系松散岩类孔隙潜水，并分布在山前倾斜平原洪积、冲积砂卵砾石中。</w:t>
      </w:r>
    </w:p>
    <w:p w14:paraId="682ECB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（2）含水层的空间分布及其埋藏规律</w:t>
      </w:r>
    </w:p>
    <w:p w14:paraId="44BB5D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※含水层的空间分布规律</w:t>
      </w:r>
    </w:p>
    <w:p w14:paraId="486755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项目区周边大</w:t>
      </w:r>
      <w:r>
        <w:rPr>
          <w:rFonts w:hint="eastAsia" w:cs="Times New Roman"/>
          <w:color w:val="auto"/>
          <w:szCs w:val="20"/>
          <w:highlight w:val="none"/>
          <w:lang w:val="en-US" w:eastAsia="zh-CN"/>
        </w:rPr>
        <w:t>部分</w:t>
      </w:r>
      <w:r>
        <w:rPr>
          <w:rFonts w:hint="eastAsia" w:ascii="Times New Roman" w:hAnsi="Times New Roman" w:eastAsia="宋体" w:cs="Times New Roman"/>
          <w:color w:val="auto"/>
          <w:szCs w:val="20"/>
          <w:highlight w:val="none"/>
          <w:lang w:val="en-US" w:eastAsia="zh-CN"/>
        </w:rPr>
        <w:t>区域为单结构第四系松散岩类孔隙潜水含水层，其主要分布在红山以北的砾质平原。含水层岩性亦较为单一，为第四系冲洪积或冲积卵砾石，含水层厚度的变化大。</w:t>
      </w:r>
    </w:p>
    <w:p w14:paraId="20BDDC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区域内的含水层厚度变化的总体规律是：中部含水层厚度最大，最大达到850m：西部含水层厚度大，为400-700m不等；北部含水层厚度较大，为300-550m不等；南部含水层厚度最薄，红山附近为10-50m左右，甚至基岩出露，至南部黑沟内第四系厚度仅为2-15m。受基底的控制，不同的地段的含水层厚度存在较大差异，具体表现在基底为凹地的地段，含水层厚度较大，其他地段含水层的厚度较薄。</w:t>
      </w:r>
    </w:p>
    <w:p w14:paraId="118088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※含水层的埋藏规律</w:t>
      </w:r>
    </w:p>
    <w:p w14:paraId="301F11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根据勘察结果，区域内地下水的埋藏深度</w:t>
      </w:r>
      <w:r>
        <w:rPr>
          <w:rFonts w:hint="eastAsia" w:cs="Times New Roman"/>
          <w:color w:val="auto"/>
          <w:szCs w:val="20"/>
          <w:highlight w:val="none"/>
          <w:lang w:val="en-US" w:eastAsia="zh-CN"/>
        </w:rPr>
        <w:t>呈一</w:t>
      </w:r>
      <w:r>
        <w:rPr>
          <w:rFonts w:hint="eastAsia" w:ascii="Times New Roman" w:hAnsi="Times New Roman" w:eastAsia="宋体" w:cs="Times New Roman"/>
          <w:color w:val="auto"/>
          <w:szCs w:val="20"/>
          <w:highlight w:val="none"/>
          <w:lang w:val="en-US" w:eastAsia="zh-CN"/>
        </w:rPr>
        <w:t>定的规律性。具体表现为北部埋深大，南部埋深小；西部埋深大，东部埋深小，地下水的埋深从西北向东南呈递减趋势。</w:t>
      </w:r>
    </w:p>
    <w:p w14:paraId="672205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（3）根据工勘资料，拟建场区及周边300m范围内无活动断裂穿越，并未有如泥石流、</w:t>
      </w:r>
      <w:r>
        <w:rPr>
          <w:rFonts w:hint="eastAsia" w:cs="Times New Roman"/>
          <w:color w:val="auto"/>
          <w:szCs w:val="20"/>
          <w:highlight w:val="none"/>
          <w:lang w:val="en-US" w:eastAsia="zh-CN"/>
        </w:rPr>
        <w:t>岩溶</w:t>
      </w:r>
      <w:r>
        <w:rPr>
          <w:rFonts w:hint="eastAsia" w:ascii="Times New Roman" w:hAnsi="Times New Roman" w:eastAsia="宋体" w:cs="Times New Roman"/>
          <w:color w:val="auto"/>
          <w:szCs w:val="20"/>
          <w:highlight w:val="none"/>
          <w:lang w:val="en-US" w:eastAsia="zh-CN"/>
        </w:rPr>
        <w:t>、崩塌等</w:t>
      </w:r>
      <w:r>
        <w:rPr>
          <w:rFonts w:hint="eastAsia" w:cs="Times New Roman"/>
          <w:color w:val="auto"/>
          <w:szCs w:val="20"/>
          <w:highlight w:val="none"/>
          <w:lang w:val="en-US" w:eastAsia="zh-CN"/>
        </w:rPr>
        <w:t>其他</w:t>
      </w:r>
      <w:r>
        <w:rPr>
          <w:rFonts w:hint="eastAsia" w:ascii="Times New Roman" w:hAnsi="Times New Roman" w:eastAsia="宋体" w:cs="Times New Roman"/>
          <w:color w:val="auto"/>
          <w:szCs w:val="20"/>
          <w:highlight w:val="none"/>
          <w:lang w:val="en-US" w:eastAsia="zh-CN"/>
        </w:rPr>
        <w:t>不良地质作用。在勘探深度9.0m范围内未见地下水</w:t>
      </w:r>
      <w:r>
        <w:rPr>
          <w:rFonts w:hint="eastAsia" w:cs="Times New Roman"/>
          <w:color w:val="auto"/>
          <w:szCs w:val="20"/>
          <w:highlight w:val="none"/>
          <w:lang w:val="en-US" w:eastAsia="zh-CN"/>
        </w:rPr>
        <w:t>，根</w:t>
      </w:r>
      <w:r>
        <w:rPr>
          <w:rFonts w:hint="eastAsia" w:ascii="Times New Roman" w:hAnsi="Times New Roman" w:eastAsia="宋体" w:cs="Times New Roman"/>
          <w:color w:val="auto"/>
          <w:szCs w:val="20"/>
          <w:highlight w:val="none"/>
          <w:lang w:val="en-US" w:eastAsia="zh-CN"/>
        </w:rPr>
        <w:t>据调查地下水水位大于15m。</w:t>
      </w:r>
    </w:p>
    <w:p w14:paraId="521173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pacing w:val="-6"/>
          <w:sz w:val="24"/>
          <w:highlight w:val="none"/>
        </w:rPr>
      </w:pPr>
      <w:r>
        <w:rPr>
          <w:rFonts w:hint="eastAsia" w:ascii="Times New Roman" w:hAnsi="Times New Roman" w:eastAsia="宋体" w:cs="Times New Roman"/>
          <w:color w:val="auto"/>
          <w:szCs w:val="20"/>
          <w:highlight w:val="none"/>
          <w:lang w:val="en-US" w:eastAsia="zh-CN"/>
        </w:rPr>
        <w:t>根据</w:t>
      </w:r>
      <w:r>
        <w:rPr>
          <w:rFonts w:hint="eastAsia" w:cs="Times New Roman"/>
          <w:color w:val="auto"/>
          <w:szCs w:val="20"/>
          <w:highlight w:val="none"/>
          <w:lang w:val="en-US" w:eastAsia="zh-CN"/>
        </w:rPr>
        <w:t>现场勘查</w:t>
      </w:r>
      <w:r>
        <w:rPr>
          <w:rFonts w:hint="eastAsia" w:ascii="Times New Roman" w:hAnsi="Times New Roman" w:eastAsia="宋体" w:cs="Times New Roman"/>
          <w:color w:val="auto"/>
          <w:szCs w:val="20"/>
          <w:highlight w:val="none"/>
          <w:lang w:val="en-US" w:eastAsia="zh-CN"/>
        </w:rPr>
        <w:t>资料，本项目评价区域内无地表水，无坎儿井分布，地下水条件较为简单，地下水主要受大气降水、雪山融水、基岩裂隙水补给，以地下径流的方式进行排泄，水位埋深大于15m。本项目属碎屑岩类孔隙裂隙含水岩组，碎屑岩盐类夹碳酸盐岩类含水岩组，富水程度弱的区域，</w:t>
      </w:r>
      <w:r>
        <w:rPr>
          <w:rFonts w:hint="default" w:ascii="Times New Roman" w:hAnsi="Times New Roman" w:eastAsia="宋体" w:cs="Times New Roman"/>
          <w:color w:val="auto"/>
          <w:spacing w:val="-6"/>
          <w:sz w:val="24"/>
          <w:highlight w:val="none"/>
        </w:rPr>
        <w:t>项目区水文地质见</w:t>
      </w:r>
      <w:r>
        <w:rPr>
          <w:rFonts w:hint="eastAsia" w:cs="Times New Roman"/>
          <w:color w:val="auto"/>
          <w:spacing w:val="-6"/>
          <w:sz w:val="24"/>
          <w:highlight w:val="none"/>
          <w:lang w:val="en-US" w:eastAsia="zh-CN"/>
        </w:rPr>
        <w:t>附图8</w:t>
      </w:r>
      <w:r>
        <w:rPr>
          <w:rFonts w:hint="default" w:ascii="Times New Roman" w:hAnsi="Times New Roman" w:eastAsia="宋体" w:cs="Times New Roman"/>
          <w:color w:val="auto"/>
          <w:spacing w:val="-6"/>
          <w:sz w:val="24"/>
          <w:highlight w:val="none"/>
        </w:rPr>
        <w:t>。</w:t>
      </w:r>
    </w:p>
    <w:p w14:paraId="7EFD1126">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bookmarkStart w:id="190" w:name="_Toc15802"/>
      <w:r>
        <w:rPr>
          <w:rFonts w:hint="default" w:ascii="Times New Roman" w:hAnsi="Times New Roman" w:eastAsia="宋体" w:cs="Times New Roman"/>
          <w:color w:val="auto"/>
          <w:highlight w:val="none"/>
          <w:lang w:val="en-US" w:eastAsia="zh-CN"/>
        </w:rPr>
        <w:t>5.6.2</w:t>
      </w:r>
      <w:r>
        <w:rPr>
          <w:rFonts w:hint="default" w:ascii="Times New Roman" w:hAnsi="Times New Roman" w:eastAsia="宋体" w:cs="Times New Roman"/>
          <w:color w:val="auto"/>
          <w:highlight w:val="none"/>
        </w:rPr>
        <w:t>地下水</w:t>
      </w:r>
      <w:r>
        <w:rPr>
          <w:rFonts w:hint="default" w:ascii="Times New Roman" w:hAnsi="Times New Roman" w:eastAsia="宋体" w:cs="Times New Roman"/>
          <w:color w:val="auto"/>
          <w:highlight w:val="none"/>
          <w:lang w:val="en-US" w:eastAsia="zh-CN"/>
        </w:rPr>
        <w:t>污染途径分析</w:t>
      </w:r>
    </w:p>
    <w:p w14:paraId="72DC6E00">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5.6.2.1地下水保护目标识别</w:t>
      </w:r>
    </w:p>
    <w:p w14:paraId="6EB6E1A4">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根据水文地质勘查成果，项目地下水保护目标主要为项目区浅层地下水。</w:t>
      </w:r>
    </w:p>
    <w:p w14:paraId="30C3A775">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5.6.2.2正常工况下对地下水环境影响分析</w:t>
      </w:r>
    </w:p>
    <w:p w14:paraId="4AD3B4F2">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项目萃取－电积车间以及事故池等均进行防渗，各构筑物主要防渗设施设置情况见下表。</w:t>
      </w:r>
    </w:p>
    <w:p w14:paraId="1B3B713F">
      <w:pPr>
        <w:pStyle w:val="1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表5.6-1    项目主要工程防渗指标</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807"/>
        <w:gridCol w:w="5765"/>
      </w:tblGrid>
      <w:tr w14:paraId="4C542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76EAAE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防渗分区</w:t>
            </w:r>
          </w:p>
        </w:tc>
        <w:tc>
          <w:tcPr>
            <w:tcW w:w="1059" w:type="pct"/>
            <w:tcBorders>
              <w:tl2br w:val="nil"/>
              <w:tr2bl w:val="nil"/>
            </w:tcBorders>
            <w:noWrap w:val="0"/>
            <w:vAlign w:val="center"/>
          </w:tcPr>
          <w:p w14:paraId="25DEB0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位置</w:t>
            </w:r>
          </w:p>
        </w:tc>
        <w:tc>
          <w:tcPr>
            <w:tcW w:w="3379" w:type="pct"/>
            <w:tcBorders>
              <w:tl2br w:val="nil"/>
              <w:tr2bl w:val="nil"/>
            </w:tcBorders>
            <w:noWrap w:val="0"/>
            <w:vAlign w:val="center"/>
          </w:tcPr>
          <w:p w14:paraId="250D24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防渗措施</w:t>
            </w:r>
          </w:p>
        </w:tc>
      </w:tr>
      <w:tr w14:paraId="62F97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restart"/>
            <w:tcBorders>
              <w:tl2br w:val="nil"/>
              <w:tr2bl w:val="nil"/>
            </w:tcBorders>
            <w:noWrap w:val="0"/>
            <w:vAlign w:val="center"/>
          </w:tcPr>
          <w:p w14:paraId="5BF87F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重点防渗区</w:t>
            </w:r>
          </w:p>
        </w:tc>
        <w:tc>
          <w:tcPr>
            <w:tcW w:w="1059" w:type="pct"/>
            <w:tcBorders>
              <w:tl2br w:val="nil"/>
              <w:tr2bl w:val="nil"/>
            </w:tcBorders>
            <w:shd w:val="clear" w:color="auto" w:fill="auto"/>
            <w:noWrap w:val="0"/>
            <w:vAlign w:val="center"/>
          </w:tcPr>
          <w:p w14:paraId="382DED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eastAsia="宋体" w:cs="Times New Roman"/>
                <w:b w:val="0"/>
                <w:bCs w:val="0"/>
                <w:snapToGrid/>
                <w:color w:val="auto"/>
                <w:kern w:val="2"/>
                <w:sz w:val="21"/>
                <w:szCs w:val="21"/>
                <w:highlight w:val="none"/>
                <w:lang w:val="en-US" w:eastAsia="zh-CN"/>
              </w:rPr>
              <w:t>浸出车间</w:t>
            </w:r>
          </w:p>
        </w:tc>
        <w:tc>
          <w:tcPr>
            <w:tcW w:w="3379" w:type="pct"/>
            <w:tcBorders>
              <w:tl2br w:val="nil"/>
              <w:tr2bl w:val="nil"/>
            </w:tcBorders>
            <w:shd w:val="clear" w:color="auto" w:fill="auto"/>
            <w:noWrap w:val="0"/>
            <w:vAlign w:val="center"/>
          </w:tcPr>
          <w:p w14:paraId="443E43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由上到下为：400mm碎石+DN100导流管</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300mm膜上土层（粉矿）</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w:t>
            </w:r>
            <w:r>
              <w:rPr>
                <w:rFonts w:hint="eastAsia" w:ascii="Times New Roman" w:hAnsi="Times New Roman" w:cs="Times New Roman"/>
                <w:b w:val="0"/>
                <w:bCs w:val="0"/>
                <w:color w:val="auto"/>
                <w:sz w:val="21"/>
                <w:szCs w:val="21"/>
                <w:highlight w:val="none"/>
                <w:lang w:val="en-US" w:eastAsia="zh-CN"/>
              </w:rPr>
              <w:t>膜下土工布层</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300mm膜下土层（粉矿）、</w:t>
            </w:r>
            <w:r>
              <w:rPr>
                <w:rFonts w:hint="default" w:ascii="Times New Roman" w:hAnsi="Times New Roman" w:eastAsia="宋体" w:cs="Times New Roman"/>
                <w:b w:val="0"/>
                <w:bCs w:val="0"/>
                <w:color w:val="auto"/>
                <w:sz w:val="21"/>
                <w:szCs w:val="21"/>
                <w:highlight w:val="none"/>
              </w:rPr>
              <w:t>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0896B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38DDE1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shd w:val="clear" w:color="auto" w:fill="auto"/>
            <w:noWrap w:val="0"/>
            <w:vAlign w:val="center"/>
          </w:tcPr>
          <w:p w14:paraId="4C9677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default" w:ascii="Times New Roman" w:hAnsi="Times New Roman" w:eastAsia="宋体" w:cs="Times New Roman"/>
                <w:b w:val="0"/>
                <w:bCs w:val="0"/>
                <w:snapToGrid/>
                <w:color w:val="auto"/>
                <w:kern w:val="2"/>
                <w:sz w:val="21"/>
                <w:szCs w:val="21"/>
                <w:highlight w:val="none"/>
                <w:lang w:eastAsia="zh-CN"/>
              </w:rPr>
              <w:t>萃取</w:t>
            </w:r>
            <w:r>
              <w:rPr>
                <w:rFonts w:hint="eastAsia"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电积间</w:t>
            </w:r>
          </w:p>
        </w:tc>
        <w:tc>
          <w:tcPr>
            <w:tcW w:w="3379" w:type="pct"/>
            <w:tcBorders>
              <w:tl2br w:val="nil"/>
              <w:tr2bl w:val="nil"/>
            </w:tcBorders>
            <w:shd w:val="clear" w:color="auto" w:fill="auto"/>
            <w:noWrap w:val="0"/>
            <w:vAlign w:val="center"/>
          </w:tcPr>
          <w:p w14:paraId="79D9E7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环氧碱类防腐层、抗渗混凝土面层（厚度30cm，抗渗等级为P8）、600g/m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mm厚HDPE防渗膜、基层+垫层、600g/m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30589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61" w:type="pct"/>
            <w:vMerge w:val="continue"/>
            <w:tcBorders>
              <w:tl2br w:val="nil"/>
              <w:tr2bl w:val="nil"/>
            </w:tcBorders>
            <w:noWrap w:val="0"/>
            <w:vAlign w:val="center"/>
          </w:tcPr>
          <w:p w14:paraId="584555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shd w:val="clear" w:color="auto" w:fill="auto"/>
            <w:noWrap w:val="0"/>
            <w:vAlign w:val="center"/>
          </w:tcPr>
          <w:p w14:paraId="3E69B4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default" w:ascii="Times New Roman" w:hAnsi="Times New Roman" w:eastAsia="宋体" w:cs="Times New Roman"/>
                <w:b w:val="0"/>
                <w:bCs w:val="0"/>
                <w:snapToGrid/>
                <w:color w:val="auto"/>
                <w:kern w:val="2"/>
                <w:sz w:val="21"/>
                <w:szCs w:val="21"/>
                <w:highlight w:val="none"/>
                <w:lang w:eastAsia="zh-CN"/>
              </w:rPr>
              <w:t>事故应急池</w:t>
            </w:r>
          </w:p>
        </w:tc>
        <w:tc>
          <w:tcPr>
            <w:tcW w:w="3379" w:type="pct"/>
            <w:tcBorders>
              <w:tl2br w:val="nil"/>
              <w:tr2bl w:val="nil"/>
            </w:tcBorders>
            <w:shd w:val="clear" w:color="auto" w:fill="auto"/>
            <w:noWrap w:val="0"/>
            <w:vAlign w:val="center"/>
          </w:tcPr>
          <w:p w14:paraId="636015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长丝无纺土工布、原土压实</w:t>
            </w:r>
            <w:r>
              <w:rPr>
                <w:rFonts w:hint="eastAsia" w:ascii="Times New Roman" w:hAnsi="Times New Roman" w:cs="Times New Roman"/>
                <w:b w:val="0"/>
                <w:bCs w:val="0"/>
                <w:color w:val="auto"/>
                <w:sz w:val="21"/>
                <w:szCs w:val="21"/>
                <w:highlight w:val="none"/>
                <w:lang w:eastAsia="zh-CN"/>
              </w:rPr>
              <w:t>。</w:t>
            </w:r>
          </w:p>
        </w:tc>
      </w:tr>
      <w:tr w14:paraId="51252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6970D4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464912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危废贮存库</w:t>
            </w:r>
          </w:p>
        </w:tc>
        <w:tc>
          <w:tcPr>
            <w:tcW w:w="3379" w:type="pct"/>
            <w:tcBorders>
              <w:tl2br w:val="nil"/>
              <w:tr2bl w:val="nil"/>
            </w:tcBorders>
            <w:noWrap w:val="0"/>
            <w:vAlign w:val="center"/>
          </w:tcPr>
          <w:p w14:paraId="492F29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环氧碱类防腐层、抗渗混凝土面层（厚度30cm，抗渗等级为P8）、600g/m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mm厚HDPE防渗膜、基层+垫层、600g/m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2C6C4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66B94C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25D5A25C">
            <w:pPr>
              <w:pStyle w:val="4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w:t>
            </w:r>
            <w:r>
              <w:rPr>
                <w:rFonts w:hint="eastAsia" w:ascii="Times New Roman" w:hAnsi="Times New Roman" w:eastAsia="宋体" w:cs="Times New Roman"/>
                <w:b w:val="0"/>
                <w:bCs w:val="0"/>
                <w:color w:val="auto"/>
                <w:sz w:val="21"/>
                <w:szCs w:val="21"/>
                <w:highlight w:val="none"/>
                <w:lang w:val="en-US" w:eastAsia="zh-CN"/>
              </w:rPr>
              <w:t>储罐</w:t>
            </w:r>
            <w:r>
              <w:rPr>
                <w:rFonts w:hint="eastAsia" w:ascii="Times New Roman" w:hAnsi="Times New Roman" w:cs="Times New Roman"/>
                <w:b w:val="0"/>
                <w:bCs w:val="0"/>
                <w:color w:val="auto"/>
                <w:sz w:val="21"/>
                <w:szCs w:val="21"/>
                <w:highlight w:val="none"/>
                <w:lang w:val="en-US" w:eastAsia="zh-CN"/>
              </w:rPr>
              <w:t>区</w:t>
            </w:r>
          </w:p>
        </w:tc>
        <w:tc>
          <w:tcPr>
            <w:tcW w:w="3379" w:type="pct"/>
            <w:tcBorders>
              <w:tl2br w:val="nil"/>
              <w:tr2bl w:val="nil"/>
            </w:tcBorders>
            <w:noWrap w:val="0"/>
            <w:vAlign w:val="center"/>
          </w:tcPr>
          <w:p w14:paraId="3C56E5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5405A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305FE5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587ECE09">
            <w:pPr>
              <w:pStyle w:val="4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尾矿库</w:t>
            </w:r>
          </w:p>
        </w:tc>
        <w:tc>
          <w:tcPr>
            <w:tcW w:w="3379" w:type="pct"/>
            <w:tcBorders>
              <w:tl2br w:val="nil"/>
              <w:tr2bl w:val="nil"/>
            </w:tcBorders>
            <w:noWrap w:val="0"/>
            <w:vAlign w:val="center"/>
          </w:tcPr>
          <w:p w14:paraId="7AEED2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尾矿</w:t>
            </w:r>
            <w:r>
              <w:rPr>
                <w:rFonts w:hint="eastAsia" w:cs="Times New Roman"/>
                <w:b w:val="0"/>
                <w:bCs w:val="0"/>
                <w:color w:val="auto"/>
                <w:sz w:val="21"/>
                <w:szCs w:val="21"/>
                <w:highlight w:val="none"/>
                <w:lang w:val="en-US" w:eastAsia="zh-CN"/>
              </w:rPr>
              <w:t>库</w:t>
            </w:r>
            <w:r>
              <w:rPr>
                <w:rFonts w:hint="eastAsia" w:ascii="Times New Roman" w:hAnsi="Times New Roman" w:cs="Times New Roman"/>
                <w:b w:val="0"/>
                <w:bCs w:val="0"/>
                <w:color w:val="auto"/>
                <w:sz w:val="21"/>
                <w:szCs w:val="21"/>
                <w:highlight w:val="none"/>
                <w:lang w:val="en-US" w:eastAsia="zh-CN"/>
              </w:rPr>
              <w:t>坝内坡采用</w:t>
            </w:r>
            <w:r>
              <w:rPr>
                <w:rFonts w:hint="eastAsia" w:cs="Times New Roman"/>
                <w:b w:val="0"/>
                <w:bCs w:val="0"/>
                <w:color w:val="auto"/>
                <w:sz w:val="21"/>
                <w:szCs w:val="21"/>
                <w:highlight w:val="none"/>
                <w:lang w:val="en-US" w:eastAsia="zh-CN"/>
              </w:rPr>
              <w:t>了</w:t>
            </w:r>
            <w:r>
              <w:rPr>
                <w:rFonts w:hint="eastAsia" w:ascii="Times New Roman" w:hAnsi="Times New Roman" w:cs="Times New Roman"/>
                <w:b w:val="0"/>
                <w:bCs w:val="0"/>
                <w:color w:val="auto"/>
                <w:sz w:val="21"/>
                <w:szCs w:val="21"/>
                <w:highlight w:val="none"/>
                <w:lang w:val="en-US" w:eastAsia="zh-CN"/>
              </w:rPr>
              <w:t>500g/m</w:t>
            </w:r>
            <w:r>
              <w:rPr>
                <w:rFonts w:hint="eastAsia"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lang w:val="en-US" w:eastAsia="zh-CN"/>
              </w:rPr>
              <w:t>的土工布进行防渗处理，坝体内坡采用砂砾护坡，外坡根据当地生态环境管理部门的要求采用红砖或者喷浆护坡。</w:t>
            </w:r>
          </w:p>
        </w:tc>
      </w:tr>
      <w:tr w14:paraId="303F5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048082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一般防渗区</w:t>
            </w:r>
          </w:p>
        </w:tc>
        <w:tc>
          <w:tcPr>
            <w:tcW w:w="1059" w:type="pct"/>
            <w:tcBorders>
              <w:tl2br w:val="nil"/>
              <w:tr2bl w:val="nil"/>
            </w:tcBorders>
            <w:noWrap w:val="0"/>
            <w:vAlign w:val="center"/>
          </w:tcPr>
          <w:p w14:paraId="622E21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包括</w:t>
            </w:r>
            <w:r>
              <w:rPr>
                <w:rFonts w:hint="eastAsia" w:cs="Times New Roman"/>
                <w:b w:val="0"/>
                <w:bCs w:val="0"/>
                <w:color w:val="auto"/>
                <w:kern w:val="0"/>
                <w:sz w:val="21"/>
                <w:szCs w:val="21"/>
                <w:highlight w:val="none"/>
                <w:lang w:val="en-US" w:eastAsia="zh-CN"/>
              </w:rPr>
              <w:t>球磨</w:t>
            </w:r>
            <w:r>
              <w:rPr>
                <w:rFonts w:hint="eastAsia" w:ascii="Times New Roman" w:hAnsi="Times New Roman" w:cs="Times New Roman"/>
                <w:b w:val="0"/>
                <w:bCs w:val="0"/>
                <w:color w:val="auto"/>
                <w:kern w:val="0"/>
                <w:sz w:val="21"/>
                <w:szCs w:val="21"/>
                <w:highlight w:val="none"/>
                <w:lang w:val="en-US" w:eastAsia="zh-CN"/>
              </w:rPr>
              <w:t>车间</w:t>
            </w:r>
            <w:r>
              <w:rPr>
                <w:rFonts w:hint="default" w:ascii="Times New Roman" w:hAnsi="Times New Roman" w:eastAsia="宋体" w:cs="Times New Roman"/>
                <w:b w:val="0"/>
                <w:bCs w:val="0"/>
                <w:color w:val="auto"/>
                <w:kern w:val="0"/>
                <w:sz w:val="21"/>
                <w:szCs w:val="21"/>
                <w:highlight w:val="none"/>
              </w:rPr>
              <w:t>、</w:t>
            </w:r>
            <w:r>
              <w:rPr>
                <w:rFonts w:hint="eastAsia" w:cs="Times New Roman"/>
                <w:b w:val="0"/>
                <w:bCs w:val="0"/>
                <w:color w:val="auto"/>
                <w:kern w:val="0"/>
                <w:sz w:val="21"/>
                <w:szCs w:val="21"/>
                <w:highlight w:val="none"/>
                <w:lang w:val="en-US" w:eastAsia="zh-CN"/>
              </w:rPr>
              <w:t>原矿堆场、</w:t>
            </w:r>
            <w:r>
              <w:rPr>
                <w:rFonts w:hint="default" w:ascii="Times New Roman" w:hAnsi="Times New Roman" w:eastAsia="宋体" w:cs="Times New Roman"/>
                <w:b w:val="0"/>
                <w:bCs w:val="0"/>
                <w:color w:val="auto"/>
                <w:kern w:val="0"/>
                <w:sz w:val="21"/>
                <w:szCs w:val="21"/>
                <w:highlight w:val="none"/>
                <w:lang w:val="en-US" w:eastAsia="zh-CN"/>
              </w:rPr>
              <w:t>公用工程等</w:t>
            </w:r>
          </w:p>
        </w:tc>
        <w:tc>
          <w:tcPr>
            <w:tcW w:w="3379" w:type="pct"/>
            <w:tcBorders>
              <w:tl2br w:val="nil"/>
              <w:tr2bl w:val="nil"/>
            </w:tcBorders>
            <w:noWrap w:val="0"/>
            <w:vAlign w:val="center"/>
          </w:tcPr>
          <w:p w14:paraId="25FD50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压实系数≥0.92的夯实基土；150mm 厚粒径5～32mm碎石灌M2.5混合砂浆层；80mm厚抗渗合成纤维混凝土防渗层随捣随抹（内掺高延展高强度复合抗裂纤维），水泥浆一道（内掺108建筑胶），重点防渗区选取强度为C30，抗渗等级为P8等级混凝土；20mm厚C20细石混凝土，随打随抹光（骨料用石灰石、白云石）；防腐涂料2mm</w:t>
            </w:r>
            <w:r>
              <w:rPr>
                <w:rFonts w:hint="eastAsia" w:ascii="Times New Roman" w:hAnsi="Times New Roman" w:eastAsia="宋体" w:cs="Times New Roman"/>
                <w:b w:val="0"/>
                <w:bCs w:val="0"/>
                <w:color w:val="auto"/>
                <w:sz w:val="21"/>
                <w:szCs w:val="21"/>
                <w:highlight w:val="none"/>
                <w:lang w:eastAsia="zh-CN"/>
              </w:rPr>
              <w:t>。</w:t>
            </w:r>
          </w:p>
        </w:tc>
      </w:tr>
      <w:tr w14:paraId="29156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2DB9CE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简单防渗区</w:t>
            </w:r>
          </w:p>
        </w:tc>
        <w:tc>
          <w:tcPr>
            <w:tcW w:w="1059" w:type="pct"/>
            <w:tcBorders>
              <w:tl2br w:val="nil"/>
              <w:tr2bl w:val="nil"/>
            </w:tcBorders>
            <w:noWrap w:val="0"/>
            <w:vAlign w:val="center"/>
          </w:tcPr>
          <w:p w14:paraId="4A2247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重点、一般防渗区以外的厂内地区，如：厂区地面、配电室等。</w:t>
            </w:r>
          </w:p>
        </w:tc>
        <w:tc>
          <w:tcPr>
            <w:tcW w:w="3379" w:type="pct"/>
            <w:tcBorders>
              <w:tl2br w:val="nil"/>
              <w:tr2bl w:val="nil"/>
            </w:tcBorders>
            <w:noWrap w:val="0"/>
            <w:vAlign w:val="center"/>
          </w:tcPr>
          <w:p w14:paraId="7FB77E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一般地面水泥硬化</w:t>
            </w:r>
          </w:p>
        </w:tc>
      </w:tr>
    </w:tbl>
    <w:p w14:paraId="38058D4F">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正常工况下，上述产生废液的构筑物防渗层未发生破裂，不会出现</w:t>
      </w:r>
      <w:r>
        <w:rPr>
          <w:rFonts w:hint="eastAsia" w:cs="Times New Roman"/>
          <w:color w:val="auto"/>
          <w:highlight w:val="none"/>
          <w:lang w:val="en-US" w:eastAsia="zh-CN"/>
        </w:rPr>
        <w:t>液体物料或废水</w:t>
      </w:r>
      <w:r>
        <w:rPr>
          <w:rFonts w:hint="default" w:ascii="Times New Roman" w:hAnsi="Times New Roman" w:eastAsia="宋体" w:cs="Times New Roman"/>
          <w:color w:val="auto"/>
          <w:highlight w:val="none"/>
          <w:lang w:val="en-US" w:eastAsia="zh-CN"/>
        </w:rPr>
        <w:t>下渗污染地下水的事故，对环境影响较小。</w:t>
      </w:r>
    </w:p>
    <w:p w14:paraId="31038C0D">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5.6.2.3非正常状况下对地下水环境影响分析</w:t>
      </w:r>
    </w:p>
    <w:p w14:paraId="7E15B6BE">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一般情况下，污染物很难透过防渗层进入地下水。在非正常状况下，</w:t>
      </w:r>
      <w:r>
        <w:rPr>
          <w:rFonts w:hint="eastAsia" w:cs="Times New Roman"/>
          <w:color w:val="auto"/>
          <w:highlight w:val="none"/>
          <w:lang w:val="en-US" w:eastAsia="zh-CN"/>
        </w:rPr>
        <w:t>萃取－电积</w:t>
      </w:r>
      <w:r>
        <w:rPr>
          <w:rFonts w:hint="default" w:ascii="Times New Roman" w:hAnsi="Times New Roman" w:eastAsia="宋体" w:cs="Times New Roman"/>
          <w:color w:val="auto"/>
          <w:highlight w:val="none"/>
          <w:lang w:val="en-US" w:eastAsia="zh-CN"/>
        </w:rPr>
        <w:t>车间、事故池等有可能污染地下水储存的构筑物底部破损发生渗漏，液体物料或废水可能会通过防渗层失效部位进入地下水，从而污染地下水。</w:t>
      </w:r>
    </w:p>
    <w:p w14:paraId="6C8380D6">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故本次地下水环境影响预测只针对非正常状况下底部防渗结构失效情况进行预测与分析。</w:t>
      </w:r>
    </w:p>
    <w:p w14:paraId="0DE78F87">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bookmarkStart w:id="191" w:name="_Toc518377955"/>
      <w:bookmarkStart w:id="192" w:name="_Toc520914397"/>
      <w:bookmarkStart w:id="193" w:name="_Toc520721198"/>
      <w:r>
        <w:rPr>
          <w:rFonts w:hint="default" w:ascii="Times New Roman" w:hAnsi="Times New Roman" w:eastAsia="宋体" w:cs="Times New Roman"/>
          <w:color w:val="auto"/>
          <w:highlight w:val="none"/>
          <w:lang w:val="en-US" w:eastAsia="zh-CN"/>
        </w:rPr>
        <w:t>5.6.3地下水环境影响预测与</w:t>
      </w:r>
      <w:bookmarkEnd w:id="191"/>
      <w:bookmarkEnd w:id="192"/>
      <w:bookmarkEnd w:id="193"/>
      <w:r>
        <w:rPr>
          <w:rFonts w:hint="eastAsia" w:cs="Times New Roman"/>
          <w:color w:val="auto"/>
          <w:highlight w:val="none"/>
          <w:lang w:val="en-US" w:eastAsia="zh-CN"/>
        </w:rPr>
        <w:t>评价</w:t>
      </w:r>
    </w:p>
    <w:p w14:paraId="6726435B">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5.6.3.1预测情景及预测源强</w:t>
      </w:r>
    </w:p>
    <w:p w14:paraId="4C4CD2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（1）预测情景设定</w:t>
      </w:r>
    </w:p>
    <w:p w14:paraId="7F945C57">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highlight w:val="none"/>
        </w:rPr>
      </w:pPr>
      <w:bookmarkStart w:id="194" w:name="_Hlk522484915"/>
      <w:r>
        <w:rPr>
          <w:rFonts w:hint="default" w:ascii="Times New Roman" w:hAnsi="Times New Roman" w:eastAsia="宋体" w:cs="Times New Roman"/>
          <w:b w:val="0"/>
          <w:bCs w:val="0"/>
          <w:color w:val="auto"/>
          <w:spacing w:val="0"/>
          <w:sz w:val="24"/>
          <w:szCs w:val="24"/>
          <w:highlight w:val="none"/>
        </w:rPr>
        <w:t>拟建项目非正常状态主要包括两种事故类型：</w:t>
      </w:r>
    </w:p>
    <w:p w14:paraId="548D17F0">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①因池体基础处理不好，当池内液体增加时发生不均匀沉降，造成HDPE膜撕裂或顶破；或HDPE膜的焊接出问题，造成HDPE膜破裂或残缺等等，均会使HDPE膜的防渗性能失效，造成废液垂直下渗污染地下水。</w:t>
      </w:r>
    </w:p>
    <w:p w14:paraId="3D846E70">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②施工过程中倘若无纺土工布层或钠基膨润土层铺设未按设计要求进行施工，对HDPE防渗层没有起到应有的保护作用，导致其被尖锐物体刺破，这时不但极易造成HDPE膜破裂，无纺土工布及钠基膨润土层防渗也将失效，下渗污染物直接击穿破裂带进入包气带土层。</w:t>
      </w:r>
    </w:p>
    <w:p w14:paraId="5F041A4A">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本次环评考虑最不利情况，即电</w:t>
      </w:r>
      <w:r>
        <w:rPr>
          <w:rFonts w:hint="eastAsia" w:ascii="Times New Roman" w:eastAsia="宋体" w:cs="Times New Roman"/>
          <w:b w:val="0"/>
          <w:bCs w:val="0"/>
          <w:color w:val="auto"/>
          <w:spacing w:val="0"/>
          <w:sz w:val="24"/>
          <w:szCs w:val="24"/>
          <w:highlight w:val="none"/>
          <w:lang w:val="en-US" w:eastAsia="zh-CN"/>
        </w:rPr>
        <w:t>积</w:t>
      </w:r>
      <w:r>
        <w:rPr>
          <w:rFonts w:hint="default" w:ascii="Times New Roman" w:hAnsi="Times New Roman" w:eastAsia="宋体" w:cs="Times New Roman"/>
          <w:b w:val="0"/>
          <w:bCs w:val="0"/>
          <w:color w:val="auto"/>
          <w:spacing w:val="0"/>
          <w:sz w:val="24"/>
          <w:szCs w:val="24"/>
          <w:highlight w:val="none"/>
        </w:rPr>
        <w:t>池发生</w:t>
      </w:r>
      <w:r>
        <w:rPr>
          <w:rFonts w:hint="default" w:ascii="Times New Roman" w:hAnsi="Times New Roman" w:eastAsia="宋体" w:cs="Times New Roman"/>
          <w:b w:val="0"/>
          <w:bCs w:val="0"/>
          <w:color w:val="auto"/>
          <w:spacing w:val="0"/>
          <w:sz w:val="24"/>
          <w:szCs w:val="24"/>
          <w:highlight w:val="none"/>
          <w:lang w:eastAsia="zh-CN"/>
        </w:rPr>
        <w:t>泄漏</w:t>
      </w:r>
      <w:r>
        <w:rPr>
          <w:rFonts w:hint="default" w:ascii="Times New Roman" w:hAnsi="Times New Roman" w:eastAsia="宋体" w:cs="Times New Roman"/>
          <w:b w:val="0"/>
          <w:bCs w:val="0"/>
          <w:color w:val="auto"/>
          <w:spacing w:val="0"/>
          <w:sz w:val="24"/>
          <w:szCs w:val="24"/>
          <w:highlight w:val="none"/>
        </w:rPr>
        <w:t>，污染物</w:t>
      </w:r>
      <w:r>
        <w:rPr>
          <w:rFonts w:hint="default" w:ascii="Times New Roman" w:hAnsi="Times New Roman" w:eastAsia="宋体" w:cs="Times New Roman"/>
          <w:b w:val="0"/>
          <w:bCs w:val="0"/>
          <w:color w:val="auto"/>
          <w:spacing w:val="0"/>
          <w:sz w:val="24"/>
          <w:szCs w:val="24"/>
          <w:highlight w:val="none"/>
          <w:lang w:eastAsia="zh-CN"/>
        </w:rPr>
        <w:t>泄漏</w:t>
      </w:r>
      <w:r>
        <w:rPr>
          <w:rFonts w:hint="default" w:ascii="Times New Roman" w:hAnsi="Times New Roman" w:eastAsia="宋体" w:cs="Times New Roman"/>
          <w:b w:val="0"/>
          <w:bCs w:val="0"/>
          <w:color w:val="auto"/>
          <w:spacing w:val="0"/>
          <w:sz w:val="24"/>
          <w:szCs w:val="24"/>
          <w:highlight w:val="none"/>
        </w:rPr>
        <w:t>浓度最高的情况下污染</w:t>
      </w:r>
      <w:r>
        <w:rPr>
          <w:rFonts w:hint="default" w:ascii="Times New Roman" w:hAnsi="Times New Roman" w:eastAsia="宋体" w:cs="Times New Roman"/>
          <w:b w:val="0"/>
          <w:bCs w:val="0"/>
          <w:color w:val="auto"/>
          <w:spacing w:val="0"/>
          <w:sz w:val="24"/>
          <w:szCs w:val="24"/>
          <w:highlight w:val="none"/>
          <w:lang w:eastAsia="zh-CN"/>
        </w:rPr>
        <w:t>物</w:t>
      </w:r>
      <w:r>
        <w:rPr>
          <w:rFonts w:hint="default" w:ascii="Times New Roman" w:hAnsi="Times New Roman" w:eastAsia="宋体" w:cs="Times New Roman"/>
          <w:b w:val="0"/>
          <w:bCs w:val="0"/>
          <w:color w:val="auto"/>
          <w:spacing w:val="0"/>
          <w:sz w:val="24"/>
          <w:szCs w:val="24"/>
          <w:highlight w:val="none"/>
        </w:rPr>
        <w:t>垂直下渗造成地下水污染。</w:t>
      </w:r>
    </w:p>
    <w:bookmarkEnd w:id="194"/>
    <w:p w14:paraId="7327056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（2）预测源强分析</w:t>
      </w:r>
    </w:p>
    <w:p w14:paraId="482E425B">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eastAsia" w:ascii="Times New Roman" w:eastAsia="宋体" w:cs="Times New Roman"/>
          <w:b w:val="0"/>
          <w:bCs w:val="0"/>
          <w:color w:val="auto"/>
          <w:spacing w:val="0"/>
          <w:w w:val="100"/>
          <w:position w:val="0"/>
          <w:sz w:val="24"/>
          <w:szCs w:val="24"/>
          <w:highlight w:val="none"/>
          <w:lang w:val="en-US" w:eastAsia="zh-CN"/>
        </w:rPr>
        <w:t>电积液</w:t>
      </w:r>
      <w:r>
        <w:rPr>
          <w:rFonts w:hint="default" w:ascii="Times New Roman" w:hAnsi="Times New Roman" w:eastAsia="宋体" w:cs="Times New Roman"/>
          <w:b w:val="0"/>
          <w:bCs w:val="0"/>
          <w:color w:val="auto"/>
          <w:spacing w:val="0"/>
          <w:w w:val="100"/>
          <w:position w:val="0"/>
          <w:sz w:val="24"/>
          <w:szCs w:val="24"/>
          <w:highlight w:val="none"/>
        </w:rPr>
        <w:t>可通过池底的垂直渗流量q（m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w w:val="100"/>
          <w:position w:val="0"/>
          <w:sz w:val="24"/>
          <w:szCs w:val="24"/>
          <w:highlight w:val="none"/>
        </w:rPr>
        <w:t>/d）进行估算，计算方法可采用达西定律进行计算，其公式如下：</w:t>
      </w:r>
    </w:p>
    <w:p w14:paraId="66CAB4BD">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1200" w:firstLineChars="500"/>
        <w:jc w:val="both"/>
        <w:textAlignment w:val="auto"/>
        <w:rPr>
          <w:rFonts w:hint="default" w:ascii="Times New Roman" w:hAnsi="Times New Roman" w:eastAsia="宋体" w:cs="Times New Roman"/>
          <w:b w:val="0"/>
          <w:bCs w:val="0"/>
          <w:i/>
          <w:iCs/>
          <w:color w:val="auto"/>
          <w:spacing w:val="0"/>
          <w:w w:val="100"/>
          <w:position w:val="0"/>
          <w:sz w:val="24"/>
          <w:szCs w:val="24"/>
          <w:highlight w:val="none"/>
        </w:rPr>
      </w:pPr>
      <w:r>
        <w:rPr>
          <w:rFonts w:hint="default" w:ascii="Times New Roman" w:hAnsi="Times New Roman" w:eastAsia="宋体" w:cs="Times New Roman"/>
          <w:b w:val="0"/>
          <w:bCs w:val="0"/>
          <w:i/>
          <w:iCs/>
          <w:color w:val="auto"/>
          <w:spacing w:val="0"/>
          <w:w w:val="100"/>
          <w:position w:val="0"/>
          <w:sz w:val="24"/>
          <w:szCs w:val="24"/>
          <w:highlight w:val="none"/>
        </w:rPr>
        <w:t>q</w:t>
      </w:r>
      <w:r>
        <w:rPr>
          <w:rFonts w:hint="default" w:ascii="Times New Roman" w:hAnsi="Times New Roman" w:eastAsia="宋体" w:cs="Times New Roman"/>
          <w:b w:val="0"/>
          <w:bCs w:val="0"/>
          <w:color w:val="auto"/>
          <w:spacing w:val="0"/>
          <w:w w:val="100"/>
          <w:position w:val="0"/>
          <w:sz w:val="24"/>
          <w:szCs w:val="24"/>
          <w:highlight w:val="none"/>
        </w:rPr>
        <w:t>=</w:t>
      </w:r>
      <w:r>
        <w:rPr>
          <w:rFonts w:hint="default" w:ascii="Times New Roman" w:hAnsi="Times New Roman" w:eastAsia="宋体" w:cs="Times New Roman"/>
          <w:b w:val="0"/>
          <w:bCs w:val="0"/>
          <w:i/>
          <w:iCs/>
          <w:color w:val="auto"/>
          <w:spacing w:val="0"/>
          <w:w w:val="100"/>
          <w:position w:val="0"/>
          <w:sz w:val="24"/>
          <w:szCs w:val="24"/>
          <w:highlight w:val="none"/>
        </w:rPr>
        <w:t>k</w:t>
      </w:r>
      <w:r>
        <w:rPr>
          <w:rFonts w:hint="default" w:ascii="Times New Roman" w:hAnsi="Times New Roman" w:eastAsia="宋体" w:cs="Times New Roman"/>
          <w:b w:val="0"/>
          <w:bCs w:val="0"/>
          <w:color w:val="auto"/>
          <w:spacing w:val="0"/>
          <w:w w:val="100"/>
          <w:position w:val="0"/>
          <w:sz w:val="24"/>
          <w:szCs w:val="24"/>
          <w:highlight w:val="none"/>
        </w:rPr>
        <w:t>.</w:t>
      </w:r>
      <w:r>
        <w:rPr>
          <w:rFonts w:hint="default" w:ascii="Times New Roman" w:hAnsi="Times New Roman" w:eastAsia="宋体" w:cs="Times New Roman"/>
          <w:b w:val="0"/>
          <w:bCs w:val="0"/>
          <w:i/>
          <w:iCs/>
          <w:color w:val="auto"/>
          <w:spacing w:val="0"/>
          <w:w w:val="100"/>
          <w:position w:val="0"/>
          <w:sz w:val="24"/>
          <w:szCs w:val="24"/>
          <w:highlight w:val="none"/>
        </w:rPr>
        <w:t>i</w:t>
      </w:r>
      <w:r>
        <w:rPr>
          <w:rFonts w:hint="default" w:ascii="Times New Roman" w:hAnsi="Times New Roman" w:eastAsia="宋体" w:cs="Times New Roman"/>
          <w:b w:val="0"/>
          <w:bCs w:val="0"/>
          <w:color w:val="auto"/>
          <w:spacing w:val="0"/>
          <w:w w:val="100"/>
          <w:position w:val="0"/>
          <w:sz w:val="24"/>
          <w:szCs w:val="24"/>
          <w:highlight w:val="none"/>
        </w:rPr>
        <w:t>.</w:t>
      </w:r>
      <w:r>
        <w:rPr>
          <w:rFonts w:hint="default" w:ascii="Times New Roman" w:hAnsi="Times New Roman" w:eastAsia="宋体" w:cs="Times New Roman"/>
          <w:b w:val="0"/>
          <w:bCs w:val="0"/>
          <w:i/>
          <w:iCs/>
          <w:color w:val="auto"/>
          <w:spacing w:val="0"/>
          <w:w w:val="100"/>
          <w:position w:val="0"/>
          <w:sz w:val="24"/>
          <w:szCs w:val="24"/>
          <w:highlight w:val="none"/>
        </w:rPr>
        <w:t>A</w:t>
      </w:r>
    </w:p>
    <w:p w14:paraId="4588B9B5">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式中</w:t>
      </w:r>
      <w:r>
        <w:rPr>
          <w:rFonts w:hint="default" w:ascii="Times New Roman" w:hAnsi="Times New Roman" w:eastAsia="宋体" w:cs="Times New Roman"/>
          <w:b w:val="0"/>
          <w:bCs w:val="0"/>
          <w:color w:val="auto"/>
          <w:spacing w:val="0"/>
          <w:w w:val="100"/>
          <w:position w:val="0"/>
          <w:sz w:val="24"/>
          <w:szCs w:val="24"/>
          <w:highlight w:val="none"/>
          <w:lang w:eastAsia="zh-CN"/>
        </w:rPr>
        <w:t>：</w:t>
      </w:r>
      <w:r>
        <w:rPr>
          <w:rFonts w:hint="default" w:ascii="Times New Roman" w:hAnsi="Times New Roman" w:eastAsia="宋体" w:cs="Times New Roman"/>
          <w:b w:val="0"/>
          <w:bCs w:val="0"/>
          <w:color w:val="auto"/>
          <w:spacing w:val="0"/>
          <w:w w:val="100"/>
          <w:position w:val="0"/>
          <w:sz w:val="24"/>
          <w:szCs w:val="24"/>
          <w:highlight w:val="none"/>
        </w:rPr>
        <w:t>q—垂直泄漏量，m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w w:val="100"/>
          <w:position w:val="0"/>
          <w:sz w:val="24"/>
          <w:szCs w:val="24"/>
          <w:highlight w:val="none"/>
        </w:rPr>
        <w:t>/d；</w:t>
      </w:r>
    </w:p>
    <w:p w14:paraId="17492DF1">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1200" w:firstLineChars="5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k—垂直渗透系数（m/d），</w:t>
      </w:r>
      <w:r>
        <w:rPr>
          <w:rFonts w:hint="eastAsia" w:ascii="Times New Roman" w:eastAsia="宋体" w:cs="Times New Roman"/>
          <w:b w:val="0"/>
          <w:bCs w:val="0"/>
          <w:color w:val="auto"/>
          <w:spacing w:val="0"/>
          <w:w w:val="100"/>
          <w:position w:val="0"/>
          <w:sz w:val="24"/>
          <w:szCs w:val="24"/>
          <w:highlight w:val="none"/>
          <w:lang w:val="en-US" w:eastAsia="zh-CN"/>
        </w:rPr>
        <w:t>根据</w:t>
      </w:r>
      <w:r>
        <w:rPr>
          <w:rFonts w:hint="default" w:ascii="Times New Roman" w:hAnsi="Times New Roman" w:eastAsia="宋体" w:cs="Times New Roman"/>
          <w:b w:val="0"/>
          <w:bCs w:val="0"/>
          <w:color w:val="auto"/>
          <w:spacing w:val="0"/>
          <w:w w:val="100"/>
          <w:position w:val="0"/>
          <w:sz w:val="24"/>
          <w:szCs w:val="24"/>
          <w:highlight w:val="none"/>
        </w:rPr>
        <w:t>地下水导则附录B水文地质参数经验值表</w:t>
      </w:r>
      <w:r>
        <w:rPr>
          <w:rFonts w:hint="eastAsia" w:ascii="Times New Roman" w:eastAsia="宋体" w:cs="Times New Roman"/>
          <w:b w:val="0"/>
          <w:bCs w:val="0"/>
          <w:color w:val="auto"/>
          <w:spacing w:val="0"/>
          <w:w w:val="100"/>
          <w:position w:val="0"/>
          <w:sz w:val="24"/>
          <w:szCs w:val="24"/>
          <w:highlight w:val="none"/>
          <w:lang w:eastAsia="zh-CN"/>
        </w:rPr>
        <w:t>，</w:t>
      </w:r>
      <w:r>
        <w:rPr>
          <w:rFonts w:hint="eastAsia" w:ascii="Times New Roman" w:eastAsia="宋体" w:cs="Times New Roman"/>
          <w:b w:val="0"/>
          <w:bCs w:val="0"/>
          <w:color w:val="auto"/>
          <w:spacing w:val="0"/>
          <w:w w:val="100"/>
          <w:position w:val="0"/>
          <w:sz w:val="24"/>
          <w:szCs w:val="24"/>
          <w:highlight w:val="none"/>
          <w:lang w:val="en-US" w:eastAsia="zh-CN"/>
        </w:rPr>
        <w:t>本项目</w:t>
      </w:r>
      <w:r>
        <w:rPr>
          <w:rFonts w:hint="default" w:ascii="Times New Roman" w:hAnsi="Times New Roman" w:eastAsia="宋体" w:cs="Times New Roman"/>
          <w:b w:val="0"/>
          <w:bCs w:val="0"/>
          <w:color w:val="auto"/>
          <w:spacing w:val="0"/>
          <w:w w:val="100"/>
          <w:position w:val="0"/>
          <w:sz w:val="24"/>
          <w:szCs w:val="24"/>
          <w:highlight w:val="none"/>
        </w:rPr>
        <w:t>取</w:t>
      </w:r>
      <w:r>
        <w:rPr>
          <w:rFonts w:hint="eastAsia" w:ascii="Times New Roman" w:eastAsia="宋体" w:cs="Times New Roman"/>
          <w:b w:val="0"/>
          <w:bCs w:val="0"/>
          <w:color w:val="auto"/>
          <w:spacing w:val="0"/>
          <w:w w:val="100"/>
          <w:position w:val="0"/>
          <w:sz w:val="24"/>
          <w:szCs w:val="24"/>
          <w:highlight w:val="none"/>
          <w:lang w:val="en-US" w:eastAsia="zh-CN"/>
        </w:rPr>
        <w:t>0.5</w:t>
      </w:r>
      <w:r>
        <w:rPr>
          <w:rFonts w:hint="default" w:ascii="Times New Roman" w:hAnsi="Times New Roman" w:eastAsia="宋体" w:cs="Times New Roman"/>
          <w:b w:val="0"/>
          <w:bCs w:val="0"/>
          <w:color w:val="auto"/>
          <w:spacing w:val="0"/>
          <w:w w:val="100"/>
          <w:position w:val="0"/>
          <w:sz w:val="24"/>
          <w:szCs w:val="24"/>
          <w:highlight w:val="none"/>
        </w:rPr>
        <w:t>m/d；</w:t>
      </w:r>
    </w:p>
    <w:p w14:paraId="5C9DFE28">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1200" w:firstLineChars="5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i—水力坡</w:t>
      </w:r>
      <w:r>
        <w:rPr>
          <w:rFonts w:hint="default" w:ascii="Times New Roman" w:hAnsi="Times New Roman" w:eastAsia="宋体" w:cs="Times New Roman"/>
          <w:b w:val="0"/>
          <w:bCs w:val="0"/>
          <w:color w:val="auto"/>
          <w:spacing w:val="0"/>
          <w:w w:val="100"/>
          <w:position w:val="0"/>
          <w:sz w:val="24"/>
          <w:szCs w:val="24"/>
          <w:highlight w:val="none"/>
          <w:lang w:val="en-US" w:eastAsia="zh-CN"/>
        </w:rPr>
        <w:t>度，取值为</w:t>
      </w:r>
      <w:r>
        <w:rPr>
          <w:rFonts w:hint="eastAsia" w:ascii="Times New Roman" w:hAnsi="Times New Roman" w:eastAsia="宋体" w:cs="Times New Roman"/>
          <w:b w:val="0"/>
          <w:bCs w:val="0"/>
          <w:color w:val="auto"/>
          <w:spacing w:val="0"/>
          <w:w w:val="100"/>
          <w:position w:val="0"/>
          <w:sz w:val="24"/>
          <w:szCs w:val="24"/>
          <w:highlight w:val="none"/>
          <w:lang w:val="en-US" w:eastAsia="zh-CN"/>
        </w:rPr>
        <w:t>0.002</w:t>
      </w:r>
      <w:r>
        <w:rPr>
          <w:rFonts w:hint="default" w:ascii="Times New Roman" w:hAnsi="Times New Roman" w:eastAsia="宋体" w:cs="Times New Roman"/>
          <w:b w:val="0"/>
          <w:bCs w:val="0"/>
          <w:color w:val="auto"/>
          <w:spacing w:val="0"/>
          <w:w w:val="100"/>
          <w:position w:val="0"/>
          <w:sz w:val="24"/>
          <w:szCs w:val="24"/>
          <w:highlight w:val="none"/>
          <w:lang w:val="en-US" w:eastAsia="zh-CN"/>
        </w:rPr>
        <w:t>；</w:t>
      </w:r>
    </w:p>
    <w:p w14:paraId="3073D0CD">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1200" w:firstLineChars="5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A—</w:t>
      </w:r>
      <w:r>
        <w:rPr>
          <w:rFonts w:hint="default" w:ascii="Times New Roman" w:hAnsi="Times New Roman" w:eastAsia="宋体" w:cs="Times New Roman"/>
          <w:b w:val="0"/>
          <w:bCs w:val="0"/>
          <w:color w:val="auto"/>
          <w:spacing w:val="0"/>
          <w:w w:val="100"/>
          <w:position w:val="0"/>
          <w:sz w:val="24"/>
          <w:szCs w:val="24"/>
          <w:highlight w:val="none"/>
          <w:lang w:eastAsia="zh-CN"/>
        </w:rPr>
        <w:t>泄漏</w:t>
      </w:r>
      <w:r>
        <w:rPr>
          <w:rFonts w:hint="default" w:ascii="Times New Roman" w:hAnsi="Times New Roman" w:eastAsia="宋体" w:cs="Times New Roman"/>
          <w:b w:val="0"/>
          <w:bCs w:val="0"/>
          <w:color w:val="auto"/>
          <w:spacing w:val="0"/>
          <w:w w:val="100"/>
          <w:position w:val="0"/>
          <w:sz w:val="24"/>
          <w:szCs w:val="24"/>
          <w:highlight w:val="none"/>
        </w:rPr>
        <w:t>面积，以1%</w:t>
      </w:r>
      <w:r>
        <w:rPr>
          <w:rFonts w:hint="eastAsia" w:ascii="Times New Roman" w:hAnsi="Times New Roman" w:eastAsia="宋体" w:cs="Times New Roman"/>
          <w:b w:val="0"/>
          <w:bCs w:val="0"/>
          <w:color w:val="auto"/>
          <w:spacing w:val="0"/>
          <w:w w:val="100"/>
          <w:position w:val="0"/>
          <w:sz w:val="24"/>
          <w:szCs w:val="24"/>
          <w:highlight w:val="none"/>
          <w:lang w:eastAsia="zh-CN"/>
        </w:rPr>
        <w:t>电积槽</w:t>
      </w:r>
      <w:r>
        <w:rPr>
          <w:rFonts w:hint="default" w:ascii="Times New Roman" w:hAnsi="Times New Roman" w:eastAsia="宋体" w:cs="Times New Roman"/>
          <w:b w:val="0"/>
          <w:bCs w:val="0"/>
          <w:color w:val="auto"/>
          <w:spacing w:val="0"/>
          <w:w w:val="100"/>
          <w:position w:val="0"/>
          <w:sz w:val="24"/>
          <w:szCs w:val="24"/>
          <w:highlight w:val="none"/>
        </w:rPr>
        <w:t>防渗层破裂计算取</w:t>
      </w:r>
      <w:r>
        <w:rPr>
          <w:rFonts w:hint="eastAsia" w:ascii="Times New Roman" w:eastAsia="宋体" w:cs="Times New Roman"/>
          <w:b w:val="0"/>
          <w:bCs w:val="0"/>
          <w:color w:val="auto"/>
          <w:spacing w:val="0"/>
          <w:w w:val="100"/>
          <w:position w:val="0"/>
          <w:sz w:val="24"/>
          <w:szCs w:val="24"/>
          <w:highlight w:val="none"/>
          <w:lang w:val="en-US" w:eastAsia="zh-CN"/>
        </w:rPr>
        <w:t>2.28</w:t>
      </w:r>
      <w:r>
        <w:rPr>
          <w:rFonts w:hint="default" w:ascii="Times New Roman" w:hAnsi="Times New Roman" w:eastAsia="宋体" w:cs="Times New Roman"/>
          <w:b w:val="0"/>
          <w:bCs w:val="0"/>
          <w:color w:val="auto"/>
          <w:spacing w:val="0"/>
          <w:w w:val="100"/>
          <w:position w:val="0"/>
          <w:sz w:val="24"/>
          <w:szCs w:val="24"/>
          <w:highlight w:val="none"/>
        </w:rPr>
        <w:t>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2</w:t>
      </w:r>
      <w:r>
        <w:rPr>
          <w:rFonts w:hint="default" w:ascii="Times New Roman" w:hAnsi="Times New Roman" w:eastAsia="宋体" w:cs="Times New Roman"/>
          <w:b w:val="0"/>
          <w:bCs w:val="0"/>
          <w:color w:val="auto"/>
          <w:spacing w:val="0"/>
          <w:w w:val="100"/>
          <w:position w:val="0"/>
          <w:sz w:val="24"/>
          <w:szCs w:val="24"/>
          <w:highlight w:val="none"/>
        </w:rPr>
        <w:t>。</w:t>
      </w:r>
    </w:p>
    <w:p w14:paraId="3C1CDE4B">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经计算q为</w:t>
      </w:r>
      <w:r>
        <w:rPr>
          <w:rFonts w:hint="eastAsia" w:ascii="Times New Roman" w:eastAsia="宋体" w:cs="Times New Roman"/>
          <w:b w:val="0"/>
          <w:bCs w:val="0"/>
          <w:color w:val="auto"/>
          <w:spacing w:val="0"/>
          <w:w w:val="100"/>
          <w:position w:val="0"/>
          <w:sz w:val="24"/>
          <w:szCs w:val="24"/>
          <w:highlight w:val="none"/>
          <w:lang w:val="en-US" w:eastAsia="zh-CN"/>
        </w:rPr>
        <w:t>0.00228</w:t>
      </w:r>
      <w:r>
        <w:rPr>
          <w:rFonts w:hint="default" w:ascii="Times New Roman" w:hAnsi="Times New Roman" w:eastAsia="宋体" w:cs="Times New Roman"/>
          <w:b w:val="0"/>
          <w:bCs w:val="0"/>
          <w:color w:val="auto"/>
          <w:spacing w:val="0"/>
          <w:w w:val="100"/>
          <w:position w:val="0"/>
          <w:sz w:val="24"/>
          <w:szCs w:val="24"/>
          <w:highlight w:val="none"/>
        </w:rPr>
        <w:t>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w w:val="100"/>
          <w:position w:val="0"/>
          <w:sz w:val="24"/>
          <w:szCs w:val="24"/>
          <w:highlight w:val="none"/>
        </w:rPr>
        <w:t>/d，本次泄漏时间考虑为</w:t>
      </w:r>
      <w:r>
        <w:rPr>
          <w:rFonts w:hint="eastAsia" w:ascii="Times New Roman" w:eastAsia="宋体" w:cs="Times New Roman"/>
          <w:b w:val="0"/>
          <w:bCs w:val="0"/>
          <w:color w:val="auto"/>
          <w:spacing w:val="0"/>
          <w:w w:val="100"/>
          <w:position w:val="0"/>
          <w:sz w:val="24"/>
          <w:szCs w:val="24"/>
          <w:highlight w:val="none"/>
          <w:lang w:val="en-US" w:eastAsia="zh-CN"/>
        </w:rPr>
        <w:t>20</w:t>
      </w:r>
      <w:r>
        <w:rPr>
          <w:rFonts w:hint="default" w:ascii="Times New Roman" w:hAnsi="Times New Roman" w:eastAsia="宋体" w:cs="Times New Roman"/>
          <w:b w:val="0"/>
          <w:bCs w:val="0"/>
          <w:color w:val="auto"/>
          <w:spacing w:val="0"/>
          <w:w w:val="100"/>
          <w:position w:val="0"/>
          <w:sz w:val="24"/>
          <w:szCs w:val="24"/>
          <w:highlight w:val="none"/>
        </w:rPr>
        <w:t>d，泄漏量为</w:t>
      </w:r>
      <w:r>
        <w:rPr>
          <w:rFonts w:hint="eastAsia" w:ascii="Times New Roman" w:eastAsia="宋体" w:cs="Times New Roman"/>
          <w:b w:val="0"/>
          <w:bCs w:val="0"/>
          <w:color w:val="auto"/>
          <w:spacing w:val="0"/>
          <w:w w:val="100"/>
          <w:position w:val="0"/>
          <w:sz w:val="24"/>
          <w:szCs w:val="24"/>
          <w:highlight w:val="none"/>
          <w:lang w:val="en-US" w:eastAsia="zh-CN"/>
        </w:rPr>
        <w:t>0.046</w:t>
      </w:r>
      <w:r>
        <w:rPr>
          <w:rFonts w:hint="default" w:ascii="Times New Roman" w:hAnsi="Times New Roman" w:eastAsia="宋体" w:cs="Times New Roman"/>
          <w:b w:val="0"/>
          <w:bCs w:val="0"/>
          <w:color w:val="auto"/>
          <w:spacing w:val="0"/>
          <w:w w:val="100"/>
          <w:position w:val="0"/>
          <w:sz w:val="24"/>
          <w:szCs w:val="24"/>
          <w:highlight w:val="none"/>
        </w:rPr>
        <w:t>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w w:val="100"/>
          <w:position w:val="0"/>
          <w:sz w:val="24"/>
          <w:szCs w:val="24"/>
          <w:highlight w:val="none"/>
        </w:rPr>
        <w:t>。</w:t>
      </w:r>
    </w:p>
    <w:p w14:paraId="173CFE93">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highlight w:val="none"/>
        </w:rPr>
      </w:pPr>
      <w:r>
        <w:rPr>
          <w:rFonts w:hint="default" w:ascii="Times New Roman" w:hAnsi="Times New Roman" w:eastAsia="宋体" w:cs="Times New Roman"/>
          <w:b w:val="0"/>
          <w:bCs w:val="0"/>
          <w:color w:val="auto"/>
          <w:spacing w:val="0"/>
          <w:sz w:val="24"/>
          <w:highlight w:val="none"/>
        </w:rPr>
        <w:t>本次环评非正常工况以1%</w:t>
      </w:r>
      <w:r>
        <w:rPr>
          <w:rFonts w:hint="eastAsia" w:ascii="Times New Roman" w:hAnsi="Times New Roman" w:eastAsia="宋体" w:cs="Times New Roman"/>
          <w:b w:val="0"/>
          <w:bCs w:val="0"/>
          <w:color w:val="auto"/>
          <w:spacing w:val="0"/>
          <w:sz w:val="24"/>
          <w:highlight w:val="none"/>
          <w:lang w:eastAsia="zh-CN"/>
        </w:rPr>
        <w:t>电积槽</w:t>
      </w:r>
      <w:r>
        <w:rPr>
          <w:rFonts w:hint="default" w:ascii="Times New Roman" w:hAnsi="Times New Roman" w:eastAsia="宋体" w:cs="Times New Roman"/>
          <w:b w:val="0"/>
          <w:bCs w:val="0"/>
          <w:color w:val="auto"/>
          <w:spacing w:val="0"/>
          <w:sz w:val="24"/>
          <w:highlight w:val="none"/>
        </w:rPr>
        <w:t>防渗层破裂，连续泄漏</w:t>
      </w:r>
      <w:r>
        <w:rPr>
          <w:rFonts w:hint="eastAsia" w:ascii="Times New Roman" w:eastAsia="宋体" w:cs="Times New Roman"/>
          <w:b w:val="0"/>
          <w:bCs w:val="0"/>
          <w:color w:val="auto"/>
          <w:spacing w:val="0"/>
          <w:sz w:val="24"/>
          <w:highlight w:val="none"/>
          <w:lang w:val="en-US" w:eastAsia="zh-CN"/>
        </w:rPr>
        <w:t>100</w:t>
      </w:r>
      <w:r>
        <w:rPr>
          <w:rFonts w:hint="default" w:ascii="Times New Roman" w:hAnsi="Times New Roman" w:eastAsia="宋体" w:cs="Times New Roman"/>
          <w:b w:val="0"/>
          <w:bCs w:val="0"/>
          <w:color w:val="auto"/>
          <w:spacing w:val="0"/>
          <w:sz w:val="24"/>
          <w:highlight w:val="none"/>
        </w:rPr>
        <w:t>d计算，其中浸出液、</w:t>
      </w:r>
      <w:r>
        <w:rPr>
          <w:rFonts w:hint="eastAsia" w:ascii="Times New Roman" w:eastAsia="宋体" w:cs="Times New Roman"/>
          <w:b w:val="0"/>
          <w:bCs w:val="0"/>
          <w:color w:val="auto"/>
          <w:spacing w:val="0"/>
          <w:sz w:val="24"/>
          <w:highlight w:val="none"/>
          <w:lang w:val="en-US" w:eastAsia="zh-CN"/>
        </w:rPr>
        <w:t>电积</w:t>
      </w:r>
      <w:r>
        <w:rPr>
          <w:rFonts w:hint="default" w:ascii="Times New Roman" w:hAnsi="Times New Roman" w:eastAsia="宋体" w:cs="Times New Roman"/>
          <w:b w:val="0"/>
          <w:bCs w:val="0"/>
          <w:color w:val="auto"/>
          <w:spacing w:val="0"/>
          <w:sz w:val="24"/>
          <w:highlight w:val="none"/>
        </w:rPr>
        <w:t>液污染物参数参考《排放源统计调查产排污核算方法和系数手册》——</w:t>
      </w:r>
      <w:r>
        <w:rPr>
          <w:rFonts w:hint="eastAsia" w:ascii="Times New Roman" w:eastAsia="宋体" w:cs="Times New Roman"/>
          <w:b w:val="0"/>
          <w:bCs w:val="0"/>
          <w:color w:val="auto"/>
          <w:spacing w:val="0"/>
          <w:sz w:val="24"/>
          <w:highlight w:val="none"/>
          <w:lang w:eastAsia="zh-CN"/>
        </w:rPr>
        <w:t>“</w:t>
      </w:r>
      <w:r>
        <w:rPr>
          <w:rFonts w:hint="default" w:ascii="Times New Roman" w:hAnsi="Times New Roman" w:eastAsia="宋体" w:cs="Times New Roman"/>
          <w:b w:val="0"/>
          <w:bCs w:val="0"/>
          <w:color w:val="auto"/>
          <w:spacing w:val="0"/>
          <w:sz w:val="24"/>
          <w:highlight w:val="none"/>
        </w:rPr>
        <w:t>3211铜冶炼业系数手册</w:t>
      </w:r>
      <w:r>
        <w:rPr>
          <w:rFonts w:hint="eastAsia" w:ascii="Times New Roman" w:eastAsia="宋体" w:cs="Times New Roman"/>
          <w:b w:val="0"/>
          <w:bCs w:val="0"/>
          <w:color w:val="auto"/>
          <w:spacing w:val="0"/>
          <w:sz w:val="24"/>
          <w:highlight w:val="none"/>
          <w:lang w:eastAsia="zh-CN"/>
        </w:rPr>
        <w:t>”</w:t>
      </w:r>
      <w:r>
        <w:rPr>
          <w:rFonts w:hint="default" w:ascii="Times New Roman" w:hAnsi="Times New Roman" w:eastAsia="宋体" w:cs="Times New Roman"/>
          <w:b w:val="0"/>
          <w:bCs w:val="0"/>
          <w:color w:val="auto"/>
          <w:spacing w:val="0"/>
          <w:sz w:val="24"/>
          <w:highlight w:val="none"/>
        </w:rPr>
        <w:t>污染物参数见下表。</w:t>
      </w:r>
    </w:p>
    <w:p w14:paraId="254970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 xml:space="preserve">            </w:t>
      </w:r>
      <w:r>
        <w:rPr>
          <w:rFonts w:hint="default" w:ascii="Times New Roman" w:hAnsi="Times New Roman" w:eastAsia="宋体" w:cs="Times New Roman"/>
          <w:b/>
          <w:bCs/>
          <w:color w:val="auto"/>
          <w:kern w:val="0"/>
          <w:sz w:val="21"/>
          <w:szCs w:val="21"/>
          <w:highlight w:val="none"/>
          <w:lang w:val="en-US" w:eastAsia="zh-CN" w:bidi="ar-SA"/>
        </w:rPr>
        <w:t>表5.6-2    非正常工况下污染物泄漏浓度     单位：mg/L</w:t>
      </w:r>
    </w:p>
    <w:tbl>
      <w:tblPr>
        <w:tblStyle w:val="12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47"/>
        <w:gridCol w:w="687"/>
        <w:gridCol w:w="763"/>
        <w:gridCol w:w="948"/>
        <w:gridCol w:w="958"/>
        <w:gridCol w:w="889"/>
        <w:gridCol w:w="1007"/>
        <w:gridCol w:w="1012"/>
        <w:gridCol w:w="993"/>
      </w:tblGrid>
      <w:tr w14:paraId="1AD70A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30" w:type="pct"/>
            <w:tcBorders>
              <w:tl2br w:val="nil"/>
              <w:tr2bl w:val="nil"/>
            </w:tcBorders>
            <w:vAlign w:val="center"/>
          </w:tcPr>
          <w:p w14:paraId="3D5135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413" w:type="pct"/>
            <w:tcBorders>
              <w:tl2br w:val="nil"/>
              <w:tr2bl w:val="nil"/>
            </w:tcBorders>
            <w:vAlign w:val="center"/>
          </w:tcPr>
          <w:p w14:paraId="39F432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459" w:type="pct"/>
            <w:tcBorders>
              <w:tl2br w:val="nil"/>
              <w:tr2bl w:val="nil"/>
            </w:tcBorders>
            <w:vAlign w:val="center"/>
          </w:tcPr>
          <w:p w14:paraId="70E1CC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铅</w:t>
            </w:r>
          </w:p>
        </w:tc>
        <w:tc>
          <w:tcPr>
            <w:tcW w:w="570" w:type="pct"/>
            <w:tcBorders>
              <w:tl2br w:val="nil"/>
              <w:tr2bl w:val="nil"/>
            </w:tcBorders>
            <w:vAlign w:val="center"/>
          </w:tcPr>
          <w:p w14:paraId="16C209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砷</w:t>
            </w:r>
          </w:p>
        </w:tc>
        <w:tc>
          <w:tcPr>
            <w:tcW w:w="576" w:type="pct"/>
            <w:tcBorders>
              <w:tl2br w:val="nil"/>
              <w:tr2bl w:val="nil"/>
            </w:tcBorders>
            <w:vAlign w:val="center"/>
          </w:tcPr>
          <w:p w14:paraId="657E09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汞</w:t>
            </w:r>
          </w:p>
        </w:tc>
        <w:tc>
          <w:tcPr>
            <w:tcW w:w="535" w:type="pct"/>
            <w:tcBorders>
              <w:tl2br w:val="nil"/>
              <w:tr2bl w:val="nil"/>
            </w:tcBorders>
            <w:vAlign w:val="center"/>
          </w:tcPr>
          <w:p w14:paraId="11EF27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镉</w:t>
            </w:r>
          </w:p>
        </w:tc>
        <w:tc>
          <w:tcPr>
            <w:tcW w:w="606" w:type="pct"/>
            <w:tcBorders>
              <w:tl2br w:val="nil"/>
              <w:tr2bl w:val="nil"/>
            </w:tcBorders>
            <w:vAlign w:val="center"/>
          </w:tcPr>
          <w:p w14:paraId="2A8D58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铜</w:t>
            </w:r>
          </w:p>
        </w:tc>
        <w:tc>
          <w:tcPr>
            <w:tcW w:w="609" w:type="pct"/>
            <w:tcBorders>
              <w:tl2br w:val="nil"/>
              <w:tr2bl w:val="nil"/>
            </w:tcBorders>
            <w:vAlign w:val="center"/>
          </w:tcPr>
          <w:p w14:paraId="2FAFCF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铬</w:t>
            </w:r>
          </w:p>
        </w:tc>
        <w:tc>
          <w:tcPr>
            <w:tcW w:w="597" w:type="pct"/>
            <w:tcBorders>
              <w:tl2br w:val="nil"/>
              <w:tr2bl w:val="nil"/>
            </w:tcBorders>
            <w:vAlign w:val="center"/>
          </w:tcPr>
          <w:p w14:paraId="183E04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r>
      <w:tr w14:paraId="576FBC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30" w:type="pct"/>
            <w:tcBorders>
              <w:tl2br w:val="nil"/>
              <w:tr2bl w:val="nil"/>
            </w:tcBorders>
            <w:vAlign w:val="center"/>
          </w:tcPr>
          <w:p w14:paraId="18E81A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泄漏浓度</w:t>
            </w:r>
          </w:p>
        </w:tc>
        <w:tc>
          <w:tcPr>
            <w:tcW w:w="413" w:type="pct"/>
            <w:tcBorders>
              <w:tl2br w:val="nil"/>
              <w:tr2bl w:val="nil"/>
            </w:tcBorders>
            <w:vAlign w:val="center"/>
          </w:tcPr>
          <w:p w14:paraId="28F00E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4.91</w:t>
            </w:r>
          </w:p>
        </w:tc>
        <w:tc>
          <w:tcPr>
            <w:tcW w:w="459" w:type="pct"/>
            <w:tcBorders>
              <w:tl2br w:val="nil"/>
              <w:tr2bl w:val="nil"/>
            </w:tcBorders>
            <w:vAlign w:val="center"/>
          </w:tcPr>
          <w:p w14:paraId="7D8682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16.15</w:t>
            </w:r>
          </w:p>
        </w:tc>
        <w:tc>
          <w:tcPr>
            <w:tcW w:w="570" w:type="pct"/>
            <w:tcBorders>
              <w:tl2br w:val="nil"/>
              <w:tr2bl w:val="nil"/>
            </w:tcBorders>
            <w:vAlign w:val="center"/>
          </w:tcPr>
          <w:p w14:paraId="3F818F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39.73</w:t>
            </w:r>
          </w:p>
        </w:tc>
        <w:tc>
          <w:tcPr>
            <w:tcW w:w="576" w:type="pct"/>
            <w:tcBorders>
              <w:tl2br w:val="nil"/>
              <w:tr2bl w:val="nil"/>
            </w:tcBorders>
            <w:vAlign w:val="center"/>
          </w:tcPr>
          <w:p w14:paraId="22135E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535" w:type="pct"/>
            <w:tcBorders>
              <w:tl2br w:val="nil"/>
              <w:tr2bl w:val="nil"/>
            </w:tcBorders>
            <w:vAlign w:val="center"/>
          </w:tcPr>
          <w:p w14:paraId="61BFA3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3.54</w:t>
            </w:r>
          </w:p>
        </w:tc>
        <w:tc>
          <w:tcPr>
            <w:tcW w:w="606" w:type="pct"/>
            <w:tcBorders>
              <w:tl2br w:val="nil"/>
              <w:tr2bl w:val="nil"/>
            </w:tcBorders>
            <w:vAlign w:val="center"/>
          </w:tcPr>
          <w:p w14:paraId="682B1F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59.31</w:t>
            </w:r>
          </w:p>
        </w:tc>
        <w:tc>
          <w:tcPr>
            <w:tcW w:w="609" w:type="pct"/>
            <w:tcBorders>
              <w:tl2br w:val="nil"/>
              <w:tr2bl w:val="nil"/>
            </w:tcBorders>
            <w:vAlign w:val="center"/>
          </w:tcPr>
          <w:p w14:paraId="5E57B3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597" w:type="pct"/>
            <w:tcBorders>
              <w:tl2br w:val="nil"/>
              <w:tr2bl w:val="nil"/>
            </w:tcBorders>
            <w:vAlign w:val="center"/>
          </w:tcPr>
          <w:p w14:paraId="6CD0D7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30.24</w:t>
            </w:r>
          </w:p>
        </w:tc>
      </w:tr>
    </w:tbl>
    <w:p w14:paraId="61E7AD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5.6.3.2地下水环境影响预测与评价</w:t>
      </w:r>
    </w:p>
    <w:p w14:paraId="117B8B77">
      <w:pPr>
        <w:pStyle w:val="10"/>
        <w:keepNext w:val="0"/>
        <w:keepLines w:val="0"/>
        <w:pageBreakBefore w:val="0"/>
        <w:widowControl w:val="0"/>
        <w:numPr>
          <w:ilvl w:val="0"/>
          <w:numId w:val="8"/>
        </w:numPr>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b w:val="0"/>
          <w:bCs/>
          <w:color w:val="auto"/>
          <w:spacing w:val="0"/>
          <w:sz w:val="24"/>
          <w:szCs w:val="24"/>
          <w:highlight w:val="none"/>
          <w:lang w:val="en-US" w:eastAsia="zh-CN"/>
        </w:rPr>
        <w:t>预测因子</w:t>
      </w:r>
    </w:p>
    <w:p w14:paraId="17DAAB18">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根据表5.</w:t>
      </w:r>
      <w:r>
        <w:rPr>
          <w:rFonts w:hint="eastAsia" w:ascii="Times New Roman" w:eastAsia="宋体" w:cs="Times New Roman"/>
          <w:b w:val="0"/>
          <w:bCs/>
          <w:color w:val="auto"/>
          <w:sz w:val="24"/>
          <w:szCs w:val="24"/>
          <w:highlight w:val="none"/>
          <w:lang w:val="en-US" w:eastAsia="zh-CN"/>
        </w:rPr>
        <w:t>6-2</w:t>
      </w:r>
      <w:r>
        <w:rPr>
          <w:rFonts w:hint="default" w:ascii="Times New Roman" w:hAnsi="Times New Roman" w:eastAsia="宋体" w:cs="Times New Roman"/>
          <w:b w:val="0"/>
          <w:bCs/>
          <w:color w:val="auto"/>
          <w:sz w:val="24"/>
          <w:szCs w:val="24"/>
          <w:highlight w:val="none"/>
          <w:lang w:val="en-US" w:eastAsia="zh-CN"/>
        </w:rPr>
        <w:t>，选取浓度相对较大的铜和砷作为预测因子。</w:t>
      </w:r>
    </w:p>
    <w:p w14:paraId="5E8369AE">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lang w:val="en-US" w:eastAsia="zh-CN"/>
        </w:rPr>
        <w:t>2</w:t>
      </w: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lang w:val="en-US" w:eastAsia="zh-CN"/>
        </w:rPr>
        <w:t>模型选择</w:t>
      </w:r>
    </w:p>
    <w:p w14:paraId="7EB017B9">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rPr>
      </w:pPr>
      <w:r>
        <w:rPr>
          <w:rFonts w:hint="default" w:ascii="Times New Roman" w:hAnsi="Times New Roman" w:eastAsia="宋体" w:cs="Times New Roman"/>
          <w:b w:val="0"/>
          <w:bCs/>
          <w:color w:val="auto"/>
          <w:spacing w:val="0"/>
          <w:sz w:val="24"/>
          <w:szCs w:val="24"/>
          <w:highlight w:val="none"/>
        </w:rPr>
        <w:t>项目区及附近区域没有集中式供水水源地，地下水动态稳定，污染物在浅层含水层中的迁移</w:t>
      </w:r>
      <w:r>
        <w:rPr>
          <w:rFonts w:hint="eastAsia" w:asci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rPr>
        <w:t>可根据污染物泄漏的不同位置，根据预测情景及项目区水文地质条件，采用</w:t>
      </w:r>
      <w:r>
        <w:rPr>
          <w:rFonts w:hint="eastAsia" w:ascii="Times New Roman" w:eastAsia="宋体" w:cs="Times New Roman"/>
          <w:b w:val="0"/>
          <w:bCs/>
          <w:color w:val="auto"/>
          <w:spacing w:val="0"/>
          <w:sz w:val="24"/>
          <w:szCs w:val="24"/>
          <w:highlight w:val="none"/>
          <w:lang w:val="en-US" w:eastAsia="zh-CN"/>
        </w:rPr>
        <w:t>解析法</w:t>
      </w:r>
      <w:r>
        <w:rPr>
          <w:rFonts w:hint="default" w:ascii="Times New Roman" w:hAnsi="Times New Roman" w:eastAsia="宋体" w:cs="Times New Roman"/>
          <w:b w:val="0"/>
          <w:bCs/>
          <w:color w:val="auto"/>
          <w:spacing w:val="0"/>
          <w:sz w:val="24"/>
          <w:szCs w:val="24"/>
          <w:highlight w:val="none"/>
          <w:lang w:val="en-US" w:eastAsia="zh-CN"/>
        </w:rPr>
        <w:t>进行预测</w:t>
      </w:r>
      <w:r>
        <w:rPr>
          <w:rFonts w:hint="default" w:ascii="Times New Roman" w:hAnsi="Times New Roman" w:eastAsia="宋体" w:cs="Times New Roman"/>
          <w:b w:val="0"/>
          <w:bCs/>
          <w:color w:val="auto"/>
          <w:spacing w:val="0"/>
          <w:sz w:val="24"/>
          <w:szCs w:val="24"/>
          <w:highlight w:val="none"/>
        </w:rPr>
        <w:t>：</w:t>
      </w:r>
    </w:p>
    <w:p w14:paraId="4130BCBA">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kern w:val="0"/>
          <w:sz w:val="24"/>
          <w:szCs w:val="24"/>
          <w:highlight w:val="none"/>
        </w:rPr>
        <w:object>
          <v:shape id="_x0000_i1051" o:spt="75" type="#_x0000_t75" style="height:48.2pt;width:152.75pt;" o:ole="t" filled="f" o:preferrelative="t" stroked="f" coordsize="21600,21600">
            <v:path/>
            <v:fill on="f" focussize="0,0"/>
            <v:stroke on="f" joinstyle="miter"/>
            <v:imagedata r:id="rId92" o:title=""/>
            <o:lock v:ext="edit" aspectratio="t"/>
            <w10:wrap type="none"/>
            <w10:anchorlock/>
          </v:shape>
          <o:OLEObject Type="Embed" ProgID="Equation.3" ShapeID="_x0000_i1051" DrawAspect="Content" ObjectID="_1468075751" r:id="rId91">
            <o:LockedField>false</o:LockedField>
          </o:OLEObject>
        </w:object>
      </w:r>
    </w:p>
    <w:p w14:paraId="062BC985">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spacing w:val="-5"/>
          <w:sz w:val="24"/>
          <w:szCs w:val="24"/>
          <w:highlight w:val="none"/>
        </w:rPr>
        <w:t>式中：</w:t>
      </w:r>
      <w:r>
        <w:rPr>
          <w:rFonts w:hint="default" w:ascii="Times New Roman" w:hAnsi="Times New Roman" w:eastAsia="宋体" w:cs="Times New Roman"/>
          <w:b w:val="0"/>
          <w:bCs/>
          <w:color w:val="auto"/>
          <w:kern w:val="0"/>
          <w:sz w:val="24"/>
          <w:szCs w:val="24"/>
          <w:highlight w:val="none"/>
        </w:rPr>
        <w:t>x-距注入点的距离，m；</w:t>
      </w:r>
    </w:p>
    <w:p w14:paraId="1E75059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t-时间，d；</w:t>
      </w:r>
    </w:p>
    <w:p w14:paraId="7D7913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C</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x，t</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-t时刻x点处污染物浓度，mg/L；</w:t>
      </w:r>
    </w:p>
    <w:p w14:paraId="30DC48F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m</w:t>
      </w:r>
      <w:r>
        <w:rPr>
          <w:rFonts w:hint="eastAsia"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注入的示踪剂质量，kg；</w:t>
      </w:r>
    </w:p>
    <w:p w14:paraId="74A1F6F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w</w:t>
      </w:r>
      <w:r>
        <w:rPr>
          <w:rFonts w:hint="eastAsia"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横截面面积，m</w:t>
      </w:r>
      <w:r>
        <w:rPr>
          <w:rFonts w:hint="default" w:ascii="Times New Roman" w:hAnsi="Times New Roman" w:eastAsia="宋体" w:cs="Times New Roman"/>
          <w:b w:val="0"/>
          <w:bCs/>
          <w:color w:val="auto"/>
          <w:kern w:val="0"/>
          <w:sz w:val="24"/>
          <w:szCs w:val="24"/>
          <w:highlight w:val="none"/>
          <w:vertAlign w:val="superscript"/>
        </w:rPr>
        <w:t>2</w:t>
      </w:r>
      <w:r>
        <w:rPr>
          <w:rFonts w:hint="default" w:ascii="Times New Roman" w:hAnsi="Times New Roman" w:eastAsia="宋体" w:cs="Times New Roman"/>
          <w:b w:val="0"/>
          <w:bCs/>
          <w:color w:val="auto"/>
          <w:kern w:val="0"/>
          <w:sz w:val="24"/>
          <w:szCs w:val="24"/>
          <w:highlight w:val="none"/>
        </w:rPr>
        <w:t>；</w:t>
      </w:r>
    </w:p>
    <w:p w14:paraId="667A189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u</w:t>
      </w:r>
      <w:r>
        <w:rPr>
          <w:rFonts w:hint="eastAsia"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水流速度，m/d；</w:t>
      </w:r>
    </w:p>
    <w:p w14:paraId="3820E8E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D</w:t>
      </w:r>
      <w:r>
        <w:rPr>
          <w:rFonts w:hint="default" w:ascii="Times New Roman" w:hAnsi="Times New Roman" w:eastAsia="宋体" w:cs="Times New Roman"/>
          <w:b w:val="0"/>
          <w:bCs/>
          <w:color w:val="auto"/>
          <w:kern w:val="0"/>
          <w:sz w:val="24"/>
          <w:szCs w:val="24"/>
          <w:highlight w:val="none"/>
          <w:vertAlign w:val="subscript"/>
        </w:rPr>
        <w:t>L</w:t>
      </w:r>
      <w:r>
        <w:rPr>
          <w:rFonts w:hint="default" w:ascii="Times New Roman" w:hAnsi="Times New Roman" w:eastAsia="宋体" w:cs="Times New Roman"/>
          <w:b w:val="0"/>
          <w:bCs/>
          <w:color w:val="auto"/>
          <w:kern w:val="0"/>
          <w:sz w:val="24"/>
          <w:szCs w:val="24"/>
          <w:highlight w:val="none"/>
        </w:rPr>
        <w:t>-纵向弥散系数，m</w:t>
      </w:r>
      <w:r>
        <w:rPr>
          <w:rFonts w:hint="default" w:ascii="Times New Roman" w:hAnsi="Times New Roman" w:eastAsia="宋体" w:cs="Times New Roman"/>
          <w:b w:val="0"/>
          <w:bCs/>
          <w:color w:val="auto"/>
          <w:kern w:val="0"/>
          <w:sz w:val="24"/>
          <w:szCs w:val="24"/>
          <w:highlight w:val="none"/>
          <w:vertAlign w:val="superscript"/>
        </w:rPr>
        <w:t>2</w:t>
      </w:r>
      <w:r>
        <w:rPr>
          <w:rFonts w:hint="default" w:ascii="Times New Roman" w:hAnsi="Times New Roman" w:eastAsia="宋体" w:cs="Times New Roman"/>
          <w:b w:val="0"/>
          <w:bCs/>
          <w:color w:val="auto"/>
          <w:kern w:val="0"/>
          <w:sz w:val="24"/>
          <w:szCs w:val="24"/>
          <w:highlight w:val="none"/>
        </w:rPr>
        <w:t>/d；</w:t>
      </w:r>
    </w:p>
    <w:p w14:paraId="10C470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n</w:t>
      </w:r>
      <w:r>
        <w:rPr>
          <w:rFonts w:hint="default" w:ascii="Times New Roman" w:hAnsi="Times New Roman" w:eastAsia="宋体" w:cs="Times New Roman"/>
          <w:b w:val="0"/>
          <w:bCs/>
          <w:color w:val="auto"/>
          <w:kern w:val="0"/>
          <w:sz w:val="24"/>
          <w:szCs w:val="24"/>
          <w:highlight w:val="none"/>
          <w:vertAlign w:val="subscript"/>
        </w:rPr>
        <w:t>e</w:t>
      </w:r>
      <w:r>
        <w:rPr>
          <w:rFonts w:hint="eastAsia" w:cs="Times New Roman"/>
          <w:b w:val="0"/>
          <w:bCs/>
          <w:color w:val="auto"/>
          <w:kern w:val="0"/>
          <w:sz w:val="24"/>
          <w:szCs w:val="24"/>
          <w:highlight w:val="none"/>
          <w:vertAlign w:val="subscript"/>
          <w:lang w:eastAsia="zh-CN"/>
        </w:rPr>
        <w:t>－</w:t>
      </w:r>
      <w:r>
        <w:rPr>
          <w:rFonts w:hint="default" w:ascii="Times New Roman" w:hAnsi="Times New Roman" w:eastAsia="宋体" w:cs="Times New Roman"/>
          <w:b w:val="0"/>
          <w:bCs/>
          <w:color w:val="auto"/>
          <w:kern w:val="0"/>
          <w:sz w:val="24"/>
          <w:szCs w:val="24"/>
          <w:highlight w:val="none"/>
        </w:rPr>
        <w:t>有效孔隙度。</w:t>
      </w:r>
    </w:p>
    <w:p w14:paraId="2CE2CA44">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rPr>
      </w:pP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lang w:val="en-US" w:eastAsia="zh-CN"/>
        </w:rPr>
        <w:t>3</w:t>
      </w: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rPr>
        <w:t>模型参数的取值</w:t>
      </w:r>
    </w:p>
    <w:p w14:paraId="37FCE22B">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rPr>
      </w:pPr>
      <w:r>
        <w:rPr>
          <w:rFonts w:hint="default" w:ascii="Times New Roman" w:hAnsi="Times New Roman" w:eastAsia="宋体" w:cs="Times New Roman"/>
          <w:b w:val="0"/>
          <w:bCs/>
          <w:color w:val="auto"/>
          <w:spacing w:val="0"/>
          <w:sz w:val="24"/>
          <w:szCs w:val="24"/>
          <w:highlight w:val="none"/>
        </w:rPr>
        <w:t>主要参数选择见下表。</w:t>
      </w:r>
    </w:p>
    <w:p w14:paraId="025962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表5.6-3    地下水环境预测参数选择</w:t>
      </w:r>
    </w:p>
    <w:tbl>
      <w:tblPr>
        <w:tblStyle w:val="3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410"/>
        <w:gridCol w:w="4286"/>
      </w:tblGrid>
      <w:tr w14:paraId="612B4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5E936046">
            <w:pPr>
              <w:widowControl/>
              <w:adjustRightInd w:val="0"/>
              <w:snapToGrid w:val="0"/>
              <w:spacing w:line="300" w:lineRule="exact"/>
              <w:ind w:firstLine="0" w:firstLineChars="0"/>
              <w:jc w:val="center"/>
              <w:rPr>
                <w:rFonts w:cs="Times New Roman"/>
                <w:b/>
                <w:bCs/>
                <w:color w:val="auto"/>
                <w:kern w:val="0"/>
                <w:sz w:val="21"/>
                <w:szCs w:val="21"/>
                <w:lang w:val="zh-CN"/>
              </w:rPr>
            </w:pPr>
            <w:bookmarkStart w:id="195" w:name="_Toc1665532"/>
            <w:bookmarkStart w:id="196" w:name="_Toc13686"/>
            <w:bookmarkStart w:id="197" w:name="_Toc18667"/>
            <w:r>
              <w:rPr>
                <w:rFonts w:cs="Times New Roman"/>
                <w:b/>
                <w:bCs/>
                <w:color w:val="auto"/>
                <w:kern w:val="0"/>
                <w:sz w:val="21"/>
                <w:szCs w:val="21"/>
                <w:lang w:val="zh-CN"/>
              </w:rPr>
              <w:t>序号</w:t>
            </w:r>
            <w:bookmarkEnd w:id="195"/>
            <w:bookmarkEnd w:id="196"/>
            <w:bookmarkEnd w:id="197"/>
          </w:p>
        </w:tc>
        <w:tc>
          <w:tcPr>
            <w:tcW w:w="1134" w:type="dxa"/>
            <w:vAlign w:val="center"/>
          </w:tcPr>
          <w:p w14:paraId="12F1B582">
            <w:pPr>
              <w:widowControl/>
              <w:adjustRightInd w:val="0"/>
              <w:snapToGrid w:val="0"/>
              <w:spacing w:line="300" w:lineRule="exact"/>
              <w:ind w:firstLine="0" w:firstLineChars="0"/>
              <w:jc w:val="center"/>
              <w:rPr>
                <w:rFonts w:cs="Times New Roman"/>
                <w:b/>
                <w:bCs/>
                <w:color w:val="auto"/>
                <w:kern w:val="0"/>
                <w:sz w:val="21"/>
                <w:szCs w:val="21"/>
                <w:lang w:val="zh-CN"/>
              </w:rPr>
            </w:pPr>
            <w:bookmarkStart w:id="198" w:name="_Toc1665533"/>
            <w:bookmarkStart w:id="199" w:name="_Toc21385"/>
            <w:bookmarkStart w:id="200" w:name="_Toc7767"/>
            <w:r>
              <w:rPr>
                <w:rFonts w:cs="Times New Roman"/>
                <w:b/>
                <w:bCs/>
                <w:color w:val="auto"/>
                <w:kern w:val="0"/>
                <w:sz w:val="21"/>
                <w:szCs w:val="21"/>
                <w:lang w:val="zh-CN"/>
              </w:rPr>
              <w:t>参数符号</w:t>
            </w:r>
            <w:bookmarkEnd w:id="198"/>
            <w:bookmarkEnd w:id="199"/>
            <w:bookmarkEnd w:id="200"/>
          </w:p>
        </w:tc>
        <w:tc>
          <w:tcPr>
            <w:tcW w:w="2410" w:type="dxa"/>
            <w:vAlign w:val="center"/>
          </w:tcPr>
          <w:p w14:paraId="258F74D7">
            <w:pPr>
              <w:widowControl/>
              <w:adjustRightInd w:val="0"/>
              <w:snapToGrid w:val="0"/>
              <w:spacing w:line="300" w:lineRule="exact"/>
              <w:ind w:firstLine="0" w:firstLineChars="0"/>
              <w:jc w:val="center"/>
              <w:rPr>
                <w:rFonts w:cs="Times New Roman"/>
                <w:b/>
                <w:bCs/>
                <w:color w:val="auto"/>
                <w:kern w:val="0"/>
                <w:sz w:val="21"/>
                <w:szCs w:val="21"/>
                <w:lang w:val="zh-CN"/>
              </w:rPr>
            </w:pPr>
            <w:bookmarkStart w:id="201" w:name="_Toc17744"/>
            <w:bookmarkStart w:id="202" w:name="_Toc14745"/>
            <w:bookmarkStart w:id="203" w:name="_Toc1665534"/>
            <w:r>
              <w:rPr>
                <w:rFonts w:cs="Times New Roman"/>
                <w:b/>
                <w:bCs/>
                <w:color w:val="auto"/>
                <w:kern w:val="0"/>
                <w:sz w:val="21"/>
                <w:szCs w:val="21"/>
                <w:lang w:val="zh-CN"/>
              </w:rPr>
              <w:t>参数名称</w:t>
            </w:r>
            <w:bookmarkEnd w:id="201"/>
            <w:bookmarkEnd w:id="202"/>
            <w:bookmarkEnd w:id="203"/>
          </w:p>
        </w:tc>
        <w:tc>
          <w:tcPr>
            <w:tcW w:w="4286" w:type="dxa"/>
            <w:vAlign w:val="center"/>
          </w:tcPr>
          <w:p w14:paraId="6E6AC852">
            <w:pPr>
              <w:widowControl/>
              <w:adjustRightInd w:val="0"/>
              <w:snapToGrid w:val="0"/>
              <w:spacing w:line="300" w:lineRule="exact"/>
              <w:ind w:firstLine="0" w:firstLineChars="0"/>
              <w:jc w:val="center"/>
              <w:rPr>
                <w:rFonts w:cs="Times New Roman"/>
                <w:b/>
                <w:bCs/>
                <w:color w:val="auto"/>
                <w:kern w:val="0"/>
                <w:sz w:val="21"/>
                <w:szCs w:val="21"/>
                <w:lang w:val="zh-CN"/>
              </w:rPr>
            </w:pPr>
            <w:bookmarkStart w:id="204" w:name="_Toc11524"/>
            <w:bookmarkStart w:id="205" w:name="_Toc21147"/>
            <w:bookmarkStart w:id="206" w:name="_Toc1665535"/>
            <w:r>
              <w:rPr>
                <w:rFonts w:cs="Times New Roman"/>
                <w:b/>
                <w:bCs/>
                <w:color w:val="auto"/>
                <w:kern w:val="0"/>
                <w:sz w:val="21"/>
                <w:szCs w:val="21"/>
                <w:lang w:val="zh-CN"/>
              </w:rPr>
              <w:t>参考数值</w:t>
            </w:r>
            <w:bookmarkEnd w:id="204"/>
            <w:bookmarkEnd w:id="205"/>
            <w:bookmarkEnd w:id="206"/>
          </w:p>
        </w:tc>
      </w:tr>
      <w:tr w14:paraId="25BE4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0F6F5109">
            <w:pPr>
              <w:widowControl/>
              <w:adjustRightInd w:val="0"/>
              <w:snapToGrid w:val="0"/>
              <w:spacing w:line="300" w:lineRule="exact"/>
              <w:ind w:firstLine="0" w:firstLineChars="0"/>
              <w:jc w:val="center"/>
              <w:rPr>
                <w:rFonts w:cs="Times New Roman"/>
                <w:color w:val="auto"/>
                <w:kern w:val="0"/>
                <w:sz w:val="21"/>
                <w:szCs w:val="21"/>
                <w:lang w:val="zh-CN"/>
              </w:rPr>
            </w:pPr>
            <w:bookmarkStart w:id="207" w:name="_Toc31809"/>
            <w:bookmarkStart w:id="208" w:name="_Toc28319"/>
            <w:bookmarkStart w:id="209" w:name="_Toc1665536"/>
            <w:r>
              <w:rPr>
                <w:rFonts w:cs="Times New Roman"/>
                <w:color w:val="auto"/>
                <w:kern w:val="0"/>
                <w:sz w:val="21"/>
                <w:szCs w:val="21"/>
                <w:lang w:val="zh-CN"/>
              </w:rPr>
              <w:t>1</w:t>
            </w:r>
            <w:bookmarkEnd w:id="207"/>
            <w:bookmarkEnd w:id="208"/>
            <w:bookmarkEnd w:id="209"/>
          </w:p>
        </w:tc>
        <w:tc>
          <w:tcPr>
            <w:tcW w:w="1134" w:type="dxa"/>
            <w:vAlign w:val="center"/>
          </w:tcPr>
          <w:p w14:paraId="18575402">
            <w:pPr>
              <w:widowControl/>
              <w:adjustRightInd w:val="0"/>
              <w:snapToGrid w:val="0"/>
              <w:spacing w:line="300" w:lineRule="exact"/>
              <w:ind w:firstLine="0" w:firstLineChars="0"/>
              <w:jc w:val="center"/>
              <w:rPr>
                <w:rFonts w:cs="Times New Roman"/>
                <w:color w:val="auto"/>
                <w:kern w:val="0"/>
                <w:sz w:val="21"/>
                <w:szCs w:val="21"/>
                <w:lang w:val="zh-CN"/>
              </w:rPr>
            </w:pPr>
            <w:bookmarkStart w:id="210" w:name="_Toc28709"/>
            <w:bookmarkStart w:id="211" w:name="_Toc1665537"/>
            <w:bookmarkStart w:id="212" w:name="_Toc16939"/>
            <w:r>
              <w:rPr>
                <w:rFonts w:cs="Times New Roman"/>
                <w:color w:val="auto"/>
                <w:kern w:val="0"/>
                <w:position w:val="2"/>
                <w:sz w:val="21"/>
                <w:szCs w:val="21"/>
                <w:lang w:val="zh-CN"/>
              </w:rPr>
              <w:t>m</w:t>
            </w:r>
            <w:r>
              <w:rPr>
                <w:rFonts w:cs="Times New Roman"/>
                <w:color w:val="auto"/>
                <w:kern w:val="0"/>
                <w:sz w:val="21"/>
                <w:szCs w:val="21"/>
                <w:vertAlign w:val="subscript"/>
                <w:lang w:val="zh-CN"/>
              </w:rPr>
              <w:t>M</w:t>
            </w:r>
            <w:bookmarkEnd w:id="210"/>
            <w:bookmarkEnd w:id="211"/>
            <w:bookmarkEnd w:id="212"/>
          </w:p>
        </w:tc>
        <w:tc>
          <w:tcPr>
            <w:tcW w:w="2410" w:type="dxa"/>
            <w:vAlign w:val="center"/>
          </w:tcPr>
          <w:p w14:paraId="4C0C41A2">
            <w:pPr>
              <w:widowControl/>
              <w:adjustRightInd w:val="0"/>
              <w:snapToGrid w:val="0"/>
              <w:spacing w:line="300" w:lineRule="exact"/>
              <w:ind w:firstLine="0" w:firstLineChars="0"/>
              <w:jc w:val="center"/>
              <w:rPr>
                <w:rFonts w:cs="Times New Roman"/>
                <w:color w:val="auto"/>
                <w:kern w:val="0"/>
                <w:sz w:val="21"/>
                <w:szCs w:val="21"/>
                <w:lang w:val="zh-CN"/>
              </w:rPr>
            </w:pPr>
            <w:bookmarkStart w:id="213" w:name="_Toc2753"/>
            <w:bookmarkStart w:id="214" w:name="_Toc1665538"/>
            <w:bookmarkStart w:id="215" w:name="_Toc16782"/>
            <w:r>
              <w:rPr>
                <w:rFonts w:cs="Times New Roman"/>
                <w:color w:val="auto"/>
                <w:kern w:val="0"/>
                <w:position w:val="2"/>
                <w:sz w:val="21"/>
                <w:szCs w:val="21"/>
                <w:lang w:val="zh-CN"/>
              </w:rPr>
              <w:t>瞬时注入的质量</w:t>
            </w:r>
            <w:bookmarkEnd w:id="213"/>
            <w:bookmarkEnd w:id="214"/>
            <w:bookmarkEnd w:id="215"/>
          </w:p>
        </w:tc>
        <w:tc>
          <w:tcPr>
            <w:tcW w:w="4286" w:type="dxa"/>
            <w:vAlign w:val="center"/>
          </w:tcPr>
          <w:p w14:paraId="132A420E">
            <w:pPr>
              <w:widowControl/>
              <w:adjustRightInd w:val="0"/>
              <w:snapToGrid w:val="0"/>
              <w:spacing w:line="300" w:lineRule="exact"/>
              <w:ind w:firstLine="0" w:firstLineChars="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砷：1.8g，铜：2.8g</w:t>
            </w:r>
          </w:p>
        </w:tc>
      </w:tr>
      <w:tr w14:paraId="75A79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7D07AD20">
            <w:pPr>
              <w:widowControl/>
              <w:adjustRightInd w:val="0"/>
              <w:snapToGrid w:val="0"/>
              <w:spacing w:line="300" w:lineRule="exact"/>
              <w:ind w:firstLine="0" w:firstLineChars="0"/>
              <w:jc w:val="center"/>
              <w:rPr>
                <w:rFonts w:cs="Times New Roman"/>
                <w:color w:val="auto"/>
                <w:kern w:val="0"/>
                <w:sz w:val="21"/>
                <w:szCs w:val="21"/>
                <w:lang w:val="zh-CN"/>
              </w:rPr>
            </w:pPr>
            <w:bookmarkStart w:id="216" w:name="_Toc29302"/>
            <w:bookmarkStart w:id="217" w:name="_Toc1665540"/>
            <w:bookmarkStart w:id="218" w:name="_Toc10052"/>
            <w:r>
              <w:rPr>
                <w:rFonts w:cs="Times New Roman"/>
                <w:color w:val="auto"/>
                <w:kern w:val="0"/>
                <w:sz w:val="21"/>
                <w:szCs w:val="21"/>
                <w:lang w:val="zh-CN"/>
              </w:rPr>
              <w:t>2</w:t>
            </w:r>
            <w:bookmarkEnd w:id="216"/>
            <w:bookmarkEnd w:id="217"/>
            <w:bookmarkEnd w:id="218"/>
          </w:p>
        </w:tc>
        <w:tc>
          <w:tcPr>
            <w:tcW w:w="1134" w:type="dxa"/>
            <w:vAlign w:val="center"/>
          </w:tcPr>
          <w:p w14:paraId="4D2AE35A">
            <w:pPr>
              <w:widowControl/>
              <w:adjustRightInd w:val="0"/>
              <w:snapToGrid w:val="0"/>
              <w:spacing w:line="300" w:lineRule="exact"/>
              <w:ind w:firstLine="0" w:firstLineChars="0"/>
              <w:jc w:val="center"/>
              <w:rPr>
                <w:rFonts w:cs="Times New Roman"/>
                <w:color w:val="auto"/>
                <w:kern w:val="0"/>
                <w:sz w:val="21"/>
                <w:szCs w:val="21"/>
                <w:lang w:val="zh-CN"/>
              </w:rPr>
            </w:pPr>
            <w:bookmarkStart w:id="219" w:name="_Toc1665541"/>
            <w:bookmarkStart w:id="220" w:name="_Toc1241"/>
            <w:bookmarkStart w:id="221" w:name="_Toc19266"/>
            <w:r>
              <w:rPr>
                <w:rFonts w:cs="Times New Roman"/>
                <w:color w:val="auto"/>
                <w:kern w:val="0"/>
                <w:sz w:val="21"/>
                <w:szCs w:val="21"/>
                <w:lang w:val="zh-CN"/>
              </w:rPr>
              <w:t>t</w:t>
            </w:r>
            <w:bookmarkEnd w:id="219"/>
            <w:bookmarkEnd w:id="220"/>
            <w:bookmarkEnd w:id="221"/>
          </w:p>
        </w:tc>
        <w:tc>
          <w:tcPr>
            <w:tcW w:w="2410" w:type="dxa"/>
            <w:vAlign w:val="center"/>
          </w:tcPr>
          <w:p w14:paraId="1FFA1D98">
            <w:pPr>
              <w:widowControl/>
              <w:adjustRightInd w:val="0"/>
              <w:snapToGrid w:val="0"/>
              <w:spacing w:line="300" w:lineRule="exact"/>
              <w:ind w:firstLine="0" w:firstLineChars="0"/>
              <w:jc w:val="center"/>
              <w:rPr>
                <w:rFonts w:cs="Times New Roman"/>
                <w:color w:val="auto"/>
                <w:kern w:val="0"/>
                <w:sz w:val="21"/>
                <w:szCs w:val="21"/>
                <w:lang w:val="zh-CN"/>
              </w:rPr>
            </w:pPr>
            <w:bookmarkStart w:id="222" w:name="_Toc1665542"/>
            <w:bookmarkStart w:id="223" w:name="_Toc12093"/>
            <w:bookmarkStart w:id="224" w:name="_Toc3367"/>
            <w:r>
              <w:rPr>
                <w:rFonts w:cs="Times New Roman"/>
                <w:color w:val="auto"/>
                <w:kern w:val="0"/>
                <w:sz w:val="21"/>
                <w:szCs w:val="21"/>
                <w:lang w:val="zh-CN"/>
              </w:rPr>
              <w:t>时间</w:t>
            </w:r>
            <w:bookmarkEnd w:id="222"/>
            <w:bookmarkEnd w:id="223"/>
            <w:bookmarkEnd w:id="224"/>
          </w:p>
        </w:tc>
        <w:tc>
          <w:tcPr>
            <w:tcW w:w="4286" w:type="dxa"/>
            <w:vAlign w:val="center"/>
          </w:tcPr>
          <w:p w14:paraId="77131E3A">
            <w:pPr>
              <w:widowControl/>
              <w:adjustRightInd w:val="0"/>
              <w:snapToGrid w:val="0"/>
              <w:spacing w:line="300" w:lineRule="exact"/>
              <w:ind w:firstLine="0" w:firstLineChars="0"/>
              <w:jc w:val="center"/>
              <w:rPr>
                <w:rFonts w:hint="default" w:eastAsia="宋体" w:cs="Times New Roman"/>
                <w:color w:val="auto"/>
                <w:kern w:val="0"/>
                <w:sz w:val="21"/>
                <w:szCs w:val="21"/>
                <w:lang w:val="en-US" w:eastAsia="zh-CN"/>
              </w:rPr>
            </w:pPr>
            <w:bookmarkStart w:id="225" w:name="_Toc7117"/>
            <w:bookmarkStart w:id="226" w:name="_Toc1665543"/>
            <w:bookmarkStart w:id="227" w:name="_Toc26588"/>
            <w:r>
              <w:rPr>
                <w:rFonts w:cs="Times New Roman"/>
                <w:color w:val="auto"/>
                <w:kern w:val="0"/>
                <w:sz w:val="21"/>
                <w:szCs w:val="21"/>
                <w:lang w:val="zh-CN"/>
              </w:rPr>
              <w:t>100d、1000d</w:t>
            </w:r>
            <w:bookmarkEnd w:id="225"/>
            <w:bookmarkEnd w:id="226"/>
            <w:bookmarkEnd w:id="227"/>
            <w:r>
              <w:rPr>
                <w:rFonts w:hint="eastAsia" w:cs="Times New Roman"/>
                <w:color w:val="auto"/>
                <w:kern w:val="0"/>
                <w:sz w:val="21"/>
                <w:szCs w:val="21"/>
                <w:lang w:val="zh-CN"/>
              </w:rPr>
              <w:t>、</w:t>
            </w:r>
            <w:r>
              <w:rPr>
                <w:rFonts w:hint="eastAsia" w:cs="Times New Roman"/>
                <w:color w:val="auto"/>
                <w:kern w:val="0"/>
                <w:sz w:val="21"/>
                <w:szCs w:val="21"/>
                <w:lang w:val="en-US" w:eastAsia="zh-CN"/>
              </w:rPr>
              <w:t>3650d</w:t>
            </w:r>
          </w:p>
        </w:tc>
      </w:tr>
      <w:tr w14:paraId="44A12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7D8F8309">
            <w:pPr>
              <w:widowControl/>
              <w:adjustRightInd w:val="0"/>
              <w:snapToGrid w:val="0"/>
              <w:spacing w:line="300" w:lineRule="exact"/>
              <w:ind w:firstLine="0" w:firstLineChars="0"/>
              <w:jc w:val="center"/>
              <w:rPr>
                <w:rFonts w:cs="Times New Roman"/>
                <w:color w:val="auto"/>
                <w:kern w:val="0"/>
                <w:sz w:val="21"/>
                <w:szCs w:val="21"/>
                <w:lang w:val="zh-CN"/>
              </w:rPr>
            </w:pPr>
            <w:bookmarkStart w:id="228" w:name="_Toc6415"/>
            <w:bookmarkStart w:id="229" w:name="_Toc16716"/>
            <w:bookmarkStart w:id="230" w:name="_Toc1665544"/>
            <w:r>
              <w:rPr>
                <w:rFonts w:cs="Times New Roman"/>
                <w:color w:val="auto"/>
                <w:kern w:val="0"/>
                <w:sz w:val="21"/>
                <w:szCs w:val="21"/>
                <w:lang w:val="zh-CN"/>
              </w:rPr>
              <w:t>3</w:t>
            </w:r>
            <w:bookmarkEnd w:id="228"/>
            <w:bookmarkEnd w:id="229"/>
            <w:bookmarkEnd w:id="230"/>
          </w:p>
        </w:tc>
        <w:tc>
          <w:tcPr>
            <w:tcW w:w="1134" w:type="dxa"/>
            <w:vAlign w:val="center"/>
          </w:tcPr>
          <w:p w14:paraId="6DE8D235">
            <w:pPr>
              <w:widowControl/>
              <w:adjustRightInd w:val="0"/>
              <w:snapToGrid w:val="0"/>
              <w:spacing w:line="300" w:lineRule="exact"/>
              <w:ind w:firstLine="0" w:firstLineChars="0"/>
              <w:jc w:val="center"/>
              <w:rPr>
                <w:rFonts w:cs="Times New Roman"/>
                <w:color w:val="auto"/>
                <w:kern w:val="0"/>
                <w:sz w:val="21"/>
                <w:szCs w:val="21"/>
                <w:lang w:val="zh-CN"/>
              </w:rPr>
            </w:pPr>
            <w:bookmarkStart w:id="231" w:name="_Toc29467"/>
            <w:bookmarkStart w:id="232" w:name="_Toc27390"/>
            <w:bookmarkStart w:id="233" w:name="_Toc1665545"/>
            <w:r>
              <w:rPr>
                <w:rFonts w:cs="Times New Roman"/>
                <w:color w:val="auto"/>
                <w:kern w:val="0"/>
                <w:sz w:val="21"/>
                <w:szCs w:val="21"/>
                <w:lang w:val="zh-CN"/>
              </w:rPr>
              <w:t>M</w:t>
            </w:r>
            <w:bookmarkEnd w:id="231"/>
            <w:bookmarkEnd w:id="232"/>
            <w:bookmarkEnd w:id="233"/>
          </w:p>
        </w:tc>
        <w:tc>
          <w:tcPr>
            <w:tcW w:w="2410" w:type="dxa"/>
            <w:vAlign w:val="center"/>
          </w:tcPr>
          <w:p w14:paraId="3F4D5D27">
            <w:pPr>
              <w:widowControl/>
              <w:adjustRightInd w:val="0"/>
              <w:snapToGrid w:val="0"/>
              <w:spacing w:line="300" w:lineRule="exact"/>
              <w:ind w:firstLine="0" w:firstLineChars="0"/>
              <w:jc w:val="center"/>
              <w:rPr>
                <w:rFonts w:cs="Times New Roman"/>
                <w:color w:val="auto"/>
                <w:kern w:val="0"/>
                <w:sz w:val="21"/>
                <w:szCs w:val="21"/>
                <w:lang w:val="zh-CN"/>
              </w:rPr>
            </w:pPr>
            <w:bookmarkStart w:id="234" w:name="_Toc1665546"/>
            <w:bookmarkStart w:id="235" w:name="_Toc18225"/>
            <w:bookmarkStart w:id="236" w:name="_Toc19474"/>
            <w:r>
              <w:rPr>
                <w:rFonts w:cs="Times New Roman"/>
                <w:color w:val="auto"/>
                <w:kern w:val="0"/>
                <w:sz w:val="21"/>
                <w:szCs w:val="21"/>
                <w:lang w:val="zh-CN"/>
              </w:rPr>
              <w:t>含水层厚度</w:t>
            </w:r>
            <w:bookmarkEnd w:id="234"/>
            <w:bookmarkEnd w:id="235"/>
            <w:bookmarkEnd w:id="236"/>
          </w:p>
        </w:tc>
        <w:tc>
          <w:tcPr>
            <w:tcW w:w="4286" w:type="dxa"/>
            <w:vAlign w:val="center"/>
          </w:tcPr>
          <w:p w14:paraId="026F54F0">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25m</w:t>
            </w:r>
          </w:p>
        </w:tc>
      </w:tr>
      <w:tr w14:paraId="0D2DA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4F3D9ECF">
            <w:pPr>
              <w:widowControl/>
              <w:adjustRightInd w:val="0"/>
              <w:snapToGrid w:val="0"/>
              <w:spacing w:line="300" w:lineRule="exact"/>
              <w:ind w:firstLine="0" w:firstLineChars="0"/>
              <w:jc w:val="center"/>
              <w:rPr>
                <w:rFonts w:cs="Times New Roman"/>
                <w:color w:val="auto"/>
                <w:kern w:val="0"/>
                <w:sz w:val="21"/>
                <w:szCs w:val="21"/>
                <w:lang w:val="zh-CN"/>
              </w:rPr>
            </w:pPr>
            <w:bookmarkStart w:id="237" w:name="_Toc1665547"/>
            <w:bookmarkStart w:id="238" w:name="_Toc19916"/>
            <w:bookmarkStart w:id="239" w:name="_Toc23859"/>
            <w:r>
              <w:rPr>
                <w:rFonts w:cs="Times New Roman"/>
                <w:color w:val="auto"/>
                <w:kern w:val="0"/>
                <w:sz w:val="21"/>
                <w:szCs w:val="21"/>
                <w:lang w:val="zh-CN"/>
              </w:rPr>
              <w:t>4</w:t>
            </w:r>
            <w:bookmarkEnd w:id="237"/>
            <w:bookmarkEnd w:id="238"/>
            <w:bookmarkEnd w:id="239"/>
          </w:p>
        </w:tc>
        <w:tc>
          <w:tcPr>
            <w:tcW w:w="1134" w:type="dxa"/>
            <w:vAlign w:val="center"/>
          </w:tcPr>
          <w:p w14:paraId="13AC7322">
            <w:pPr>
              <w:widowControl/>
              <w:adjustRightInd w:val="0"/>
              <w:snapToGrid w:val="0"/>
              <w:spacing w:line="300" w:lineRule="exact"/>
              <w:ind w:firstLine="0" w:firstLineChars="0"/>
              <w:jc w:val="center"/>
              <w:rPr>
                <w:rFonts w:cs="Times New Roman"/>
                <w:color w:val="auto"/>
                <w:kern w:val="0"/>
                <w:sz w:val="21"/>
                <w:szCs w:val="21"/>
                <w:lang w:val="zh-CN"/>
              </w:rPr>
            </w:pPr>
            <w:bookmarkStart w:id="240" w:name="_Toc23407"/>
            <w:bookmarkStart w:id="241" w:name="_Toc31121"/>
            <w:bookmarkStart w:id="242" w:name="_Toc1665548"/>
            <w:r>
              <w:rPr>
                <w:rFonts w:cs="Times New Roman"/>
                <w:color w:val="auto"/>
                <w:kern w:val="0"/>
                <w:sz w:val="21"/>
                <w:szCs w:val="21"/>
                <w:lang w:val="zh-CN"/>
              </w:rPr>
              <w:t>u</w:t>
            </w:r>
            <w:bookmarkEnd w:id="240"/>
            <w:bookmarkEnd w:id="241"/>
            <w:bookmarkEnd w:id="242"/>
          </w:p>
        </w:tc>
        <w:tc>
          <w:tcPr>
            <w:tcW w:w="2410" w:type="dxa"/>
            <w:vAlign w:val="center"/>
          </w:tcPr>
          <w:p w14:paraId="560628A8">
            <w:pPr>
              <w:widowControl/>
              <w:adjustRightInd w:val="0"/>
              <w:snapToGrid w:val="0"/>
              <w:spacing w:line="300" w:lineRule="exact"/>
              <w:ind w:firstLine="0" w:firstLineChars="0"/>
              <w:jc w:val="center"/>
              <w:rPr>
                <w:rFonts w:cs="Times New Roman"/>
                <w:color w:val="auto"/>
                <w:kern w:val="0"/>
                <w:sz w:val="21"/>
                <w:szCs w:val="21"/>
                <w:lang w:val="zh-CN"/>
              </w:rPr>
            </w:pPr>
            <w:bookmarkStart w:id="243" w:name="_Toc1665549"/>
            <w:bookmarkStart w:id="244" w:name="_Toc2486"/>
            <w:bookmarkStart w:id="245" w:name="_Toc13567"/>
            <w:r>
              <w:rPr>
                <w:rFonts w:cs="Times New Roman"/>
                <w:color w:val="auto"/>
                <w:kern w:val="0"/>
                <w:sz w:val="21"/>
                <w:szCs w:val="21"/>
                <w:lang w:val="zh-CN"/>
              </w:rPr>
              <w:t>水流速度</w:t>
            </w:r>
            <w:bookmarkEnd w:id="243"/>
            <w:bookmarkEnd w:id="244"/>
            <w:bookmarkEnd w:id="245"/>
          </w:p>
        </w:tc>
        <w:tc>
          <w:tcPr>
            <w:tcW w:w="4286" w:type="dxa"/>
            <w:vAlign w:val="center"/>
          </w:tcPr>
          <w:p w14:paraId="6C820DCE">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0.34m/d</w:t>
            </w:r>
          </w:p>
        </w:tc>
      </w:tr>
      <w:tr w14:paraId="6EF07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2F33DC4F">
            <w:pPr>
              <w:widowControl/>
              <w:adjustRightInd w:val="0"/>
              <w:snapToGrid w:val="0"/>
              <w:spacing w:line="300" w:lineRule="exact"/>
              <w:ind w:firstLine="0" w:firstLineChars="0"/>
              <w:jc w:val="center"/>
              <w:rPr>
                <w:rFonts w:cs="Times New Roman"/>
                <w:color w:val="auto"/>
                <w:kern w:val="0"/>
                <w:sz w:val="21"/>
                <w:szCs w:val="21"/>
                <w:lang w:val="zh-CN"/>
              </w:rPr>
            </w:pPr>
            <w:bookmarkStart w:id="246" w:name="_Toc12305"/>
            <w:bookmarkStart w:id="247" w:name="_Toc26681"/>
            <w:bookmarkStart w:id="248" w:name="_Toc1665550"/>
            <w:r>
              <w:rPr>
                <w:rFonts w:cs="Times New Roman"/>
                <w:color w:val="auto"/>
                <w:kern w:val="0"/>
                <w:sz w:val="21"/>
                <w:szCs w:val="21"/>
                <w:lang w:val="zh-CN"/>
              </w:rPr>
              <w:t>5</w:t>
            </w:r>
            <w:bookmarkEnd w:id="246"/>
            <w:bookmarkEnd w:id="247"/>
            <w:bookmarkEnd w:id="248"/>
          </w:p>
        </w:tc>
        <w:tc>
          <w:tcPr>
            <w:tcW w:w="1134" w:type="dxa"/>
            <w:vAlign w:val="center"/>
          </w:tcPr>
          <w:p w14:paraId="580BDD1A">
            <w:pPr>
              <w:widowControl/>
              <w:adjustRightInd w:val="0"/>
              <w:snapToGrid w:val="0"/>
              <w:spacing w:line="300" w:lineRule="exact"/>
              <w:ind w:firstLine="0" w:firstLineChars="0"/>
              <w:jc w:val="center"/>
              <w:rPr>
                <w:rFonts w:cs="Times New Roman"/>
                <w:color w:val="auto"/>
                <w:kern w:val="0"/>
                <w:sz w:val="21"/>
                <w:szCs w:val="21"/>
                <w:lang w:val="zh-CN"/>
              </w:rPr>
            </w:pPr>
            <w:bookmarkStart w:id="249" w:name="_Toc14854"/>
            <w:bookmarkStart w:id="250" w:name="_Toc1665551"/>
            <w:bookmarkStart w:id="251" w:name="_Toc9165"/>
            <w:r>
              <w:rPr>
                <w:rFonts w:cs="Times New Roman"/>
                <w:color w:val="auto"/>
                <w:kern w:val="0"/>
                <w:sz w:val="21"/>
                <w:szCs w:val="21"/>
                <w:lang w:val="zh-CN"/>
              </w:rPr>
              <w:t>D</w:t>
            </w:r>
            <w:r>
              <w:rPr>
                <w:rFonts w:cs="Times New Roman"/>
                <w:color w:val="auto"/>
                <w:kern w:val="0"/>
                <w:sz w:val="21"/>
                <w:szCs w:val="21"/>
                <w:vertAlign w:val="subscript"/>
                <w:lang w:val="zh-CN"/>
              </w:rPr>
              <w:t>L</w:t>
            </w:r>
            <w:bookmarkEnd w:id="249"/>
            <w:bookmarkEnd w:id="250"/>
            <w:bookmarkEnd w:id="251"/>
          </w:p>
        </w:tc>
        <w:tc>
          <w:tcPr>
            <w:tcW w:w="2410" w:type="dxa"/>
            <w:vAlign w:val="center"/>
          </w:tcPr>
          <w:p w14:paraId="0ACB5412">
            <w:pPr>
              <w:widowControl/>
              <w:adjustRightInd w:val="0"/>
              <w:snapToGrid w:val="0"/>
              <w:spacing w:line="300" w:lineRule="exact"/>
              <w:ind w:firstLine="0" w:firstLineChars="0"/>
              <w:jc w:val="center"/>
              <w:rPr>
                <w:rFonts w:cs="Times New Roman"/>
                <w:color w:val="auto"/>
                <w:kern w:val="0"/>
                <w:sz w:val="21"/>
                <w:szCs w:val="21"/>
                <w:lang w:val="zh-CN"/>
              </w:rPr>
            </w:pPr>
            <w:bookmarkStart w:id="252" w:name="_Toc13146"/>
            <w:bookmarkStart w:id="253" w:name="_Toc1665552"/>
            <w:bookmarkStart w:id="254" w:name="_Toc8164"/>
            <w:r>
              <w:rPr>
                <w:rFonts w:cs="Times New Roman"/>
                <w:color w:val="auto"/>
                <w:spacing w:val="-1"/>
                <w:kern w:val="0"/>
                <w:sz w:val="21"/>
                <w:szCs w:val="21"/>
                <w:lang w:val="zh-CN"/>
              </w:rPr>
              <w:t>纵向弥散系数</w:t>
            </w:r>
            <w:bookmarkEnd w:id="252"/>
            <w:bookmarkEnd w:id="253"/>
            <w:bookmarkEnd w:id="254"/>
          </w:p>
        </w:tc>
        <w:tc>
          <w:tcPr>
            <w:tcW w:w="4286" w:type="dxa"/>
            <w:vAlign w:val="center"/>
          </w:tcPr>
          <w:p w14:paraId="38A13DE0">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0.1m</w:t>
            </w:r>
            <w:r>
              <w:rPr>
                <w:rFonts w:cs="Times New Roman"/>
                <w:color w:val="auto"/>
                <w:kern w:val="0"/>
                <w:sz w:val="21"/>
                <w:szCs w:val="21"/>
                <w:vertAlign w:val="superscript"/>
                <w:lang w:bidi="ar"/>
              </w:rPr>
              <w:t>2</w:t>
            </w:r>
            <w:r>
              <w:rPr>
                <w:rFonts w:cs="Times New Roman"/>
                <w:color w:val="auto"/>
                <w:kern w:val="0"/>
                <w:sz w:val="21"/>
                <w:szCs w:val="21"/>
                <w:lang w:bidi="ar"/>
              </w:rPr>
              <w:t>/d</w:t>
            </w:r>
          </w:p>
        </w:tc>
      </w:tr>
      <w:tr w14:paraId="66E36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018F501D">
            <w:pPr>
              <w:widowControl/>
              <w:adjustRightInd w:val="0"/>
              <w:snapToGrid w:val="0"/>
              <w:spacing w:line="300" w:lineRule="exact"/>
              <w:ind w:firstLine="0" w:firstLineChars="0"/>
              <w:jc w:val="center"/>
              <w:rPr>
                <w:rFonts w:cs="Times New Roman"/>
                <w:color w:val="auto"/>
                <w:kern w:val="0"/>
                <w:sz w:val="21"/>
                <w:szCs w:val="21"/>
                <w:lang w:val="zh-CN"/>
              </w:rPr>
            </w:pPr>
            <w:bookmarkStart w:id="255" w:name="_Toc17051"/>
            <w:bookmarkStart w:id="256" w:name="_Toc1665553"/>
            <w:bookmarkStart w:id="257" w:name="_Toc10171"/>
            <w:r>
              <w:rPr>
                <w:rFonts w:cs="Times New Roman"/>
                <w:color w:val="auto"/>
                <w:kern w:val="0"/>
                <w:sz w:val="21"/>
                <w:szCs w:val="21"/>
                <w:lang w:val="zh-CN"/>
              </w:rPr>
              <w:t>6</w:t>
            </w:r>
            <w:bookmarkEnd w:id="255"/>
            <w:bookmarkEnd w:id="256"/>
            <w:bookmarkEnd w:id="257"/>
          </w:p>
        </w:tc>
        <w:tc>
          <w:tcPr>
            <w:tcW w:w="1134" w:type="dxa"/>
            <w:vAlign w:val="center"/>
          </w:tcPr>
          <w:p w14:paraId="0A575356">
            <w:pPr>
              <w:widowControl/>
              <w:adjustRightInd w:val="0"/>
              <w:snapToGrid w:val="0"/>
              <w:spacing w:line="300" w:lineRule="exact"/>
              <w:ind w:firstLine="0" w:firstLineChars="0"/>
              <w:jc w:val="center"/>
              <w:rPr>
                <w:rFonts w:cs="Times New Roman"/>
                <w:color w:val="auto"/>
                <w:kern w:val="0"/>
                <w:sz w:val="21"/>
                <w:szCs w:val="21"/>
                <w:lang w:val="zh-CN"/>
              </w:rPr>
            </w:pPr>
            <w:bookmarkStart w:id="258" w:name="_Toc30637"/>
            <w:bookmarkStart w:id="259" w:name="_Toc27449"/>
            <w:bookmarkStart w:id="260" w:name="_Toc1665554"/>
            <w:r>
              <w:rPr>
                <w:rFonts w:cs="Times New Roman"/>
                <w:color w:val="auto"/>
                <w:kern w:val="0"/>
                <w:sz w:val="21"/>
                <w:szCs w:val="21"/>
                <w:lang w:val="zh-CN"/>
              </w:rPr>
              <w:t>D</w:t>
            </w:r>
            <w:r>
              <w:rPr>
                <w:rFonts w:cs="Times New Roman"/>
                <w:color w:val="auto"/>
                <w:kern w:val="0"/>
                <w:sz w:val="21"/>
                <w:szCs w:val="21"/>
                <w:vertAlign w:val="subscript"/>
                <w:lang w:val="zh-CN"/>
              </w:rPr>
              <w:t>T</w:t>
            </w:r>
            <w:bookmarkEnd w:id="258"/>
            <w:bookmarkEnd w:id="259"/>
            <w:bookmarkEnd w:id="260"/>
          </w:p>
        </w:tc>
        <w:tc>
          <w:tcPr>
            <w:tcW w:w="2410" w:type="dxa"/>
            <w:vAlign w:val="center"/>
          </w:tcPr>
          <w:p w14:paraId="36DD0E1F">
            <w:pPr>
              <w:widowControl/>
              <w:adjustRightInd w:val="0"/>
              <w:snapToGrid w:val="0"/>
              <w:spacing w:line="300" w:lineRule="exact"/>
              <w:ind w:firstLine="0" w:firstLineChars="0"/>
              <w:jc w:val="center"/>
              <w:rPr>
                <w:rFonts w:cs="Times New Roman"/>
                <w:color w:val="auto"/>
                <w:kern w:val="0"/>
                <w:sz w:val="21"/>
                <w:szCs w:val="21"/>
                <w:lang w:val="zh-CN"/>
              </w:rPr>
            </w:pPr>
            <w:bookmarkStart w:id="261" w:name="_Toc22021"/>
            <w:bookmarkStart w:id="262" w:name="_Toc32262"/>
            <w:bookmarkStart w:id="263" w:name="_Toc1665555"/>
            <w:r>
              <w:rPr>
                <w:rFonts w:cs="Times New Roman"/>
                <w:color w:val="auto"/>
                <w:spacing w:val="-1"/>
                <w:kern w:val="0"/>
                <w:sz w:val="21"/>
                <w:szCs w:val="21"/>
                <w:lang w:val="zh-CN"/>
              </w:rPr>
              <w:t>横向y方向的弥散系数</w:t>
            </w:r>
            <w:bookmarkEnd w:id="261"/>
            <w:bookmarkEnd w:id="262"/>
            <w:bookmarkEnd w:id="263"/>
          </w:p>
        </w:tc>
        <w:tc>
          <w:tcPr>
            <w:tcW w:w="4286" w:type="dxa"/>
            <w:vAlign w:val="center"/>
          </w:tcPr>
          <w:p w14:paraId="44DF814A">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0.01m</w:t>
            </w:r>
            <w:r>
              <w:rPr>
                <w:rFonts w:cs="Times New Roman"/>
                <w:color w:val="auto"/>
                <w:kern w:val="0"/>
                <w:sz w:val="21"/>
                <w:szCs w:val="21"/>
                <w:vertAlign w:val="superscript"/>
                <w:lang w:bidi="ar"/>
              </w:rPr>
              <w:t>2</w:t>
            </w:r>
            <w:r>
              <w:rPr>
                <w:rFonts w:cs="Times New Roman"/>
                <w:color w:val="auto"/>
                <w:kern w:val="0"/>
                <w:sz w:val="21"/>
                <w:szCs w:val="21"/>
                <w:lang w:bidi="ar"/>
              </w:rPr>
              <w:t>/d</w:t>
            </w:r>
          </w:p>
        </w:tc>
      </w:tr>
      <w:tr w14:paraId="481A9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03079CA8">
            <w:pPr>
              <w:widowControl/>
              <w:adjustRightInd w:val="0"/>
              <w:snapToGrid w:val="0"/>
              <w:spacing w:line="300" w:lineRule="exact"/>
              <w:ind w:firstLine="0" w:firstLineChars="0"/>
              <w:jc w:val="center"/>
              <w:rPr>
                <w:rFonts w:cs="Times New Roman"/>
                <w:color w:val="auto"/>
                <w:kern w:val="0"/>
                <w:sz w:val="21"/>
                <w:szCs w:val="21"/>
                <w:lang w:val="zh-CN"/>
              </w:rPr>
            </w:pPr>
            <w:bookmarkStart w:id="264" w:name="_Toc8921"/>
            <w:bookmarkStart w:id="265" w:name="_Toc4136"/>
            <w:bookmarkStart w:id="266" w:name="_Toc1665556"/>
            <w:r>
              <w:rPr>
                <w:rFonts w:cs="Times New Roman"/>
                <w:color w:val="auto"/>
                <w:kern w:val="0"/>
                <w:sz w:val="21"/>
                <w:szCs w:val="21"/>
                <w:lang w:val="zh-CN"/>
              </w:rPr>
              <w:t>7</w:t>
            </w:r>
            <w:bookmarkEnd w:id="264"/>
            <w:bookmarkEnd w:id="265"/>
            <w:bookmarkEnd w:id="266"/>
          </w:p>
        </w:tc>
        <w:tc>
          <w:tcPr>
            <w:tcW w:w="1134" w:type="dxa"/>
            <w:vAlign w:val="center"/>
          </w:tcPr>
          <w:p w14:paraId="41479880">
            <w:pPr>
              <w:widowControl/>
              <w:adjustRightInd w:val="0"/>
              <w:snapToGrid w:val="0"/>
              <w:spacing w:line="300" w:lineRule="exact"/>
              <w:ind w:firstLine="0" w:firstLineChars="0"/>
              <w:jc w:val="center"/>
              <w:rPr>
                <w:rFonts w:cs="Times New Roman"/>
                <w:color w:val="auto"/>
                <w:kern w:val="0"/>
                <w:sz w:val="21"/>
                <w:szCs w:val="21"/>
                <w:lang w:val="zh-CN"/>
              </w:rPr>
            </w:pPr>
            <w:bookmarkStart w:id="267" w:name="_Toc21277"/>
            <w:bookmarkStart w:id="268" w:name="_Toc25387"/>
            <w:bookmarkStart w:id="269" w:name="_Toc1665557"/>
            <w:r>
              <w:rPr>
                <w:rFonts w:cs="Times New Roman"/>
                <w:color w:val="auto"/>
                <w:kern w:val="0"/>
                <w:position w:val="2"/>
                <w:sz w:val="21"/>
                <w:szCs w:val="21"/>
                <w:lang w:val="zh-CN"/>
              </w:rPr>
              <w:t>n</w:t>
            </w:r>
            <w:r>
              <w:rPr>
                <w:rFonts w:cs="Times New Roman"/>
                <w:color w:val="auto"/>
                <w:kern w:val="0"/>
                <w:sz w:val="21"/>
                <w:szCs w:val="21"/>
                <w:vertAlign w:val="subscript"/>
                <w:lang w:val="zh-CN"/>
              </w:rPr>
              <w:t>e</w:t>
            </w:r>
            <w:bookmarkEnd w:id="267"/>
            <w:bookmarkEnd w:id="268"/>
            <w:bookmarkEnd w:id="269"/>
          </w:p>
        </w:tc>
        <w:tc>
          <w:tcPr>
            <w:tcW w:w="2410" w:type="dxa"/>
            <w:vAlign w:val="center"/>
          </w:tcPr>
          <w:p w14:paraId="61DE6747">
            <w:pPr>
              <w:widowControl/>
              <w:adjustRightInd w:val="0"/>
              <w:snapToGrid w:val="0"/>
              <w:spacing w:line="300" w:lineRule="exact"/>
              <w:ind w:firstLine="0" w:firstLineChars="0"/>
              <w:jc w:val="center"/>
              <w:rPr>
                <w:rFonts w:cs="Times New Roman"/>
                <w:color w:val="auto"/>
                <w:spacing w:val="-1"/>
                <w:kern w:val="0"/>
                <w:sz w:val="21"/>
                <w:szCs w:val="21"/>
                <w:lang w:val="zh-CN"/>
              </w:rPr>
            </w:pPr>
            <w:bookmarkStart w:id="270" w:name="_Toc1665558"/>
            <w:bookmarkStart w:id="271" w:name="_Toc8970"/>
            <w:bookmarkStart w:id="272" w:name="_Toc708"/>
            <w:r>
              <w:rPr>
                <w:rFonts w:cs="Times New Roman"/>
                <w:color w:val="auto"/>
                <w:spacing w:val="-1"/>
                <w:kern w:val="0"/>
                <w:sz w:val="21"/>
                <w:szCs w:val="21"/>
                <w:lang w:val="zh-CN"/>
              </w:rPr>
              <w:t>有效孔隙度</w:t>
            </w:r>
            <w:bookmarkEnd w:id="270"/>
            <w:bookmarkEnd w:id="271"/>
            <w:bookmarkEnd w:id="272"/>
          </w:p>
        </w:tc>
        <w:tc>
          <w:tcPr>
            <w:tcW w:w="4286" w:type="dxa"/>
            <w:vAlign w:val="center"/>
          </w:tcPr>
          <w:p w14:paraId="40C5AF61">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0.33</w:t>
            </w:r>
          </w:p>
        </w:tc>
      </w:tr>
    </w:tbl>
    <w:p w14:paraId="54F0C2A5">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highlight w:val="none"/>
          <w:lang w:val="en-US" w:eastAsia="zh-CN"/>
        </w:rPr>
      </w:pP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lang w:val="en-US" w:eastAsia="zh-CN"/>
        </w:rPr>
        <w:t>4</w:t>
      </w: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rPr>
        <w:t>预测时段</w:t>
      </w:r>
      <w:r>
        <w:rPr>
          <w:rFonts w:hint="default" w:ascii="Times New Roman" w:hAnsi="Times New Roman" w:eastAsia="宋体" w:cs="Times New Roman"/>
          <w:b w:val="0"/>
          <w:bCs/>
          <w:color w:val="auto"/>
          <w:spacing w:val="0"/>
          <w:sz w:val="24"/>
          <w:highlight w:val="none"/>
          <w:lang w:val="en-US" w:eastAsia="zh-CN"/>
        </w:rPr>
        <w:t>及预测结果</w:t>
      </w:r>
    </w:p>
    <w:p w14:paraId="65492C2F">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highlight w:val="none"/>
        </w:rPr>
      </w:pPr>
      <w:r>
        <w:rPr>
          <w:rFonts w:hint="default" w:ascii="Times New Roman" w:hAnsi="Times New Roman" w:eastAsia="宋体" w:cs="Times New Roman"/>
          <w:b w:val="0"/>
          <w:bCs/>
          <w:color w:val="auto"/>
          <w:spacing w:val="0"/>
          <w:sz w:val="24"/>
          <w:highlight w:val="none"/>
        </w:rPr>
        <w:t>本次预测时段设定为发生泄漏后的100d、1000d和3650（10a）。</w:t>
      </w:r>
    </w:p>
    <w:p w14:paraId="1B4D59F1">
      <w:pPr>
        <w:pStyle w:val="8"/>
        <w:keepNext w:val="0"/>
        <w:keepLines w:val="0"/>
        <w:pageBreakBefore w:val="0"/>
        <w:kinsoku/>
        <w:wordWrap/>
        <w:overflowPunct/>
        <w:topLinePunct w:val="0"/>
        <w:autoSpaceDE/>
        <w:autoSpaceDN/>
        <w:bidi w:val="0"/>
        <w:adjustRightInd/>
        <w:snapToGrid/>
        <w:ind w:firstLineChars="0"/>
        <w:textAlignment w:val="auto"/>
        <w:rPr>
          <w:color w:val="auto"/>
          <w:sz w:val="21"/>
          <w:szCs w:val="21"/>
        </w:rPr>
      </w:pPr>
      <w:r>
        <w:rPr>
          <w:rFonts w:hint="eastAsia"/>
          <w:color w:val="auto"/>
          <w:sz w:val="21"/>
          <w:szCs w:val="21"/>
        </w:rPr>
        <w:t>表</w:t>
      </w:r>
      <w:r>
        <w:rPr>
          <w:rFonts w:hint="eastAsia" w:ascii="Times New Roman" w:hAnsi="Times New Roman" w:cs="Times New Roman"/>
          <w:color w:val="auto"/>
          <w:sz w:val="21"/>
          <w:szCs w:val="21"/>
          <w:lang w:val="en-US" w:eastAsia="zh-CN"/>
        </w:rPr>
        <w:t>5.6-4</w:t>
      </w:r>
      <w:r>
        <w:rPr>
          <w:rFonts w:hint="eastAsia"/>
          <w:color w:val="auto"/>
          <w:sz w:val="21"/>
          <w:szCs w:val="21"/>
        </w:rPr>
        <w:t xml:space="preserve"> </w:t>
      </w:r>
      <w:r>
        <w:rPr>
          <w:color w:val="auto"/>
          <w:sz w:val="21"/>
          <w:szCs w:val="21"/>
        </w:rPr>
        <w:t xml:space="preserve"> </w:t>
      </w:r>
      <w:r>
        <w:rPr>
          <w:rFonts w:hint="eastAsia" w:ascii="Times New Roman" w:hAnsi="Times New Roman"/>
          <w:color w:val="auto"/>
          <w:sz w:val="21"/>
          <w:szCs w:val="21"/>
          <w:lang w:val="en-US" w:eastAsia="zh-CN"/>
        </w:rPr>
        <w:t>污染物</w:t>
      </w:r>
      <w:r>
        <w:rPr>
          <w:rFonts w:hint="eastAsia"/>
          <w:color w:val="auto"/>
          <w:sz w:val="21"/>
          <w:szCs w:val="21"/>
        </w:rPr>
        <w:t>对地下水污染预测结果表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658"/>
        <w:gridCol w:w="1951"/>
        <w:gridCol w:w="2161"/>
        <w:gridCol w:w="1868"/>
      </w:tblGrid>
      <w:tr w14:paraId="4F5E2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20" w:type="pct"/>
            <w:tcBorders>
              <w:tl2br w:val="nil"/>
              <w:tr2bl w:val="nil"/>
            </w:tcBorders>
            <w:noWrap w:val="0"/>
            <w:vAlign w:val="center"/>
          </w:tcPr>
          <w:p w14:paraId="716514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污染物</w:t>
            </w:r>
          </w:p>
        </w:tc>
        <w:tc>
          <w:tcPr>
            <w:tcW w:w="972" w:type="pct"/>
            <w:tcBorders>
              <w:tl2br w:val="nil"/>
              <w:tr2bl w:val="nil"/>
            </w:tcBorders>
            <w:noWrap w:val="0"/>
            <w:vAlign w:val="center"/>
          </w:tcPr>
          <w:p w14:paraId="240F6E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预测时间（</w:t>
            </w:r>
            <w:r>
              <w:rPr>
                <w:rFonts w:ascii="Times New Roman" w:hAnsi="Times New Roman" w:cs="Times New Roman"/>
                <w:color w:val="auto"/>
                <w:sz w:val="21"/>
                <w:szCs w:val="21"/>
              </w:rPr>
              <w:t>d</w:t>
            </w:r>
            <w:r>
              <w:rPr>
                <w:rFonts w:hint="eastAsia" w:hAnsi="宋体" w:cs="宋体"/>
                <w:color w:val="auto"/>
                <w:sz w:val="21"/>
                <w:szCs w:val="21"/>
              </w:rPr>
              <w:t>）</w:t>
            </w:r>
          </w:p>
        </w:tc>
        <w:tc>
          <w:tcPr>
            <w:tcW w:w="1144" w:type="pct"/>
            <w:tcBorders>
              <w:tl2br w:val="nil"/>
              <w:tr2bl w:val="nil"/>
            </w:tcBorders>
            <w:noWrap w:val="0"/>
            <w:vAlign w:val="center"/>
          </w:tcPr>
          <w:p w14:paraId="25999E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最大浓度值</w:t>
            </w:r>
            <w:r>
              <w:rPr>
                <w:rFonts w:ascii="Times New Roman"/>
                <w:color w:val="auto"/>
                <w:sz w:val="21"/>
                <w:szCs w:val="21"/>
              </w:rPr>
              <w:t>(</w:t>
            </w:r>
            <w:r>
              <w:rPr>
                <w:rFonts w:ascii="Times New Roman" w:hAnsi="Times New Roman" w:cs="Times New Roman"/>
                <w:color w:val="auto"/>
                <w:sz w:val="21"/>
                <w:szCs w:val="21"/>
              </w:rPr>
              <w:t>mg</w:t>
            </w:r>
            <w:r>
              <w:rPr>
                <w:rFonts w:ascii="Times New Roman"/>
                <w:color w:val="auto"/>
                <w:sz w:val="21"/>
                <w:szCs w:val="21"/>
              </w:rPr>
              <w:t>/</w:t>
            </w:r>
            <w:r>
              <w:rPr>
                <w:rFonts w:ascii="Times New Roman" w:hAnsi="Times New Roman" w:cs="Times New Roman"/>
                <w:color w:val="auto"/>
                <w:sz w:val="21"/>
                <w:szCs w:val="21"/>
              </w:rPr>
              <w:t>L</w:t>
            </w:r>
            <w:r>
              <w:rPr>
                <w:rFonts w:ascii="Times New Roman"/>
                <w:color w:val="auto"/>
                <w:sz w:val="21"/>
                <w:szCs w:val="21"/>
              </w:rPr>
              <w:t>)</w:t>
            </w:r>
          </w:p>
        </w:tc>
        <w:tc>
          <w:tcPr>
            <w:tcW w:w="1267" w:type="pct"/>
            <w:tcBorders>
              <w:tl2br w:val="nil"/>
              <w:tr2bl w:val="nil"/>
            </w:tcBorders>
            <w:noWrap w:val="0"/>
            <w:vAlign w:val="center"/>
          </w:tcPr>
          <w:p w14:paraId="328947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最大超标距离（</w:t>
            </w:r>
            <w:r>
              <w:rPr>
                <w:rFonts w:ascii="Times New Roman" w:hAnsi="Times New Roman" w:cs="Times New Roman"/>
                <w:color w:val="auto"/>
                <w:sz w:val="21"/>
                <w:szCs w:val="21"/>
              </w:rPr>
              <w:t>m</w:t>
            </w:r>
            <w:r>
              <w:rPr>
                <w:rFonts w:hint="eastAsia" w:hAnsi="宋体" w:cs="宋体"/>
                <w:color w:val="auto"/>
                <w:sz w:val="21"/>
                <w:szCs w:val="21"/>
              </w:rPr>
              <w:t>）</w:t>
            </w:r>
          </w:p>
        </w:tc>
        <w:tc>
          <w:tcPr>
            <w:tcW w:w="1095" w:type="pct"/>
            <w:tcBorders>
              <w:tl2br w:val="nil"/>
              <w:tr2bl w:val="nil"/>
            </w:tcBorders>
            <w:noWrap w:val="0"/>
            <w:vAlign w:val="center"/>
          </w:tcPr>
          <w:p w14:paraId="784314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最大影响距离</w:t>
            </w:r>
            <w:r>
              <w:rPr>
                <w:rFonts w:ascii="Times New Roman"/>
                <w:color w:val="auto"/>
                <w:sz w:val="21"/>
                <w:szCs w:val="21"/>
              </w:rPr>
              <w:t>(</w:t>
            </w:r>
            <w:r>
              <w:rPr>
                <w:rFonts w:ascii="Times New Roman" w:hAnsi="Times New Roman" w:cs="Times New Roman"/>
                <w:color w:val="auto"/>
                <w:sz w:val="21"/>
                <w:szCs w:val="21"/>
              </w:rPr>
              <w:t>m</w:t>
            </w:r>
            <w:r>
              <w:rPr>
                <w:rFonts w:ascii="Times New Roman"/>
                <w:color w:val="auto"/>
                <w:sz w:val="21"/>
                <w:szCs w:val="21"/>
              </w:rPr>
              <w:t>)</w:t>
            </w:r>
          </w:p>
        </w:tc>
      </w:tr>
      <w:tr w14:paraId="7C4F7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20" w:type="pct"/>
            <w:vMerge w:val="restart"/>
            <w:tcBorders>
              <w:tl2br w:val="nil"/>
              <w:tr2bl w:val="nil"/>
            </w:tcBorders>
            <w:noWrap w:val="0"/>
            <w:vAlign w:val="center"/>
          </w:tcPr>
          <w:p w14:paraId="45B1C9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olor w:val="auto"/>
                <w:sz w:val="21"/>
                <w:szCs w:val="21"/>
                <w:lang w:val="en-US" w:eastAsia="zh-CN"/>
              </w:rPr>
              <w:t>铜</w:t>
            </w:r>
          </w:p>
        </w:tc>
        <w:tc>
          <w:tcPr>
            <w:tcW w:w="972" w:type="pct"/>
            <w:tcBorders>
              <w:tl2br w:val="nil"/>
              <w:tr2bl w:val="nil"/>
            </w:tcBorders>
            <w:noWrap w:val="0"/>
            <w:vAlign w:val="center"/>
          </w:tcPr>
          <w:p w14:paraId="3C5F63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ascii="Times New Roman" w:hAnsi="Times New Roman" w:cs="Times New Roman"/>
                <w:color w:val="auto"/>
                <w:sz w:val="21"/>
                <w:szCs w:val="21"/>
              </w:rPr>
              <w:t>100</w:t>
            </w:r>
          </w:p>
        </w:tc>
        <w:tc>
          <w:tcPr>
            <w:tcW w:w="1144" w:type="pct"/>
            <w:tcBorders>
              <w:tl2br w:val="nil"/>
              <w:tr2bl w:val="nil"/>
            </w:tcBorders>
            <w:noWrap w:val="0"/>
            <w:vAlign w:val="center"/>
          </w:tcPr>
          <w:p w14:paraId="45FB0D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0.01230355</w:t>
            </w:r>
          </w:p>
        </w:tc>
        <w:tc>
          <w:tcPr>
            <w:tcW w:w="1267" w:type="pct"/>
            <w:tcBorders>
              <w:tl2br w:val="nil"/>
              <w:tr2bl w:val="nil"/>
            </w:tcBorders>
            <w:noWrap w:val="0"/>
            <w:vAlign w:val="center"/>
          </w:tcPr>
          <w:p w14:paraId="139229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35</w:t>
            </w:r>
          </w:p>
        </w:tc>
        <w:tc>
          <w:tcPr>
            <w:tcW w:w="1095" w:type="pct"/>
            <w:tcBorders>
              <w:tl2br w:val="nil"/>
              <w:tr2bl w:val="nil"/>
            </w:tcBorders>
            <w:noWrap w:val="0"/>
            <w:vAlign w:val="center"/>
          </w:tcPr>
          <w:p w14:paraId="31A844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95</w:t>
            </w:r>
          </w:p>
        </w:tc>
      </w:tr>
      <w:tr w14:paraId="55021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20" w:type="pct"/>
            <w:vMerge w:val="continue"/>
            <w:tcBorders>
              <w:tl2br w:val="nil"/>
              <w:tr2bl w:val="nil"/>
            </w:tcBorders>
            <w:noWrap w:val="0"/>
            <w:vAlign w:val="center"/>
          </w:tcPr>
          <w:p w14:paraId="00BD56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p>
        </w:tc>
        <w:tc>
          <w:tcPr>
            <w:tcW w:w="972" w:type="pct"/>
            <w:tcBorders>
              <w:tl2br w:val="nil"/>
              <w:tr2bl w:val="nil"/>
            </w:tcBorders>
            <w:noWrap w:val="0"/>
            <w:vAlign w:val="center"/>
          </w:tcPr>
          <w:p w14:paraId="116361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ascii="Times New Roman" w:hAnsi="Times New Roman" w:cs="Times New Roman"/>
                <w:color w:val="auto"/>
                <w:sz w:val="21"/>
                <w:szCs w:val="21"/>
              </w:rPr>
              <w:t>1000</w:t>
            </w:r>
          </w:p>
        </w:tc>
        <w:tc>
          <w:tcPr>
            <w:tcW w:w="1144" w:type="pct"/>
            <w:tcBorders>
              <w:tl2br w:val="nil"/>
              <w:tr2bl w:val="nil"/>
            </w:tcBorders>
            <w:noWrap w:val="0"/>
            <w:vAlign w:val="center"/>
          </w:tcPr>
          <w:p w14:paraId="54AD9E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0.003106807</w:t>
            </w:r>
          </w:p>
        </w:tc>
        <w:tc>
          <w:tcPr>
            <w:tcW w:w="1267" w:type="pct"/>
            <w:tcBorders>
              <w:tl2br w:val="nil"/>
              <w:tr2bl w:val="nil"/>
            </w:tcBorders>
            <w:noWrap w:val="0"/>
            <w:vAlign w:val="center"/>
          </w:tcPr>
          <w:p w14:paraId="299818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350</w:t>
            </w:r>
          </w:p>
        </w:tc>
        <w:tc>
          <w:tcPr>
            <w:tcW w:w="1095" w:type="pct"/>
            <w:tcBorders>
              <w:tl2br w:val="nil"/>
              <w:tr2bl w:val="nil"/>
            </w:tcBorders>
            <w:noWrap w:val="0"/>
            <w:vAlign w:val="center"/>
          </w:tcPr>
          <w:p w14:paraId="735CA4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500</w:t>
            </w:r>
          </w:p>
        </w:tc>
      </w:tr>
      <w:tr w14:paraId="11A79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20" w:type="pct"/>
            <w:vMerge w:val="continue"/>
            <w:tcBorders>
              <w:tl2br w:val="nil"/>
              <w:tr2bl w:val="nil"/>
            </w:tcBorders>
            <w:noWrap w:val="0"/>
            <w:vAlign w:val="center"/>
          </w:tcPr>
          <w:p w14:paraId="4CEF07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p>
        </w:tc>
        <w:tc>
          <w:tcPr>
            <w:tcW w:w="972" w:type="pct"/>
            <w:tcBorders>
              <w:tl2br w:val="nil"/>
              <w:tr2bl w:val="nil"/>
            </w:tcBorders>
            <w:noWrap w:val="0"/>
            <w:vAlign w:val="center"/>
          </w:tcPr>
          <w:p w14:paraId="427522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3650</w:t>
            </w:r>
          </w:p>
        </w:tc>
        <w:tc>
          <w:tcPr>
            <w:tcW w:w="1144" w:type="pct"/>
            <w:tcBorders>
              <w:tl2br w:val="nil"/>
              <w:tr2bl w:val="nil"/>
            </w:tcBorders>
            <w:noWrap w:val="0"/>
            <w:vAlign w:val="center"/>
          </w:tcPr>
          <w:p w14:paraId="7F2478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0.0006602487</w:t>
            </w:r>
          </w:p>
        </w:tc>
        <w:tc>
          <w:tcPr>
            <w:tcW w:w="1267" w:type="pct"/>
            <w:tcBorders>
              <w:tl2br w:val="nil"/>
              <w:tr2bl w:val="nil"/>
            </w:tcBorders>
            <w:noWrap w:val="0"/>
            <w:vAlign w:val="center"/>
          </w:tcPr>
          <w:p w14:paraId="271EBD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1200</w:t>
            </w:r>
          </w:p>
        </w:tc>
        <w:tc>
          <w:tcPr>
            <w:tcW w:w="1095" w:type="pct"/>
            <w:tcBorders>
              <w:tl2br w:val="nil"/>
              <w:tr2bl w:val="nil"/>
            </w:tcBorders>
            <w:noWrap w:val="0"/>
            <w:vAlign w:val="center"/>
          </w:tcPr>
          <w:p w14:paraId="1901CB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1600</w:t>
            </w:r>
          </w:p>
        </w:tc>
      </w:tr>
      <w:tr w14:paraId="11BDF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20" w:type="pct"/>
            <w:vMerge w:val="restart"/>
            <w:tcBorders>
              <w:tl2br w:val="nil"/>
              <w:tr2bl w:val="nil"/>
            </w:tcBorders>
            <w:noWrap w:val="0"/>
            <w:vAlign w:val="center"/>
          </w:tcPr>
          <w:p w14:paraId="0D4D8C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olor w:val="auto"/>
                <w:sz w:val="21"/>
                <w:szCs w:val="21"/>
                <w:lang w:eastAsia="zh-CN"/>
              </w:rPr>
            </w:pPr>
            <w:r>
              <w:rPr>
                <w:rFonts w:hint="eastAsia" w:ascii="Times New Roman"/>
                <w:color w:val="auto"/>
                <w:sz w:val="21"/>
                <w:szCs w:val="21"/>
                <w:lang w:val="en-US" w:eastAsia="zh-CN"/>
              </w:rPr>
              <w:t>砷</w:t>
            </w:r>
          </w:p>
        </w:tc>
        <w:tc>
          <w:tcPr>
            <w:tcW w:w="972" w:type="pct"/>
            <w:tcBorders>
              <w:tl2br w:val="nil"/>
              <w:tr2bl w:val="nil"/>
            </w:tcBorders>
            <w:shd w:val="clear" w:color="auto" w:fill="auto"/>
            <w:noWrap w:val="0"/>
            <w:vAlign w:val="center"/>
          </w:tcPr>
          <w:p w14:paraId="288CC4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100</w:t>
            </w:r>
          </w:p>
        </w:tc>
        <w:tc>
          <w:tcPr>
            <w:tcW w:w="1144" w:type="pct"/>
            <w:tcBorders>
              <w:tl2br w:val="nil"/>
              <w:tr2bl w:val="nil"/>
            </w:tcBorders>
            <w:noWrap w:val="0"/>
            <w:vAlign w:val="center"/>
          </w:tcPr>
          <w:p w14:paraId="33F656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ascii="Times New Roman" w:cs="Times New Roman"/>
                <w:color w:val="auto"/>
                <w:sz w:val="21"/>
                <w:szCs w:val="21"/>
                <w:lang w:val="en-US" w:eastAsia="zh-CN"/>
              </w:rPr>
              <w:t>0.008041251</w:t>
            </w:r>
          </w:p>
        </w:tc>
        <w:tc>
          <w:tcPr>
            <w:tcW w:w="2161" w:type="dxa"/>
            <w:tcBorders>
              <w:tl2br w:val="nil"/>
              <w:tr2bl w:val="nil"/>
            </w:tcBorders>
            <w:shd w:val="clear" w:color="auto" w:fill="auto"/>
            <w:noWrap w:val="0"/>
            <w:vAlign w:val="center"/>
          </w:tcPr>
          <w:p w14:paraId="7615B2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35</w:t>
            </w:r>
          </w:p>
        </w:tc>
        <w:tc>
          <w:tcPr>
            <w:tcW w:w="1868" w:type="dxa"/>
            <w:tcBorders>
              <w:tl2br w:val="nil"/>
              <w:tr2bl w:val="nil"/>
            </w:tcBorders>
            <w:shd w:val="clear" w:color="auto" w:fill="auto"/>
            <w:noWrap w:val="0"/>
            <w:vAlign w:val="center"/>
          </w:tcPr>
          <w:p w14:paraId="39257C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95</w:t>
            </w:r>
          </w:p>
        </w:tc>
      </w:tr>
      <w:tr w14:paraId="23229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20" w:type="pct"/>
            <w:vMerge w:val="continue"/>
            <w:tcBorders>
              <w:tl2br w:val="nil"/>
              <w:tr2bl w:val="nil"/>
            </w:tcBorders>
            <w:noWrap w:val="0"/>
            <w:vAlign w:val="center"/>
          </w:tcPr>
          <w:p w14:paraId="39AD90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p>
        </w:tc>
        <w:tc>
          <w:tcPr>
            <w:tcW w:w="972" w:type="pct"/>
            <w:tcBorders>
              <w:tl2br w:val="nil"/>
              <w:tr2bl w:val="nil"/>
            </w:tcBorders>
            <w:shd w:val="clear" w:color="auto" w:fill="auto"/>
            <w:noWrap w:val="0"/>
            <w:vAlign w:val="center"/>
          </w:tcPr>
          <w:p w14:paraId="4581FA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1000</w:t>
            </w:r>
          </w:p>
        </w:tc>
        <w:tc>
          <w:tcPr>
            <w:tcW w:w="1144" w:type="pct"/>
            <w:tcBorders>
              <w:tl2br w:val="nil"/>
              <w:tr2bl w:val="nil"/>
            </w:tcBorders>
            <w:noWrap w:val="0"/>
            <w:vAlign w:val="center"/>
          </w:tcPr>
          <w:p w14:paraId="28C5D5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ascii="Times New Roman" w:cs="Times New Roman"/>
                <w:color w:val="auto"/>
                <w:sz w:val="21"/>
                <w:szCs w:val="21"/>
                <w:lang w:val="en-US" w:eastAsia="zh-CN"/>
              </w:rPr>
              <w:t>0.001997233</w:t>
            </w:r>
          </w:p>
        </w:tc>
        <w:tc>
          <w:tcPr>
            <w:tcW w:w="2161" w:type="dxa"/>
            <w:tcBorders>
              <w:tl2br w:val="nil"/>
              <w:tr2bl w:val="nil"/>
            </w:tcBorders>
            <w:shd w:val="clear" w:color="auto" w:fill="auto"/>
            <w:noWrap w:val="0"/>
            <w:vAlign w:val="center"/>
          </w:tcPr>
          <w:p w14:paraId="37C4B8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350</w:t>
            </w:r>
          </w:p>
        </w:tc>
        <w:tc>
          <w:tcPr>
            <w:tcW w:w="1868" w:type="dxa"/>
            <w:tcBorders>
              <w:tl2br w:val="nil"/>
              <w:tr2bl w:val="nil"/>
            </w:tcBorders>
            <w:shd w:val="clear" w:color="auto" w:fill="auto"/>
            <w:noWrap w:val="0"/>
            <w:vAlign w:val="center"/>
          </w:tcPr>
          <w:p w14:paraId="79F39C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500</w:t>
            </w:r>
          </w:p>
        </w:tc>
      </w:tr>
      <w:tr w14:paraId="661F5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20" w:type="pct"/>
            <w:vMerge w:val="continue"/>
            <w:tcBorders>
              <w:tl2br w:val="nil"/>
              <w:tr2bl w:val="nil"/>
            </w:tcBorders>
            <w:noWrap w:val="0"/>
            <w:vAlign w:val="center"/>
          </w:tcPr>
          <w:p w14:paraId="22AEB2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p>
        </w:tc>
        <w:tc>
          <w:tcPr>
            <w:tcW w:w="972" w:type="pct"/>
            <w:tcBorders>
              <w:tl2br w:val="nil"/>
              <w:tr2bl w:val="nil"/>
            </w:tcBorders>
            <w:shd w:val="clear" w:color="auto" w:fill="auto"/>
            <w:noWrap w:val="0"/>
            <w:vAlign w:val="center"/>
          </w:tcPr>
          <w:p w14:paraId="5DE627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3650</w:t>
            </w:r>
          </w:p>
        </w:tc>
        <w:tc>
          <w:tcPr>
            <w:tcW w:w="1144" w:type="pct"/>
            <w:tcBorders>
              <w:tl2br w:val="nil"/>
              <w:tr2bl w:val="nil"/>
            </w:tcBorders>
            <w:noWrap w:val="0"/>
            <w:vAlign w:val="center"/>
          </w:tcPr>
          <w:p w14:paraId="1D3996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ascii="Times New Roman" w:cs="Times New Roman"/>
                <w:color w:val="auto"/>
                <w:sz w:val="21"/>
                <w:szCs w:val="21"/>
                <w:lang w:val="en-US" w:eastAsia="zh-CN"/>
              </w:rPr>
              <w:t>0.0004244456</w:t>
            </w:r>
          </w:p>
        </w:tc>
        <w:tc>
          <w:tcPr>
            <w:tcW w:w="2161" w:type="dxa"/>
            <w:tcBorders>
              <w:tl2br w:val="nil"/>
              <w:tr2bl w:val="nil"/>
            </w:tcBorders>
            <w:shd w:val="clear" w:color="auto" w:fill="auto"/>
            <w:noWrap w:val="0"/>
            <w:vAlign w:val="center"/>
          </w:tcPr>
          <w:p w14:paraId="55AFCA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1200</w:t>
            </w:r>
          </w:p>
        </w:tc>
        <w:tc>
          <w:tcPr>
            <w:tcW w:w="1868" w:type="dxa"/>
            <w:tcBorders>
              <w:tl2br w:val="nil"/>
              <w:tr2bl w:val="nil"/>
            </w:tcBorders>
            <w:shd w:val="clear" w:color="auto" w:fill="auto"/>
            <w:noWrap w:val="0"/>
            <w:vAlign w:val="center"/>
          </w:tcPr>
          <w:p w14:paraId="5A92A3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1600</w:t>
            </w:r>
          </w:p>
        </w:tc>
      </w:tr>
    </w:tbl>
    <w:p w14:paraId="197FEF09">
      <w:pPr>
        <w:pStyle w:val="235"/>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t>非正常工况下，假设</w:t>
      </w:r>
      <w:r>
        <w:rPr>
          <w:rFonts w:hint="eastAsia" w:ascii="Times New Roman" w:hAnsi="Times New Roman" w:eastAsia="宋体" w:cs="Times New Roman"/>
          <w:b w:val="0"/>
          <w:bCs/>
          <w:color w:val="auto"/>
          <w:kern w:val="0"/>
          <w:sz w:val="24"/>
          <w:szCs w:val="24"/>
          <w:highlight w:val="none"/>
          <w:lang w:val="en-US" w:eastAsia="zh-CN" w:bidi="ar-SA"/>
        </w:rPr>
        <w:t>电积槽</w:t>
      </w:r>
      <w:r>
        <w:rPr>
          <w:rFonts w:hint="default" w:ascii="Times New Roman" w:hAnsi="Times New Roman" w:eastAsia="宋体" w:cs="Times New Roman"/>
          <w:b w:val="0"/>
          <w:bCs/>
          <w:color w:val="auto"/>
          <w:kern w:val="0"/>
          <w:sz w:val="24"/>
          <w:szCs w:val="24"/>
          <w:highlight w:val="none"/>
          <w:lang w:val="en-US" w:eastAsia="zh-CN" w:bidi="ar-SA"/>
        </w:rPr>
        <w:t>防渗层破裂发生泄漏，持续渗漏</w:t>
      </w:r>
      <w:r>
        <w:rPr>
          <w:rFonts w:hint="eastAsia" w:cs="Times New Roman"/>
          <w:b w:val="0"/>
          <w:bCs/>
          <w:color w:val="auto"/>
          <w:kern w:val="0"/>
          <w:sz w:val="24"/>
          <w:szCs w:val="24"/>
          <w:highlight w:val="none"/>
          <w:lang w:val="en-US" w:eastAsia="zh-CN" w:bidi="ar-SA"/>
        </w:rPr>
        <w:t>100</w:t>
      </w:r>
      <w:r>
        <w:rPr>
          <w:rFonts w:hint="default" w:ascii="Times New Roman" w:hAnsi="Times New Roman" w:eastAsia="宋体" w:cs="Times New Roman"/>
          <w:b w:val="0"/>
          <w:bCs/>
          <w:color w:val="auto"/>
          <w:kern w:val="0"/>
          <w:sz w:val="24"/>
          <w:szCs w:val="24"/>
          <w:highlight w:val="none"/>
          <w:lang w:val="en-US" w:eastAsia="zh-CN" w:bidi="ar-SA"/>
        </w:rPr>
        <w:t>天后被发现，分别预测出非正常工况下污染物在含水层中100d、1000d、3650d的迁移情况，预测结果详见图5</w:t>
      </w:r>
      <w:r>
        <w:rPr>
          <w:rFonts w:hint="eastAsia" w:cs="Times New Roman"/>
          <w:b w:val="0"/>
          <w:bCs/>
          <w:color w:val="auto"/>
          <w:kern w:val="0"/>
          <w:sz w:val="24"/>
          <w:szCs w:val="24"/>
          <w:highlight w:val="none"/>
          <w:lang w:val="en-US" w:eastAsia="zh-CN" w:bidi="ar-SA"/>
        </w:rPr>
        <w:t>.6-2</w:t>
      </w:r>
      <w:r>
        <w:rPr>
          <w:rFonts w:hint="default" w:ascii="Times New Roman" w:hAnsi="Times New Roman" w:eastAsia="宋体" w:cs="Times New Roman"/>
          <w:b w:val="0"/>
          <w:bCs/>
          <w:color w:val="auto"/>
          <w:kern w:val="0"/>
          <w:sz w:val="24"/>
          <w:szCs w:val="24"/>
          <w:highlight w:val="none"/>
          <w:lang w:val="en-US" w:eastAsia="zh-CN" w:bidi="ar-SA"/>
        </w:rPr>
        <w:t>。预测结果表明，污水泄漏后100天时，污染物铜的</w:t>
      </w:r>
      <w:r>
        <w:rPr>
          <w:rFonts w:hint="default" w:ascii="Times New Roman" w:hAnsi="Times New Roman" w:eastAsia="宋体" w:cs="Times New Roman"/>
          <w:b w:val="0"/>
          <w:bCs/>
          <w:caps w:val="0"/>
          <w:color w:val="auto"/>
          <w:sz w:val="24"/>
          <w:szCs w:val="24"/>
          <w:highlight w:val="none"/>
        </w:rPr>
        <w:t>预测最大值为</w:t>
      </w:r>
      <w:r>
        <w:rPr>
          <w:rFonts w:hint="eastAsia" w:ascii="Times New Roman" w:cs="Times New Roman"/>
          <w:color w:val="auto"/>
          <w:sz w:val="24"/>
          <w:szCs w:val="24"/>
          <w:lang w:val="en-US" w:eastAsia="zh-CN"/>
        </w:rPr>
        <w:t>0.01230355</w:t>
      </w:r>
      <w:r>
        <w:rPr>
          <w:rFonts w:hint="default" w:ascii="Times New Roman" w:hAnsi="Times New Roman" w:eastAsia="宋体" w:cs="Times New Roman"/>
          <w:b w:val="0"/>
          <w:bCs/>
          <w:caps w:val="0"/>
          <w:color w:val="auto"/>
          <w:sz w:val="24"/>
          <w:szCs w:val="24"/>
          <w:highlight w:val="none"/>
        </w:rPr>
        <w:t>mg/</w:t>
      </w:r>
      <w:r>
        <w:rPr>
          <w:rFonts w:hint="default" w:ascii="Times New Roman" w:hAnsi="Times New Roman" w:eastAsia="宋体" w:cs="Times New Roman"/>
          <w:b w:val="0"/>
          <w:bCs/>
          <w:caps w:val="0"/>
          <w:color w:val="auto"/>
          <w:sz w:val="24"/>
          <w:szCs w:val="24"/>
          <w:highlight w:val="none"/>
          <w:lang w:val="en-US" w:eastAsia="zh-CN"/>
        </w:rPr>
        <w:t>L</w:t>
      </w:r>
      <w:r>
        <w:rPr>
          <w:rFonts w:hint="default" w:ascii="Times New Roman" w:hAnsi="Times New Roman" w:eastAsia="宋体" w:cs="Times New Roman"/>
          <w:b w:val="0"/>
          <w:bCs/>
          <w:caps w:val="0"/>
          <w:color w:val="auto"/>
          <w:sz w:val="24"/>
          <w:szCs w:val="24"/>
          <w:highlight w:val="none"/>
        </w:rPr>
        <w:t>，位于下游</w:t>
      </w:r>
      <w:r>
        <w:rPr>
          <w:rFonts w:hint="eastAsia" w:cs="Times New Roman"/>
          <w:b w:val="0"/>
          <w:bCs/>
          <w:caps w:val="0"/>
          <w:color w:val="auto"/>
          <w:sz w:val="24"/>
          <w:szCs w:val="24"/>
          <w:highlight w:val="none"/>
          <w:lang w:val="en-US" w:eastAsia="zh-CN"/>
        </w:rPr>
        <w:t>35</w:t>
      </w:r>
      <w:r>
        <w:rPr>
          <w:rFonts w:hint="default" w:ascii="Times New Roman" w:hAnsi="Times New Roman" w:eastAsia="宋体" w:cs="Times New Roman"/>
          <w:b w:val="0"/>
          <w:bCs/>
          <w:caps w:val="0"/>
          <w:color w:val="auto"/>
          <w:sz w:val="24"/>
          <w:szCs w:val="24"/>
          <w:highlight w:val="none"/>
        </w:rPr>
        <w:t>m，影响距离最远为</w:t>
      </w:r>
      <w:r>
        <w:rPr>
          <w:rFonts w:hint="eastAsia" w:cs="Times New Roman"/>
          <w:b w:val="0"/>
          <w:bCs/>
          <w:caps w:val="0"/>
          <w:color w:val="auto"/>
          <w:sz w:val="24"/>
          <w:szCs w:val="24"/>
          <w:highlight w:val="none"/>
          <w:lang w:val="en-US" w:eastAsia="zh-CN"/>
        </w:rPr>
        <w:t>95</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。1000天时，污染物铜的</w:t>
      </w:r>
      <w:r>
        <w:rPr>
          <w:rFonts w:hint="default" w:ascii="Times New Roman" w:hAnsi="Times New Roman" w:eastAsia="宋体" w:cs="Times New Roman"/>
          <w:b w:val="0"/>
          <w:bCs/>
          <w:caps w:val="0"/>
          <w:color w:val="auto"/>
          <w:sz w:val="24"/>
          <w:szCs w:val="24"/>
          <w:highlight w:val="none"/>
        </w:rPr>
        <w:t>预测最大值为</w:t>
      </w:r>
      <w:r>
        <w:rPr>
          <w:rFonts w:hint="eastAsia" w:ascii="Times New Roman" w:cs="Times New Roman"/>
          <w:color w:val="auto"/>
          <w:sz w:val="24"/>
          <w:szCs w:val="24"/>
          <w:lang w:val="en-US" w:eastAsia="zh-CN"/>
        </w:rPr>
        <w:t>0.003106807</w:t>
      </w:r>
      <w:r>
        <w:rPr>
          <w:rFonts w:hint="default" w:ascii="Times New Roman" w:hAnsi="Times New Roman" w:eastAsia="宋体" w:cs="Times New Roman"/>
          <w:b w:val="0"/>
          <w:bCs/>
          <w:caps w:val="0"/>
          <w:color w:val="auto"/>
          <w:sz w:val="24"/>
          <w:szCs w:val="24"/>
          <w:highlight w:val="none"/>
        </w:rPr>
        <w:t>mg/</w:t>
      </w:r>
      <w:r>
        <w:rPr>
          <w:rFonts w:hint="default" w:ascii="Times New Roman" w:hAnsi="Times New Roman" w:eastAsia="宋体" w:cs="Times New Roman"/>
          <w:b w:val="0"/>
          <w:bCs/>
          <w:caps w:val="0"/>
          <w:color w:val="auto"/>
          <w:sz w:val="24"/>
          <w:szCs w:val="24"/>
          <w:highlight w:val="none"/>
          <w:lang w:val="en-US" w:eastAsia="zh-CN"/>
        </w:rPr>
        <w:t>L</w:t>
      </w:r>
      <w:r>
        <w:rPr>
          <w:rFonts w:hint="default" w:ascii="Times New Roman" w:hAnsi="Times New Roman" w:eastAsia="宋体" w:cs="Times New Roman"/>
          <w:b w:val="0"/>
          <w:bCs/>
          <w:caps w:val="0"/>
          <w:color w:val="auto"/>
          <w:sz w:val="24"/>
          <w:szCs w:val="24"/>
          <w:highlight w:val="none"/>
        </w:rPr>
        <w:t>，位于下游</w:t>
      </w:r>
      <w:r>
        <w:rPr>
          <w:rFonts w:hint="eastAsia" w:cs="Times New Roman"/>
          <w:b w:val="0"/>
          <w:bCs/>
          <w:caps w:val="0"/>
          <w:color w:val="auto"/>
          <w:sz w:val="24"/>
          <w:szCs w:val="24"/>
          <w:highlight w:val="none"/>
          <w:lang w:val="en-US" w:eastAsia="zh-CN"/>
        </w:rPr>
        <w:t>350</w:t>
      </w:r>
      <w:r>
        <w:rPr>
          <w:rFonts w:hint="default" w:ascii="Times New Roman" w:hAnsi="Times New Roman" w:eastAsia="宋体" w:cs="Times New Roman"/>
          <w:b w:val="0"/>
          <w:bCs/>
          <w:caps w:val="0"/>
          <w:color w:val="auto"/>
          <w:sz w:val="24"/>
          <w:szCs w:val="24"/>
          <w:highlight w:val="none"/>
        </w:rPr>
        <w:t>m，影响距离最远为</w:t>
      </w:r>
      <w:r>
        <w:rPr>
          <w:rFonts w:hint="eastAsia" w:cs="Times New Roman"/>
          <w:b w:val="0"/>
          <w:bCs/>
          <w:caps w:val="0"/>
          <w:color w:val="auto"/>
          <w:sz w:val="24"/>
          <w:szCs w:val="24"/>
          <w:highlight w:val="none"/>
          <w:lang w:val="en-US" w:eastAsia="zh-CN"/>
        </w:rPr>
        <w:t>500</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3650天时，污染物铜的</w:t>
      </w:r>
      <w:r>
        <w:rPr>
          <w:rFonts w:hint="default" w:ascii="Times New Roman" w:hAnsi="Times New Roman" w:eastAsia="宋体" w:cs="Times New Roman"/>
          <w:b w:val="0"/>
          <w:bCs/>
          <w:caps w:val="0"/>
          <w:color w:val="auto"/>
          <w:sz w:val="24"/>
          <w:szCs w:val="24"/>
          <w:highlight w:val="none"/>
        </w:rPr>
        <w:t>预测最大值为</w:t>
      </w:r>
      <w:r>
        <w:rPr>
          <w:rFonts w:hint="eastAsia" w:ascii="Times New Roman" w:cs="Times New Roman"/>
          <w:color w:val="auto"/>
          <w:sz w:val="24"/>
          <w:szCs w:val="24"/>
          <w:lang w:val="en-US" w:eastAsia="zh-CN"/>
        </w:rPr>
        <w:t>0.0006602487</w:t>
      </w:r>
      <w:r>
        <w:rPr>
          <w:rFonts w:hint="default" w:ascii="Times New Roman" w:hAnsi="Times New Roman" w:eastAsia="宋体" w:cs="Times New Roman"/>
          <w:b w:val="0"/>
          <w:bCs/>
          <w:caps w:val="0"/>
          <w:color w:val="auto"/>
          <w:sz w:val="24"/>
          <w:szCs w:val="24"/>
          <w:highlight w:val="none"/>
        </w:rPr>
        <w:t>mg</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aps w:val="0"/>
          <w:color w:val="auto"/>
          <w:sz w:val="24"/>
          <w:szCs w:val="24"/>
          <w:highlight w:val="none"/>
          <w:lang w:val="en-US" w:eastAsia="zh-CN"/>
        </w:rPr>
        <w:t>L</w:t>
      </w:r>
      <w:r>
        <w:rPr>
          <w:rFonts w:hint="default" w:ascii="Times New Roman" w:hAnsi="Times New Roman" w:eastAsia="宋体" w:cs="Times New Roman"/>
          <w:b w:val="0"/>
          <w:bCs/>
          <w:caps w:val="0"/>
          <w:color w:val="auto"/>
          <w:sz w:val="24"/>
          <w:szCs w:val="24"/>
          <w:highlight w:val="none"/>
        </w:rPr>
        <w:t>，位于下游</w:t>
      </w:r>
      <w:r>
        <w:rPr>
          <w:rFonts w:hint="eastAsia" w:cs="Times New Roman"/>
          <w:b w:val="0"/>
          <w:bCs/>
          <w:caps w:val="0"/>
          <w:color w:val="auto"/>
          <w:sz w:val="24"/>
          <w:szCs w:val="24"/>
          <w:highlight w:val="none"/>
          <w:lang w:val="en-US" w:eastAsia="zh-CN"/>
        </w:rPr>
        <w:t>1200</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aps w:val="0"/>
          <w:color w:val="auto"/>
          <w:sz w:val="24"/>
          <w:szCs w:val="24"/>
          <w:highlight w:val="none"/>
          <w:lang w:val="en-US" w:eastAsia="zh-CN"/>
        </w:rPr>
        <w:t>预测结果未超标，</w:t>
      </w:r>
      <w:r>
        <w:rPr>
          <w:rFonts w:hint="default" w:ascii="Times New Roman" w:hAnsi="Times New Roman" w:eastAsia="宋体" w:cs="Times New Roman"/>
          <w:b w:val="0"/>
          <w:bCs/>
          <w:caps w:val="0"/>
          <w:color w:val="auto"/>
          <w:sz w:val="24"/>
          <w:szCs w:val="24"/>
          <w:highlight w:val="none"/>
        </w:rPr>
        <w:t>影响距离最远为</w:t>
      </w:r>
      <w:r>
        <w:rPr>
          <w:rFonts w:hint="eastAsia" w:cs="Times New Roman"/>
          <w:b w:val="0"/>
          <w:bCs/>
          <w:caps w:val="0"/>
          <w:color w:val="auto"/>
          <w:sz w:val="24"/>
          <w:szCs w:val="24"/>
          <w:highlight w:val="none"/>
          <w:lang w:val="en-US" w:eastAsia="zh-CN"/>
        </w:rPr>
        <w:t>1600</w:t>
      </w:r>
      <w:r>
        <w:rPr>
          <w:rFonts w:hint="default" w:ascii="Times New Roman" w:hAnsi="Times New Roman" w:eastAsia="宋体" w:cs="Times New Roman"/>
          <w:b w:val="0"/>
          <w:bCs/>
          <w:caps w:val="0"/>
          <w:color w:val="auto"/>
          <w:sz w:val="24"/>
          <w:szCs w:val="24"/>
          <w:highlight w:val="none"/>
        </w:rPr>
        <w:t>m。</w:t>
      </w:r>
    </w:p>
    <w:p w14:paraId="180CC7F3">
      <w:pPr>
        <w:pStyle w:val="235"/>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kern w:val="0"/>
          <w:sz w:val="24"/>
          <w:szCs w:val="24"/>
          <w:highlight w:val="none"/>
          <w:lang w:val="en-US" w:eastAsia="zh-CN" w:bidi="ar-SA"/>
        </w:rPr>
        <w:t>电积液</w:t>
      </w:r>
      <w:r>
        <w:rPr>
          <w:rFonts w:hint="default" w:ascii="Times New Roman" w:hAnsi="Times New Roman" w:eastAsia="宋体" w:cs="Times New Roman"/>
          <w:b w:val="0"/>
          <w:bCs/>
          <w:color w:val="auto"/>
          <w:kern w:val="0"/>
          <w:sz w:val="24"/>
          <w:szCs w:val="24"/>
          <w:highlight w:val="none"/>
          <w:lang w:val="en-US" w:eastAsia="zh-CN" w:bidi="ar-SA"/>
        </w:rPr>
        <w:t>泄漏后100天时，污染物砷的</w:t>
      </w:r>
      <w:r>
        <w:rPr>
          <w:rFonts w:hint="default" w:ascii="Times New Roman" w:hAnsi="Times New Roman" w:eastAsia="宋体" w:cs="Times New Roman"/>
          <w:b w:val="0"/>
          <w:bCs/>
          <w:caps w:val="0"/>
          <w:color w:val="auto"/>
          <w:sz w:val="24"/>
          <w:szCs w:val="24"/>
          <w:highlight w:val="none"/>
        </w:rPr>
        <w:t>预测</w:t>
      </w:r>
      <w:r>
        <w:rPr>
          <w:rFonts w:hint="default" w:ascii="Times New Roman" w:hAnsi="Times New Roman" w:eastAsia="宋体" w:cs="Times New Roman"/>
          <w:b w:val="0"/>
          <w:bCs/>
          <w:caps w:val="0"/>
          <w:color w:val="auto"/>
          <w:sz w:val="24"/>
          <w:szCs w:val="24"/>
          <w:highlight w:val="none"/>
          <w:lang w:val="en-US" w:eastAsia="zh-CN"/>
        </w:rPr>
        <w:t>最大值为</w:t>
      </w:r>
      <w:r>
        <w:rPr>
          <w:rFonts w:hint="eastAsia" w:ascii="Times New Roman" w:cs="Times New Roman"/>
          <w:color w:val="auto"/>
          <w:sz w:val="24"/>
          <w:szCs w:val="24"/>
          <w:lang w:val="en-US" w:eastAsia="zh-CN"/>
        </w:rPr>
        <w:t>0.008041251</w:t>
      </w:r>
      <w:r>
        <w:rPr>
          <w:rFonts w:hint="default" w:ascii="Times New Roman" w:hAnsi="Times New Roman" w:eastAsia="宋体" w:cs="Times New Roman"/>
          <w:b w:val="0"/>
          <w:bCs/>
          <w:caps w:val="0"/>
          <w:color w:val="auto"/>
          <w:sz w:val="24"/>
          <w:szCs w:val="24"/>
          <w:highlight w:val="none"/>
          <w:lang w:val="en-US" w:eastAsia="zh-CN"/>
        </w:rPr>
        <w:t>mg/L，位于下游</w:t>
      </w:r>
      <w:r>
        <w:rPr>
          <w:rFonts w:hint="eastAsia" w:cs="Times New Roman"/>
          <w:b w:val="0"/>
          <w:bCs/>
          <w:caps w:val="0"/>
          <w:color w:val="auto"/>
          <w:sz w:val="24"/>
          <w:szCs w:val="24"/>
          <w:highlight w:val="none"/>
          <w:lang w:val="en-US" w:eastAsia="zh-CN"/>
        </w:rPr>
        <w:t>35</w:t>
      </w:r>
      <w:r>
        <w:rPr>
          <w:rFonts w:hint="default" w:ascii="Times New Roman" w:hAnsi="Times New Roman" w:eastAsia="宋体" w:cs="Times New Roman"/>
          <w:b w:val="0"/>
          <w:bCs/>
          <w:caps w:val="0"/>
          <w:color w:val="auto"/>
          <w:sz w:val="24"/>
          <w:szCs w:val="24"/>
          <w:highlight w:val="none"/>
          <w:lang w:val="en-US" w:eastAsia="zh-CN"/>
        </w:rPr>
        <w:t>m；</w:t>
      </w:r>
      <w:r>
        <w:rPr>
          <w:rFonts w:hint="default" w:ascii="Times New Roman" w:hAnsi="Times New Roman" w:eastAsia="宋体" w:cs="Times New Roman"/>
          <w:b w:val="0"/>
          <w:bCs/>
          <w:caps w:val="0"/>
          <w:color w:val="auto"/>
          <w:sz w:val="24"/>
          <w:szCs w:val="24"/>
          <w:highlight w:val="none"/>
        </w:rPr>
        <w:t>影响距离</w:t>
      </w:r>
      <w:r>
        <w:rPr>
          <w:rFonts w:hint="default" w:ascii="Times New Roman" w:hAnsi="Times New Roman" w:eastAsia="宋体" w:cs="Times New Roman"/>
          <w:b w:val="0"/>
          <w:bCs/>
          <w:caps w:val="0"/>
          <w:color w:val="auto"/>
          <w:sz w:val="24"/>
          <w:szCs w:val="24"/>
          <w:highlight w:val="none"/>
          <w:lang w:val="en-US" w:eastAsia="zh-CN"/>
        </w:rPr>
        <w:t>最远</w:t>
      </w:r>
      <w:r>
        <w:rPr>
          <w:rFonts w:hint="default" w:ascii="Times New Roman" w:hAnsi="Times New Roman" w:eastAsia="宋体" w:cs="Times New Roman"/>
          <w:b w:val="0"/>
          <w:bCs/>
          <w:caps w:val="0"/>
          <w:color w:val="auto"/>
          <w:sz w:val="24"/>
          <w:szCs w:val="24"/>
          <w:highlight w:val="none"/>
        </w:rPr>
        <w:t>为</w:t>
      </w:r>
      <w:r>
        <w:rPr>
          <w:rFonts w:hint="eastAsia" w:cs="Times New Roman"/>
          <w:b w:val="0"/>
          <w:bCs/>
          <w:caps w:val="0"/>
          <w:color w:val="auto"/>
          <w:sz w:val="24"/>
          <w:szCs w:val="24"/>
          <w:highlight w:val="none"/>
          <w:lang w:val="en-US" w:eastAsia="zh-CN"/>
        </w:rPr>
        <w:t>95</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1000天时，污染物砷的</w:t>
      </w:r>
      <w:r>
        <w:rPr>
          <w:rFonts w:hint="default" w:ascii="Times New Roman" w:hAnsi="Times New Roman" w:eastAsia="宋体" w:cs="Times New Roman"/>
          <w:b w:val="0"/>
          <w:bCs/>
          <w:caps w:val="0"/>
          <w:color w:val="auto"/>
          <w:sz w:val="24"/>
          <w:szCs w:val="24"/>
          <w:highlight w:val="none"/>
        </w:rPr>
        <w:t>预测</w:t>
      </w:r>
      <w:r>
        <w:rPr>
          <w:rFonts w:hint="default" w:ascii="Times New Roman" w:hAnsi="Times New Roman" w:eastAsia="宋体" w:cs="Times New Roman"/>
          <w:b w:val="0"/>
          <w:bCs/>
          <w:caps w:val="0"/>
          <w:color w:val="auto"/>
          <w:sz w:val="24"/>
          <w:szCs w:val="24"/>
          <w:highlight w:val="none"/>
          <w:lang w:val="en-US" w:eastAsia="zh-CN"/>
        </w:rPr>
        <w:t>最大值为</w:t>
      </w:r>
      <w:r>
        <w:rPr>
          <w:rFonts w:hint="eastAsia" w:ascii="Times New Roman" w:cs="Times New Roman"/>
          <w:color w:val="auto"/>
          <w:sz w:val="24"/>
          <w:szCs w:val="24"/>
          <w:lang w:val="en-US" w:eastAsia="zh-CN"/>
        </w:rPr>
        <w:t>0.001997233</w:t>
      </w:r>
      <w:r>
        <w:rPr>
          <w:rFonts w:hint="default" w:ascii="Times New Roman" w:hAnsi="Times New Roman" w:eastAsia="宋体" w:cs="Times New Roman"/>
          <w:b w:val="0"/>
          <w:bCs/>
          <w:caps w:val="0"/>
          <w:color w:val="auto"/>
          <w:sz w:val="24"/>
          <w:szCs w:val="24"/>
          <w:highlight w:val="none"/>
          <w:lang w:val="en-US" w:eastAsia="zh-CN"/>
        </w:rPr>
        <w:t>mg/L，位于下游</w:t>
      </w:r>
      <w:r>
        <w:rPr>
          <w:rFonts w:hint="eastAsia" w:cs="Times New Roman"/>
          <w:b w:val="0"/>
          <w:bCs/>
          <w:caps w:val="0"/>
          <w:color w:val="auto"/>
          <w:sz w:val="24"/>
          <w:szCs w:val="24"/>
          <w:highlight w:val="none"/>
          <w:lang w:val="en-US" w:eastAsia="zh-CN"/>
        </w:rPr>
        <w:t>350</w:t>
      </w:r>
      <w:r>
        <w:rPr>
          <w:rFonts w:hint="default" w:ascii="Times New Roman" w:hAnsi="Times New Roman" w:eastAsia="宋体" w:cs="Times New Roman"/>
          <w:b w:val="0"/>
          <w:bCs/>
          <w:caps w:val="0"/>
          <w:color w:val="auto"/>
          <w:sz w:val="24"/>
          <w:szCs w:val="24"/>
          <w:highlight w:val="none"/>
          <w:lang w:val="en-US" w:eastAsia="zh-CN"/>
        </w:rPr>
        <w:t>m；</w:t>
      </w:r>
      <w:r>
        <w:rPr>
          <w:rFonts w:hint="default" w:ascii="Times New Roman" w:hAnsi="Times New Roman" w:eastAsia="宋体" w:cs="Times New Roman"/>
          <w:b w:val="0"/>
          <w:bCs/>
          <w:caps w:val="0"/>
          <w:color w:val="auto"/>
          <w:sz w:val="24"/>
          <w:szCs w:val="24"/>
          <w:highlight w:val="none"/>
        </w:rPr>
        <w:t>影响距离</w:t>
      </w:r>
      <w:r>
        <w:rPr>
          <w:rFonts w:hint="default" w:ascii="Times New Roman" w:hAnsi="Times New Roman" w:eastAsia="宋体" w:cs="Times New Roman"/>
          <w:b w:val="0"/>
          <w:bCs/>
          <w:caps w:val="0"/>
          <w:color w:val="auto"/>
          <w:sz w:val="24"/>
          <w:szCs w:val="24"/>
          <w:highlight w:val="none"/>
          <w:lang w:val="en-US" w:eastAsia="zh-CN"/>
        </w:rPr>
        <w:t>最远</w:t>
      </w:r>
      <w:r>
        <w:rPr>
          <w:rFonts w:hint="default" w:ascii="Times New Roman" w:hAnsi="Times New Roman" w:eastAsia="宋体" w:cs="Times New Roman"/>
          <w:b w:val="0"/>
          <w:bCs/>
          <w:caps w:val="0"/>
          <w:color w:val="auto"/>
          <w:sz w:val="24"/>
          <w:szCs w:val="24"/>
          <w:highlight w:val="none"/>
        </w:rPr>
        <w:t>为</w:t>
      </w:r>
      <w:r>
        <w:rPr>
          <w:rFonts w:hint="eastAsia" w:cs="Times New Roman"/>
          <w:b w:val="0"/>
          <w:bCs/>
          <w:caps w:val="0"/>
          <w:color w:val="auto"/>
          <w:sz w:val="24"/>
          <w:szCs w:val="24"/>
          <w:highlight w:val="none"/>
          <w:lang w:val="en-US" w:eastAsia="zh-CN"/>
        </w:rPr>
        <w:t>500</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。3650天时，污染物砷的</w:t>
      </w:r>
      <w:r>
        <w:rPr>
          <w:rFonts w:hint="default" w:ascii="Times New Roman" w:hAnsi="Times New Roman" w:eastAsia="宋体" w:cs="Times New Roman"/>
          <w:b w:val="0"/>
          <w:bCs/>
          <w:caps w:val="0"/>
          <w:color w:val="auto"/>
          <w:sz w:val="24"/>
          <w:szCs w:val="24"/>
          <w:highlight w:val="none"/>
        </w:rPr>
        <w:t>预</w:t>
      </w:r>
      <w:r>
        <w:rPr>
          <w:rFonts w:hint="default" w:ascii="Times New Roman" w:hAnsi="Times New Roman" w:eastAsia="宋体" w:cs="Times New Roman"/>
          <w:b w:val="0"/>
          <w:bCs/>
          <w:caps w:val="0"/>
          <w:color w:val="auto"/>
          <w:sz w:val="24"/>
          <w:szCs w:val="24"/>
          <w:highlight w:val="none"/>
          <w:lang w:val="en-US" w:eastAsia="zh-CN"/>
        </w:rPr>
        <w:t>测最大值为</w:t>
      </w:r>
      <w:r>
        <w:rPr>
          <w:rFonts w:hint="eastAsia" w:ascii="Times New Roman" w:cs="Times New Roman"/>
          <w:color w:val="auto"/>
          <w:sz w:val="24"/>
          <w:szCs w:val="24"/>
          <w:lang w:val="en-US" w:eastAsia="zh-CN"/>
        </w:rPr>
        <w:t>0.0004244456</w:t>
      </w:r>
      <w:r>
        <w:rPr>
          <w:rFonts w:hint="default" w:ascii="Times New Roman" w:hAnsi="Times New Roman" w:eastAsia="宋体" w:cs="Times New Roman"/>
          <w:b w:val="0"/>
          <w:bCs/>
          <w:caps w:val="0"/>
          <w:color w:val="auto"/>
          <w:sz w:val="24"/>
          <w:szCs w:val="24"/>
          <w:highlight w:val="none"/>
          <w:lang w:val="en-US" w:eastAsia="zh-CN"/>
        </w:rPr>
        <w:t>mg/L，位于下游</w:t>
      </w:r>
      <w:r>
        <w:rPr>
          <w:rFonts w:hint="eastAsia" w:cs="Times New Roman"/>
          <w:b w:val="0"/>
          <w:bCs/>
          <w:caps w:val="0"/>
          <w:color w:val="auto"/>
          <w:sz w:val="24"/>
          <w:szCs w:val="24"/>
          <w:highlight w:val="none"/>
          <w:lang w:val="en-US" w:eastAsia="zh-CN"/>
        </w:rPr>
        <w:t>1200</w:t>
      </w:r>
      <w:r>
        <w:rPr>
          <w:rFonts w:hint="default" w:ascii="Times New Roman" w:hAnsi="Times New Roman" w:eastAsia="宋体" w:cs="Times New Roman"/>
          <w:b w:val="0"/>
          <w:bCs/>
          <w:caps w:val="0"/>
          <w:color w:val="auto"/>
          <w:sz w:val="24"/>
          <w:szCs w:val="24"/>
          <w:highlight w:val="none"/>
          <w:lang w:val="en-US" w:eastAsia="zh-CN"/>
        </w:rPr>
        <w:t>m；</w:t>
      </w:r>
      <w:r>
        <w:rPr>
          <w:rFonts w:hint="default" w:ascii="Times New Roman" w:hAnsi="Times New Roman" w:eastAsia="宋体" w:cs="Times New Roman"/>
          <w:b w:val="0"/>
          <w:bCs/>
          <w:caps w:val="0"/>
          <w:color w:val="auto"/>
          <w:sz w:val="24"/>
          <w:szCs w:val="24"/>
          <w:highlight w:val="none"/>
        </w:rPr>
        <w:t>影响距离</w:t>
      </w:r>
      <w:r>
        <w:rPr>
          <w:rFonts w:hint="default" w:ascii="Times New Roman" w:hAnsi="Times New Roman" w:eastAsia="宋体" w:cs="Times New Roman"/>
          <w:b w:val="0"/>
          <w:bCs/>
          <w:caps w:val="0"/>
          <w:color w:val="auto"/>
          <w:sz w:val="24"/>
          <w:szCs w:val="24"/>
          <w:highlight w:val="none"/>
          <w:lang w:val="en-US" w:eastAsia="zh-CN"/>
        </w:rPr>
        <w:t>最远</w:t>
      </w:r>
      <w:r>
        <w:rPr>
          <w:rFonts w:hint="default" w:ascii="Times New Roman" w:hAnsi="Times New Roman" w:eastAsia="宋体" w:cs="Times New Roman"/>
          <w:b w:val="0"/>
          <w:bCs/>
          <w:caps w:val="0"/>
          <w:color w:val="auto"/>
          <w:sz w:val="24"/>
          <w:szCs w:val="24"/>
          <w:highlight w:val="none"/>
        </w:rPr>
        <w:t>为</w:t>
      </w:r>
      <w:r>
        <w:rPr>
          <w:rFonts w:hint="eastAsia" w:cs="Times New Roman"/>
          <w:b w:val="0"/>
          <w:bCs/>
          <w:caps w:val="0"/>
          <w:color w:val="auto"/>
          <w:sz w:val="24"/>
          <w:szCs w:val="24"/>
          <w:highlight w:val="none"/>
          <w:lang w:val="en-US" w:eastAsia="zh-CN"/>
        </w:rPr>
        <w:t>1600</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w:t>
      </w:r>
    </w:p>
    <w:p w14:paraId="7B7C1AC1">
      <w:pPr>
        <w:pStyle w:val="235"/>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SA"/>
        </w:rPr>
        <w:sectPr>
          <w:pgSz w:w="11906" w:h="16838"/>
          <w:pgMar w:top="1440" w:right="1797" w:bottom="1440" w:left="1797" w:header="964"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3"/>
        <w:tblW w:w="501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54"/>
        <w:gridCol w:w="578"/>
        <w:gridCol w:w="7387"/>
      </w:tblGrid>
      <w:tr w14:paraId="19AF44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0" w:hRule="atLeast"/>
          <w:tblHeader/>
        </w:trPr>
        <w:tc>
          <w:tcPr>
            <w:tcW w:w="379" w:type="pct"/>
            <w:tcBorders>
              <w:tl2br w:val="nil"/>
              <w:tr2bl w:val="nil"/>
            </w:tcBorders>
            <w:noWrap w:val="0"/>
            <w:vAlign w:val="center"/>
          </w:tcPr>
          <w:p w14:paraId="3E7C28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预测</w:t>
            </w:r>
          </w:p>
          <w:p w14:paraId="339673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因子</w:t>
            </w:r>
          </w:p>
        </w:tc>
        <w:tc>
          <w:tcPr>
            <w:tcW w:w="335" w:type="pct"/>
            <w:tcBorders>
              <w:tl2br w:val="nil"/>
              <w:tr2bl w:val="nil"/>
            </w:tcBorders>
            <w:noWrap w:val="0"/>
            <w:vAlign w:val="center"/>
          </w:tcPr>
          <w:p w14:paraId="5803B7F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预测</w:t>
            </w:r>
          </w:p>
          <w:p w14:paraId="0E0336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时段</w:t>
            </w:r>
          </w:p>
        </w:tc>
        <w:tc>
          <w:tcPr>
            <w:tcW w:w="4285" w:type="pct"/>
            <w:tcBorders>
              <w:tl2br w:val="nil"/>
              <w:tr2bl w:val="nil"/>
            </w:tcBorders>
            <w:noWrap w:val="0"/>
            <w:vAlign w:val="center"/>
          </w:tcPr>
          <w:p w14:paraId="363106C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预测结果</w:t>
            </w:r>
          </w:p>
        </w:tc>
      </w:tr>
      <w:tr w14:paraId="14B07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9" w:type="pct"/>
            <w:vMerge w:val="restart"/>
            <w:tcBorders>
              <w:tl2br w:val="nil"/>
              <w:tr2bl w:val="nil"/>
            </w:tcBorders>
            <w:noWrap w:val="0"/>
            <w:vAlign w:val="center"/>
          </w:tcPr>
          <w:p w14:paraId="7C6C70D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color w:val="auto"/>
                <w:sz w:val="21"/>
                <w:szCs w:val="21"/>
                <w:highlight w:val="none"/>
                <w:lang w:eastAsia="zh-CN"/>
              </w:rPr>
            </w:pPr>
            <w:r>
              <w:rPr>
                <w:rFonts w:hint="eastAsia" w:ascii="Times New Roman" w:hAnsi="Times New Roman" w:eastAsia="宋体"/>
                <w:caps w:val="0"/>
                <w:color w:val="auto"/>
                <w:sz w:val="21"/>
                <w:szCs w:val="21"/>
                <w:highlight w:val="none"/>
                <w:lang w:val="en-US" w:eastAsia="zh-CN"/>
              </w:rPr>
              <w:t>铜</w:t>
            </w:r>
          </w:p>
        </w:tc>
        <w:tc>
          <w:tcPr>
            <w:tcW w:w="335" w:type="pct"/>
            <w:tcBorders>
              <w:tl2br w:val="nil"/>
              <w:tr2bl w:val="nil"/>
            </w:tcBorders>
            <w:noWrap w:val="0"/>
            <w:vAlign w:val="center"/>
          </w:tcPr>
          <w:p w14:paraId="403DADF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10</w:t>
            </w:r>
            <w:r>
              <w:rPr>
                <w:rFonts w:hint="eastAsia" w:ascii="Times New Roman" w:hAnsi="Times New Roman" w:eastAsia="宋体"/>
                <w:caps w:val="0"/>
                <w:color w:val="auto"/>
                <w:sz w:val="21"/>
                <w:szCs w:val="21"/>
                <w:highlight w:val="none"/>
              </w:rPr>
              <w:t>0</w:t>
            </w:r>
            <w:r>
              <w:rPr>
                <w:rFonts w:ascii="Times New Roman" w:hAnsi="Times New Roman" w:eastAsia="宋体"/>
                <w:caps w:val="0"/>
                <w:color w:val="auto"/>
                <w:sz w:val="21"/>
                <w:szCs w:val="21"/>
                <w:highlight w:val="none"/>
              </w:rPr>
              <w:t>d</w:t>
            </w:r>
          </w:p>
        </w:tc>
        <w:tc>
          <w:tcPr>
            <w:tcW w:w="4285" w:type="pct"/>
            <w:tcBorders>
              <w:tl2br w:val="nil"/>
              <w:tr2bl w:val="nil"/>
            </w:tcBorders>
            <w:noWrap w:val="0"/>
            <w:vAlign w:val="center"/>
          </w:tcPr>
          <w:p w14:paraId="6B161CB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74870D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379" w:type="pct"/>
            <w:vMerge w:val="continue"/>
            <w:tcBorders>
              <w:tl2br w:val="nil"/>
              <w:tr2bl w:val="nil"/>
            </w:tcBorders>
            <w:noWrap w:val="0"/>
            <w:vAlign w:val="center"/>
          </w:tcPr>
          <w:p w14:paraId="47BC528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c>
          <w:tcPr>
            <w:tcW w:w="335" w:type="pct"/>
            <w:tcBorders>
              <w:tl2br w:val="nil"/>
              <w:tr2bl w:val="nil"/>
            </w:tcBorders>
            <w:noWrap w:val="0"/>
            <w:vAlign w:val="center"/>
          </w:tcPr>
          <w:p w14:paraId="1AE725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10</w:t>
            </w:r>
            <w:r>
              <w:rPr>
                <w:rFonts w:hint="eastAsia" w:ascii="Times New Roman" w:hAnsi="Times New Roman" w:eastAsia="宋体"/>
                <w:caps w:val="0"/>
                <w:color w:val="auto"/>
                <w:sz w:val="21"/>
                <w:szCs w:val="21"/>
                <w:highlight w:val="none"/>
              </w:rPr>
              <w:t>00</w:t>
            </w:r>
            <w:r>
              <w:rPr>
                <w:rFonts w:ascii="Times New Roman" w:hAnsi="Times New Roman" w:eastAsia="宋体"/>
                <w:caps w:val="0"/>
                <w:color w:val="auto"/>
                <w:sz w:val="21"/>
                <w:szCs w:val="21"/>
                <w:highlight w:val="none"/>
              </w:rPr>
              <w:t>d</w:t>
            </w:r>
          </w:p>
        </w:tc>
        <w:tc>
          <w:tcPr>
            <w:tcW w:w="4285" w:type="pct"/>
            <w:tcBorders>
              <w:tl2br w:val="nil"/>
              <w:tr2bl w:val="nil"/>
            </w:tcBorders>
            <w:noWrap w:val="0"/>
            <w:vAlign w:val="center"/>
          </w:tcPr>
          <w:p w14:paraId="4AC0A8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0F0BF9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9" w:type="pct"/>
            <w:vMerge w:val="continue"/>
            <w:tcBorders>
              <w:tl2br w:val="nil"/>
              <w:tr2bl w:val="nil"/>
            </w:tcBorders>
            <w:noWrap w:val="0"/>
            <w:vAlign w:val="center"/>
          </w:tcPr>
          <w:p w14:paraId="7BD5FB7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c>
          <w:tcPr>
            <w:tcW w:w="335" w:type="pct"/>
            <w:tcBorders>
              <w:tl2br w:val="nil"/>
              <w:tr2bl w:val="nil"/>
            </w:tcBorders>
            <w:noWrap w:val="0"/>
            <w:vAlign w:val="center"/>
          </w:tcPr>
          <w:p w14:paraId="4A7883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hint="eastAsia" w:ascii="Times New Roman" w:hAnsi="Times New Roman" w:eastAsia="宋体"/>
                <w:caps w:val="0"/>
                <w:color w:val="auto"/>
                <w:sz w:val="21"/>
                <w:szCs w:val="21"/>
                <w:highlight w:val="none"/>
              </w:rPr>
              <w:t>3650d</w:t>
            </w:r>
          </w:p>
        </w:tc>
        <w:tc>
          <w:tcPr>
            <w:tcW w:w="4285" w:type="pct"/>
            <w:tcBorders>
              <w:tl2br w:val="nil"/>
              <w:tr2bl w:val="nil"/>
            </w:tcBorders>
            <w:noWrap w:val="0"/>
            <w:vAlign w:val="center"/>
          </w:tcPr>
          <w:p w14:paraId="61902A5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4F9FAF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38" w:hRule="atLeast"/>
        </w:trPr>
        <w:tc>
          <w:tcPr>
            <w:tcW w:w="379" w:type="pct"/>
            <w:vMerge w:val="restart"/>
            <w:tcBorders>
              <w:tl2br w:val="nil"/>
              <w:tr2bl w:val="nil"/>
            </w:tcBorders>
            <w:noWrap w:val="0"/>
            <w:vAlign w:val="center"/>
          </w:tcPr>
          <w:p w14:paraId="0C188C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SA"/>
              </w:rPr>
              <w:t>砷</w:t>
            </w:r>
          </w:p>
        </w:tc>
        <w:tc>
          <w:tcPr>
            <w:tcW w:w="335" w:type="pct"/>
            <w:tcBorders>
              <w:tl2br w:val="nil"/>
              <w:tr2bl w:val="nil"/>
            </w:tcBorders>
            <w:noWrap w:val="0"/>
            <w:vAlign w:val="center"/>
          </w:tcPr>
          <w:p w14:paraId="703F618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1</w:t>
            </w:r>
            <w:r>
              <w:rPr>
                <w:rFonts w:hint="eastAsia" w:ascii="Times New Roman" w:hAnsi="Times New Roman" w:eastAsia="宋体"/>
                <w:caps w:val="0"/>
                <w:color w:val="auto"/>
                <w:sz w:val="21"/>
                <w:szCs w:val="21"/>
                <w:highlight w:val="none"/>
              </w:rPr>
              <w:t>0</w:t>
            </w:r>
            <w:r>
              <w:rPr>
                <w:rFonts w:ascii="Times New Roman" w:hAnsi="Times New Roman" w:eastAsia="宋体"/>
                <w:caps w:val="0"/>
                <w:color w:val="auto"/>
                <w:sz w:val="21"/>
                <w:szCs w:val="21"/>
                <w:highlight w:val="none"/>
              </w:rPr>
              <w:t>0d</w:t>
            </w:r>
          </w:p>
        </w:tc>
        <w:tc>
          <w:tcPr>
            <w:tcW w:w="4285" w:type="pct"/>
            <w:tcBorders>
              <w:tl2br w:val="nil"/>
              <w:tr2bl w:val="nil"/>
            </w:tcBorders>
            <w:noWrap w:val="0"/>
            <w:vAlign w:val="center"/>
          </w:tcPr>
          <w:p w14:paraId="6EDD704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408805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379" w:type="pct"/>
            <w:vMerge w:val="continue"/>
            <w:tcBorders>
              <w:tl2br w:val="nil"/>
              <w:tr2bl w:val="nil"/>
            </w:tcBorders>
            <w:noWrap w:val="0"/>
            <w:vAlign w:val="center"/>
          </w:tcPr>
          <w:p w14:paraId="660B6D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c>
          <w:tcPr>
            <w:tcW w:w="335" w:type="pct"/>
            <w:tcBorders>
              <w:tl2br w:val="nil"/>
              <w:tr2bl w:val="nil"/>
            </w:tcBorders>
            <w:noWrap w:val="0"/>
            <w:vAlign w:val="center"/>
          </w:tcPr>
          <w:p w14:paraId="6E49B80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100</w:t>
            </w:r>
            <w:r>
              <w:rPr>
                <w:rFonts w:hint="eastAsia" w:ascii="Times New Roman" w:hAnsi="Times New Roman" w:eastAsia="宋体"/>
                <w:caps w:val="0"/>
                <w:color w:val="auto"/>
                <w:sz w:val="21"/>
                <w:szCs w:val="21"/>
                <w:highlight w:val="none"/>
              </w:rPr>
              <w:t>0</w:t>
            </w:r>
            <w:r>
              <w:rPr>
                <w:rFonts w:ascii="Times New Roman" w:hAnsi="Times New Roman" w:eastAsia="宋体"/>
                <w:caps w:val="0"/>
                <w:color w:val="auto"/>
                <w:sz w:val="21"/>
                <w:szCs w:val="21"/>
                <w:highlight w:val="none"/>
              </w:rPr>
              <w:t>d</w:t>
            </w:r>
          </w:p>
        </w:tc>
        <w:tc>
          <w:tcPr>
            <w:tcW w:w="4285" w:type="pct"/>
            <w:tcBorders>
              <w:tl2br w:val="nil"/>
              <w:tr2bl w:val="nil"/>
            </w:tcBorders>
            <w:noWrap w:val="0"/>
            <w:vAlign w:val="center"/>
          </w:tcPr>
          <w:p w14:paraId="21A400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5F4F7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9" w:type="pct"/>
            <w:vMerge w:val="continue"/>
            <w:tcBorders>
              <w:tl2br w:val="nil"/>
              <w:tr2bl w:val="nil"/>
            </w:tcBorders>
            <w:noWrap w:val="0"/>
            <w:vAlign w:val="center"/>
          </w:tcPr>
          <w:p w14:paraId="42F5F52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c>
          <w:tcPr>
            <w:tcW w:w="335" w:type="pct"/>
            <w:tcBorders>
              <w:tl2br w:val="nil"/>
              <w:tr2bl w:val="nil"/>
            </w:tcBorders>
            <w:noWrap w:val="0"/>
            <w:vAlign w:val="center"/>
          </w:tcPr>
          <w:p w14:paraId="37E7191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hint="eastAsia" w:ascii="Times New Roman" w:hAnsi="Times New Roman" w:eastAsia="宋体"/>
                <w:caps w:val="0"/>
                <w:color w:val="auto"/>
                <w:sz w:val="21"/>
                <w:szCs w:val="21"/>
                <w:highlight w:val="none"/>
              </w:rPr>
              <w:t>3650d</w:t>
            </w:r>
          </w:p>
        </w:tc>
        <w:tc>
          <w:tcPr>
            <w:tcW w:w="4285" w:type="pct"/>
            <w:tcBorders>
              <w:tl2br w:val="nil"/>
              <w:tr2bl w:val="nil"/>
            </w:tcBorders>
            <w:noWrap w:val="0"/>
            <w:vAlign w:val="center"/>
          </w:tcPr>
          <w:p w14:paraId="5A71F4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bl>
    <w:p w14:paraId="43678DD1">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bCs/>
          <w:color w:val="auto"/>
          <w:sz w:val="21"/>
          <w:szCs w:val="21"/>
          <w:highlight w:val="none"/>
          <w:lang w:val="en-US" w:eastAsia="zh-CN"/>
        </w:rPr>
        <w:t>图5.</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w:t>
      </w:r>
      <w:r>
        <w:rPr>
          <w:rFonts w:hint="eastAsia" w:asci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非正常工况下地下水预测结果图</w:t>
      </w:r>
    </w:p>
    <w:p w14:paraId="5C7F614D">
      <w:pPr>
        <w:pStyle w:val="9"/>
        <w:rPr>
          <w:rFonts w:hint="eastAsia" w:ascii="Times New Roman" w:hAnsi="Times New Roman" w:eastAsia="宋体" w:cs="Times New Roman"/>
          <w:b/>
          <w:color w:val="auto"/>
          <w:szCs w:val="28"/>
          <w:highlight w:val="none"/>
          <w:lang w:val="en-US" w:eastAsia="zh-CN"/>
        </w:rPr>
      </w:pPr>
    </w:p>
    <w:p w14:paraId="1910206C">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5.6.3.3</w:t>
      </w:r>
      <w:r>
        <w:rPr>
          <w:rFonts w:hint="default" w:ascii="Times New Roman" w:hAnsi="Times New Roman" w:eastAsia="宋体" w:cs="Times New Roman"/>
          <w:b/>
          <w:color w:val="auto"/>
          <w:szCs w:val="28"/>
          <w:highlight w:val="none"/>
          <w:lang w:val="en-US" w:eastAsia="zh-CN"/>
        </w:rPr>
        <w:t>小结</w:t>
      </w:r>
    </w:p>
    <w:p w14:paraId="2D49691E">
      <w:pPr>
        <w:pStyle w:val="9"/>
        <w:rPr>
          <w:rFonts w:hint="default" w:ascii="Times New Roman" w:hAnsi="Times New Roman" w:eastAsia="宋体" w:cs="Times New Roman"/>
          <w:b w:val="0"/>
          <w:bCs/>
          <w:color w:val="auto"/>
          <w:spacing w:val="0"/>
          <w:sz w:val="24"/>
          <w:highlight w:val="none"/>
        </w:rPr>
      </w:pPr>
      <w:r>
        <w:rPr>
          <w:rFonts w:hint="default" w:ascii="Times New Roman" w:hAnsi="Times New Roman" w:eastAsia="宋体" w:cs="Times New Roman"/>
          <w:b w:val="0"/>
          <w:bCs/>
          <w:color w:val="auto"/>
          <w:spacing w:val="0"/>
          <w:sz w:val="24"/>
          <w:highlight w:val="none"/>
        </w:rPr>
        <w:t>正常工况下，项目</w:t>
      </w:r>
      <w:r>
        <w:rPr>
          <w:rFonts w:hint="eastAsia" w:ascii="Times New Roman" w:eastAsia="宋体" w:cs="Times New Roman"/>
          <w:b w:val="0"/>
          <w:bCs/>
          <w:color w:val="auto"/>
          <w:spacing w:val="0"/>
          <w:sz w:val="24"/>
          <w:highlight w:val="none"/>
          <w:lang w:val="en-US" w:eastAsia="zh-CN"/>
        </w:rPr>
        <w:t>生产</w:t>
      </w:r>
      <w:r>
        <w:rPr>
          <w:rFonts w:hint="default" w:ascii="Times New Roman" w:hAnsi="Times New Roman" w:eastAsia="宋体" w:cs="Times New Roman"/>
          <w:b w:val="0"/>
          <w:bCs/>
          <w:color w:val="auto"/>
          <w:spacing w:val="0"/>
          <w:sz w:val="24"/>
          <w:highlight w:val="none"/>
        </w:rPr>
        <w:t>的构筑物防渗层未发生破裂，不会出现</w:t>
      </w:r>
      <w:r>
        <w:rPr>
          <w:rFonts w:hint="eastAsia"/>
          <w:color w:val="auto"/>
          <w:lang w:val="en-US" w:eastAsia="zh-CN"/>
        </w:rPr>
        <w:t>液体物料</w:t>
      </w:r>
      <w:r>
        <w:rPr>
          <w:rFonts w:hint="default" w:ascii="Times New Roman" w:hAnsi="Times New Roman" w:eastAsia="宋体" w:cs="Times New Roman"/>
          <w:b w:val="0"/>
          <w:bCs/>
          <w:color w:val="auto"/>
          <w:spacing w:val="0"/>
          <w:sz w:val="24"/>
          <w:highlight w:val="none"/>
        </w:rPr>
        <w:t>下渗污染地下水的事故，对环境影响较小。</w:t>
      </w:r>
    </w:p>
    <w:p w14:paraId="736DA7AD">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highlight w:val="none"/>
        </w:rPr>
      </w:pPr>
      <w:r>
        <w:rPr>
          <w:rFonts w:hint="default" w:ascii="Times New Roman" w:hAnsi="Times New Roman" w:eastAsia="宋体" w:cs="Times New Roman"/>
          <w:b w:val="0"/>
          <w:bCs/>
          <w:color w:val="auto"/>
          <w:spacing w:val="0"/>
          <w:sz w:val="24"/>
          <w:highlight w:val="none"/>
          <w:lang w:val="en-US" w:eastAsia="zh-CN"/>
        </w:rPr>
        <w:t>非正常工况下，忽略包气带的阻滞作用，以污染物直接进入含水层预测结果可以看出，</w:t>
      </w:r>
      <w:r>
        <w:rPr>
          <w:rFonts w:hint="default" w:ascii="Times New Roman" w:hAnsi="Times New Roman" w:eastAsia="宋体" w:cs="Times New Roman"/>
          <w:b w:val="0"/>
          <w:bCs/>
          <w:color w:val="auto"/>
          <w:spacing w:val="0"/>
          <w:sz w:val="24"/>
          <w:highlight w:val="none"/>
        </w:rPr>
        <w:t>由于区域水力坡度小，水流速度较慢，发生泄漏</w:t>
      </w:r>
      <w:r>
        <w:rPr>
          <w:rFonts w:hint="default" w:ascii="Times New Roman" w:hAnsi="Times New Roman" w:eastAsia="宋体" w:cs="Times New Roman"/>
          <w:b w:val="0"/>
          <w:bCs/>
          <w:color w:val="auto"/>
          <w:spacing w:val="0"/>
          <w:sz w:val="24"/>
          <w:highlight w:val="none"/>
          <w:lang w:val="en-US" w:eastAsia="zh-CN"/>
        </w:rPr>
        <w:t>污染物</w:t>
      </w:r>
      <w:r>
        <w:rPr>
          <w:rFonts w:hint="default" w:ascii="Times New Roman" w:hAnsi="Times New Roman" w:eastAsia="宋体" w:cs="Times New Roman"/>
          <w:b w:val="0"/>
          <w:bCs/>
          <w:color w:val="auto"/>
          <w:spacing w:val="0"/>
          <w:sz w:val="24"/>
          <w:highlight w:val="none"/>
        </w:rPr>
        <w:t>进入</w:t>
      </w:r>
      <w:r>
        <w:rPr>
          <w:rFonts w:hint="default" w:ascii="Times New Roman" w:hAnsi="Times New Roman" w:eastAsia="宋体" w:cs="Times New Roman"/>
          <w:b w:val="0"/>
          <w:bCs/>
          <w:color w:val="auto"/>
          <w:spacing w:val="0"/>
          <w:sz w:val="24"/>
          <w:highlight w:val="none"/>
          <w:lang w:val="en-US" w:eastAsia="zh-CN"/>
        </w:rPr>
        <w:t>含水层中</w:t>
      </w:r>
      <w:r>
        <w:rPr>
          <w:rFonts w:hint="default" w:ascii="Times New Roman" w:hAnsi="Times New Roman" w:eastAsia="宋体" w:cs="Times New Roman"/>
          <w:b w:val="0"/>
          <w:bCs/>
          <w:color w:val="auto"/>
          <w:spacing w:val="0"/>
          <w:sz w:val="24"/>
          <w:highlight w:val="none"/>
        </w:rPr>
        <w:t>在地下水中的运移速度较</w:t>
      </w:r>
      <w:r>
        <w:rPr>
          <w:rFonts w:hint="eastAsia" w:ascii="Times New Roman" w:eastAsia="宋体" w:cs="Times New Roman"/>
          <w:b w:val="0"/>
          <w:bCs/>
          <w:color w:val="auto"/>
          <w:spacing w:val="0"/>
          <w:sz w:val="24"/>
          <w:highlight w:val="none"/>
          <w:lang w:val="en-US" w:eastAsia="zh-CN"/>
        </w:rPr>
        <w:t>慢</w:t>
      </w:r>
      <w:r>
        <w:rPr>
          <w:rFonts w:hint="default" w:ascii="Times New Roman" w:hAnsi="Times New Roman" w:eastAsia="宋体" w:cs="Times New Roman"/>
          <w:b w:val="0"/>
          <w:bCs/>
          <w:color w:val="auto"/>
          <w:spacing w:val="0"/>
          <w:sz w:val="24"/>
          <w:highlight w:val="none"/>
        </w:rPr>
        <w:t>，电积液中的污染物</w:t>
      </w:r>
      <w:r>
        <w:rPr>
          <w:rFonts w:hint="default" w:ascii="Times New Roman" w:hAnsi="Times New Roman" w:eastAsia="宋体" w:cs="Times New Roman"/>
          <w:b w:val="0"/>
          <w:bCs/>
          <w:color w:val="auto"/>
          <w:spacing w:val="0"/>
          <w:sz w:val="24"/>
          <w:highlight w:val="none"/>
          <w:lang w:val="en-US" w:eastAsia="zh-CN"/>
        </w:rPr>
        <w:t>铜超标</w:t>
      </w:r>
      <w:r>
        <w:rPr>
          <w:rFonts w:hint="default" w:ascii="Times New Roman" w:hAnsi="Times New Roman" w:eastAsia="宋体" w:cs="Times New Roman"/>
          <w:b w:val="0"/>
          <w:bCs/>
          <w:color w:val="auto"/>
          <w:spacing w:val="0"/>
          <w:sz w:val="24"/>
          <w:highlight w:val="none"/>
        </w:rPr>
        <w:t>影响</w:t>
      </w:r>
      <w:r>
        <w:rPr>
          <w:rFonts w:hint="default" w:ascii="Times New Roman" w:hAnsi="Times New Roman" w:eastAsia="宋体" w:cs="Times New Roman"/>
          <w:b w:val="0"/>
          <w:bCs/>
          <w:color w:val="auto"/>
          <w:spacing w:val="0"/>
          <w:sz w:val="24"/>
          <w:highlight w:val="none"/>
          <w:lang w:val="en-US" w:eastAsia="zh-CN"/>
        </w:rPr>
        <w:t>最远距离位于下游</w:t>
      </w:r>
      <w:r>
        <w:rPr>
          <w:rFonts w:hint="eastAsia" w:ascii="Times New Roman" w:eastAsia="宋体" w:cs="Times New Roman"/>
          <w:b w:val="0"/>
          <w:bCs/>
          <w:color w:val="auto"/>
          <w:spacing w:val="0"/>
          <w:sz w:val="24"/>
          <w:highlight w:val="none"/>
          <w:lang w:val="en-US" w:eastAsia="zh-CN"/>
        </w:rPr>
        <w:t>35</w:t>
      </w:r>
      <w:r>
        <w:rPr>
          <w:rFonts w:hint="default" w:ascii="Times New Roman" w:hAnsi="Times New Roman" w:eastAsia="宋体" w:cs="Times New Roman"/>
          <w:b w:val="0"/>
          <w:bCs/>
          <w:color w:val="auto"/>
          <w:spacing w:val="0"/>
          <w:sz w:val="24"/>
          <w:highlight w:val="none"/>
          <w:lang w:val="en-US" w:eastAsia="zh-CN"/>
        </w:rPr>
        <w:t>m</w:t>
      </w:r>
      <w:r>
        <w:rPr>
          <w:rFonts w:hint="default" w:ascii="Times New Roman" w:hAnsi="Times New Roman" w:eastAsia="宋体" w:cs="Times New Roman"/>
          <w:b w:val="0"/>
          <w:bCs/>
          <w:color w:val="auto"/>
          <w:spacing w:val="0"/>
          <w:sz w:val="24"/>
          <w:highlight w:val="none"/>
        </w:rPr>
        <w:t>，</w:t>
      </w:r>
      <w:r>
        <w:rPr>
          <w:rFonts w:hint="eastAsia" w:ascii="Times New Roman" w:hAnsi="Times New Roman" w:eastAsia="宋体" w:cs="Times New Roman"/>
          <w:b w:val="0"/>
          <w:bCs/>
          <w:color w:val="auto"/>
          <w:spacing w:val="0"/>
          <w:sz w:val="24"/>
          <w:highlight w:val="none"/>
          <w:lang w:val="en-US" w:eastAsia="zh-CN"/>
        </w:rPr>
        <w:t>砷</w:t>
      </w:r>
      <w:r>
        <w:rPr>
          <w:rFonts w:hint="default" w:ascii="Times New Roman" w:hAnsi="Times New Roman" w:eastAsia="宋体" w:cs="Times New Roman"/>
          <w:b w:val="0"/>
          <w:bCs/>
          <w:color w:val="auto"/>
          <w:spacing w:val="0"/>
          <w:sz w:val="24"/>
          <w:highlight w:val="none"/>
          <w:lang w:val="en-US" w:eastAsia="zh-CN"/>
        </w:rPr>
        <w:t>超标影响最远距离位于下游</w:t>
      </w:r>
      <w:r>
        <w:rPr>
          <w:rFonts w:hint="eastAsia" w:ascii="Times New Roman" w:eastAsia="宋体" w:cs="Times New Roman"/>
          <w:b w:val="0"/>
          <w:bCs/>
          <w:color w:val="auto"/>
          <w:spacing w:val="0"/>
          <w:sz w:val="24"/>
          <w:highlight w:val="none"/>
          <w:lang w:val="en-US" w:eastAsia="zh-CN"/>
        </w:rPr>
        <w:t>35</w:t>
      </w:r>
      <w:r>
        <w:rPr>
          <w:rFonts w:hint="default" w:ascii="Times New Roman" w:hAnsi="Times New Roman" w:eastAsia="宋体" w:cs="Times New Roman"/>
          <w:b w:val="0"/>
          <w:bCs/>
          <w:color w:val="auto"/>
          <w:spacing w:val="0"/>
          <w:sz w:val="24"/>
          <w:highlight w:val="none"/>
          <w:lang w:val="en-US" w:eastAsia="zh-CN"/>
        </w:rPr>
        <w:t>m</w:t>
      </w:r>
      <w:r>
        <w:rPr>
          <w:rFonts w:hint="default" w:ascii="Times New Roman" w:hAnsi="Times New Roman" w:eastAsia="宋体" w:cs="Times New Roman"/>
          <w:b w:val="0"/>
          <w:bCs/>
          <w:color w:val="auto"/>
          <w:spacing w:val="0"/>
          <w:sz w:val="24"/>
          <w:highlight w:val="none"/>
        </w:rPr>
        <w:t>。</w:t>
      </w:r>
    </w:p>
    <w:p w14:paraId="1294EFFE">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eastAsia="宋体" w:cs="Times New Roman"/>
          <w:b w:val="0"/>
          <w:bCs/>
          <w:color w:val="auto"/>
          <w:spacing w:val="0"/>
          <w:sz w:val="24"/>
          <w:highlight w:val="none"/>
        </w:rPr>
        <w:t>项目评价范围内没有地下水环境敏感点，评价建议</w:t>
      </w:r>
      <w:r>
        <w:rPr>
          <w:rFonts w:hint="default" w:ascii="Times New Roman" w:hAnsi="Times New Roman" w:eastAsia="宋体" w:cs="Times New Roman"/>
          <w:b w:val="0"/>
          <w:bCs/>
          <w:color w:val="auto"/>
          <w:spacing w:val="0"/>
          <w:sz w:val="24"/>
          <w:highlight w:val="none"/>
          <w:lang w:val="en-US" w:eastAsia="zh-CN"/>
        </w:rPr>
        <w:t>生产装置区、各类池体</w:t>
      </w:r>
      <w:r>
        <w:rPr>
          <w:rFonts w:hint="default" w:ascii="Times New Roman" w:hAnsi="Times New Roman" w:eastAsia="宋体" w:cs="Times New Roman"/>
          <w:b w:val="0"/>
          <w:bCs/>
          <w:color w:val="auto"/>
          <w:spacing w:val="0"/>
          <w:sz w:val="24"/>
          <w:highlight w:val="none"/>
        </w:rPr>
        <w:t>构筑物应加强防渗、防腐措施，同时制定严格的巡检制度并落实到责任人，杜绝项目厂区地面及各类废水池防渗措施出现渗漏现象，在落实以上各项防渗措施和巡检制度后，基本可杜绝非正常泄漏的发生</w:t>
      </w:r>
      <w:r>
        <w:rPr>
          <w:rFonts w:hint="default" w:ascii="Times New Roman" w:hAnsi="Times New Roman" w:eastAsia="宋体" w:cs="Times New Roman"/>
          <w:b w:val="0"/>
          <w:bCs/>
          <w:color w:val="auto"/>
          <w:spacing w:val="0"/>
          <w:sz w:val="24"/>
          <w:highlight w:val="none"/>
          <w:lang w:val="en-US" w:eastAsia="zh-CN"/>
        </w:rPr>
        <w:t>。</w:t>
      </w:r>
      <w:r>
        <w:rPr>
          <w:rFonts w:hint="default" w:ascii="Times New Roman" w:hAnsi="Times New Roman" w:eastAsia="宋体" w:cs="Times New Roman"/>
          <w:b w:val="0"/>
          <w:bCs/>
          <w:color w:val="auto"/>
          <w:spacing w:val="0"/>
          <w:sz w:val="24"/>
          <w:highlight w:val="none"/>
        </w:rPr>
        <w:t>因此</w:t>
      </w: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rPr>
        <w:t>本项目地下水环境影响是可以接受的。</w:t>
      </w:r>
    </w:p>
    <w:p w14:paraId="3B51763E">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273" w:name="_Toc10506"/>
      <w:bookmarkStart w:id="274" w:name="_Toc24008"/>
      <w:r>
        <w:rPr>
          <w:rFonts w:hint="default" w:ascii="Times New Roman" w:hAnsi="Times New Roman" w:eastAsia="宋体" w:cs="Times New Roman"/>
          <w:color w:val="auto"/>
          <w:highlight w:val="none"/>
        </w:rPr>
        <w:t>5.7 土壤环境影响预测与评价</w:t>
      </w:r>
      <w:bookmarkEnd w:id="190"/>
      <w:bookmarkEnd w:id="273"/>
      <w:bookmarkEnd w:id="274"/>
    </w:p>
    <w:p w14:paraId="42262C81">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5.7.1</w:t>
      </w:r>
      <w:r>
        <w:rPr>
          <w:rFonts w:hint="default" w:ascii="Times New Roman" w:hAnsi="Times New Roman" w:eastAsia="宋体" w:cs="Times New Roman"/>
          <w:color w:val="auto"/>
          <w:highlight w:val="none"/>
        </w:rPr>
        <w:t>土壤环境影响类型</w:t>
      </w:r>
    </w:p>
    <w:p w14:paraId="02F4B36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（1）项目类型</w:t>
      </w:r>
    </w:p>
    <w:p w14:paraId="348DF6C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根据《环境影响评价技术导则</w:t>
      </w:r>
      <w:r>
        <w:rPr>
          <w:rFonts w:hint="eastAsia" w:ascii="Times New Roman" w:hAnsi="Times New Roman"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rPr>
        <w:t>土壤环境（试行）》（HJ964-2018）附表A.1，本项目土壤环境影响评价类别为Ⅰ类，土壤环境影响类型为污染影响型。</w:t>
      </w:r>
    </w:p>
    <w:p w14:paraId="784367F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（2）影响类型及途径</w:t>
      </w:r>
    </w:p>
    <w:p w14:paraId="2E1D20F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hint="eastAsia" w:cs="Times New Roman"/>
          <w:color w:val="auto"/>
          <w:kern w:val="0"/>
          <w:sz w:val="24"/>
          <w:szCs w:val="24"/>
          <w:highlight w:val="none"/>
          <w:lang w:eastAsia="zh-CN"/>
        </w:rPr>
        <w:t>运营期</w:t>
      </w:r>
      <w:r>
        <w:rPr>
          <w:rFonts w:hint="default" w:ascii="Times New Roman" w:hAnsi="Times New Roman" w:cs="Times New Roman"/>
          <w:color w:val="auto"/>
          <w:kern w:val="0"/>
          <w:sz w:val="24"/>
          <w:szCs w:val="24"/>
          <w:highlight w:val="none"/>
        </w:rPr>
        <w:t>项目废水全部处理后回用，不会造成废水地面漫流影响，不会造成土壤酸化、碱化、盐化。厂区</w:t>
      </w:r>
      <w:r>
        <w:rPr>
          <w:rFonts w:hint="eastAsia" w:cs="Times New Roman"/>
          <w:color w:val="auto"/>
          <w:kern w:val="0"/>
          <w:sz w:val="24"/>
          <w:szCs w:val="24"/>
          <w:highlight w:val="none"/>
          <w:lang w:val="en-US" w:eastAsia="zh-CN"/>
        </w:rPr>
        <w:t>萃取-电积生产</w:t>
      </w:r>
      <w:r>
        <w:rPr>
          <w:rFonts w:hint="default" w:ascii="Times New Roman" w:hAnsi="Times New Roman" w:cs="Times New Roman"/>
          <w:color w:val="auto"/>
          <w:kern w:val="0"/>
          <w:sz w:val="24"/>
          <w:szCs w:val="24"/>
          <w:highlight w:val="none"/>
        </w:rPr>
        <w:t>系统在事故泄漏工况下废水下渗将会对土壤造成</w:t>
      </w:r>
      <w:r>
        <w:rPr>
          <w:rFonts w:hint="default" w:ascii="Times New Roman" w:hAnsi="Times New Roman" w:cs="Times New Roman"/>
          <w:color w:val="auto"/>
          <w:kern w:val="0"/>
          <w:sz w:val="24"/>
          <w:szCs w:val="24"/>
          <w:highlight w:val="none"/>
        </w:rPr>
        <w:t>垂直入渗影响。</w:t>
      </w:r>
      <w:r>
        <w:rPr>
          <w:rFonts w:hint="eastAsia" w:eastAsia="宋体" w:cs="Times New Roman"/>
          <w:color w:val="auto"/>
          <w:sz w:val="24"/>
          <w:szCs w:val="24"/>
          <w:highlight w:val="none"/>
          <w:lang w:val="en-US" w:eastAsia="zh-CN"/>
        </w:rPr>
        <w:t>原矿为氧化铜矿，根据原矿成分分析，不含重金属，故不需要进行大气沉降影响预测。</w:t>
      </w:r>
      <w:r>
        <w:rPr>
          <w:rFonts w:ascii="Times New Roman" w:hAnsi="Times New Roman" w:cs="Times New Roman"/>
          <w:color w:val="auto"/>
          <w:kern w:val="0"/>
          <w:szCs w:val="24"/>
          <w:highlight w:val="none"/>
        </w:rPr>
        <w:t>综上，本项目土壤环境影响类型见表5.</w:t>
      </w:r>
      <w:r>
        <w:rPr>
          <w:rFonts w:hint="eastAsia" w:ascii="Times New Roman" w:hAnsi="Times New Roman" w:cs="Times New Roman"/>
          <w:color w:val="auto"/>
          <w:kern w:val="0"/>
          <w:szCs w:val="24"/>
          <w:highlight w:val="none"/>
          <w:lang w:val="en-US" w:eastAsia="zh-CN"/>
        </w:rPr>
        <w:t>7</w:t>
      </w:r>
      <w:r>
        <w:rPr>
          <w:rFonts w:ascii="Times New Roman" w:hAnsi="Times New Roman" w:cs="Times New Roman"/>
          <w:color w:val="auto"/>
          <w:kern w:val="0"/>
          <w:szCs w:val="24"/>
          <w:highlight w:val="none"/>
        </w:rPr>
        <w:t>-1。</w:t>
      </w:r>
    </w:p>
    <w:p w14:paraId="51BA20CB">
      <w:pPr>
        <w:pStyle w:val="48"/>
        <w:keepNext w:val="0"/>
        <w:keepLines w:val="0"/>
        <w:pageBreakBefore w:val="0"/>
        <w:widowControl w:val="0"/>
        <w:tabs>
          <w:tab w:val="left" w:pos="908"/>
        </w:tabs>
        <w:kinsoku/>
        <w:wordWrap/>
        <w:overflowPunct/>
        <w:topLinePunct w:val="0"/>
        <w:autoSpaceDE/>
        <w:autoSpaceDN/>
        <w:bidi w:val="0"/>
        <w:adjustRightInd w:val="0"/>
        <w:snapToGrid w:val="0"/>
        <w:spacing w:before="0" w:after="0" w:line="240" w:lineRule="auto"/>
        <w:ind w:left="0" w:leftChars="0" w:firstLine="0" w:firstLineChars="0"/>
        <w:textAlignment w:val="auto"/>
        <w:rPr>
          <w:b/>
          <w:bCs/>
          <w:color w:val="auto"/>
          <w:sz w:val="21"/>
          <w:szCs w:val="21"/>
          <w:highlight w:val="none"/>
        </w:rPr>
      </w:pPr>
      <w:r>
        <w:rPr>
          <w:b/>
          <w:bCs/>
          <w:color w:val="auto"/>
          <w:sz w:val="21"/>
          <w:szCs w:val="21"/>
          <w:highlight w:val="none"/>
        </w:rPr>
        <w:t>表5.</w:t>
      </w:r>
      <w:r>
        <w:rPr>
          <w:rFonts w:hint="eastAsia"/>
          <w:b/>
          <w:bCs/>
          <w:color w:val="auto"/>
          <w:sz w:val="21"/>
          <w:szCs w:val="21"/>
          <w:highlight w:val="none"/>
          <w:lang w:val="en-US" w:eastAsia="zh-CN"/>
        </w:rPr>
        <w:t>7</w:t>
      </w:r>
      <w:r>
        <w:rPr>
          <w:b/>
          <w:bCs/>
          <w:color w:val="auto"/>
          <w:sz w:val="21"/>
          <w:szCs w:val="21"/>
          <w:highlight w:val="none"/>
        </w:rPr>
        <w:t>-1    土壤环境影响类型与影响途径表</w:t>
      </w:r>
    </w:p>
    <w:tbl>
      <w:tblPr>
        <w:tblStyle w:val="33"/>
        <w:tblW w:w="4996"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9"/>
        <w:gridCol w:w="1039"/>
        <w:gridCol w:w="1075"/>
        <w:gridCol w:w="1112"/>
        <w:gridCol w:w="806"/>
        <w:gridCol w:w="792"/>
        <w:gridCol w:w="792"/>
        <w:gridCol w:w="796"/>
        <w:gridCol w:w="814"/>
      </w:tblGrid>
      <w:tr w14:paraId="08E64FA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77" w:type="pct"/>
            <w:vMerge w:val="restart"/>
            <w:tcBorders>
              <w:tl2br w:val="nil"/>
              <w:tr2bl w:val="nil"/>
            </w:tcBorders>
            <w:shd w:val="clear" w:color="auto" w:fill="auto"/>
            <w:vAlign w:val="center"/>
          </w:tcPr>
          <w:p w14:paraId="349CED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不同时段</w:t>
            </w:r>
          </w:p>
        </w:tc>
        <w:tc>
          <w:tcPr>
            <w:tcW w:w="2356" w:type="pct"/>
            <w:gridSpan w:val="4"/>
            <w:tcBorders>
              <w:tl2br w:val="nil"/>
              <w:tr2bl w:val="nil"/>
            </w:tcBorders>
            <w:shd w:val="clear" w:color="auto" w:fill="auto"/>
            <w:vAlign w:val="center"/>
          </w:tcPr>
          <w:p w14:paraId="3930E4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污染影响型</w:t>
            </w:r>
          </w:p>
        </w:tc>
        <w:tc>
          <w:tcPr>
            <w:tcW w:w="1865" w:type="pct"/>
            <w:gridSpan w:val="4"/>
            <w:tcBorders>
              <w:tl2br w:val="nil"/>
              <w:tr2bl w:val="nil"/>
            </w:tcBorders>
            <w:shd w:val="clear" w:color="auto" w:fill="auto"/>
            <w:vAlign w:val="center"/>
          </w:tcPr>
          <w:p w14:paraId="16C6BE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生态影响型</w:t>
            </w:r>
          </w:p>
        </w:tc>
      </w:tr>
      <w:tr w14:paraId="7724FB9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77" w:type="pct"/>
            <w:vMerge w:val="continue"/>
            <w:tcBorders>
              <w:tl2br w:val="nil"/>
              <w:tr2bl w:val="nil"/>
            </w:tcBorders>
            <w:shd w:val="clear" w:color="auto" w:fill="auto"/>
            <w:vAlign w:val="center"/>
          </w:tcPr>
          <w:p w14:paraId="138EB8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p>
        </w:tc>
        <w:tc>
          <w:tcPr>
            <w:tcW w:w="607" w:type="pct"/>
            <w:tcBorders>
              <w:tl2br w:val="nil"/>
              <w:tr2bl w:val="nil"/>
            </w:tcBorders>
            <w:shd w:val="clear" w:color="auto" w:fill="auto"/>
            <w:vAlign w:val="center"/>
          </w:tcPr>
          <w:p w14:paraId="613724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大气沉降</w:t>
            </w:r>
          </w:p>
        </w:tc>
        <w:tc>
          <w:tcPr>
            <w:tcW w:w="628" w:type="pct"/>
            <w:tcBorders>
              <w:tl2br w:val="nil"/>
              <w:tr2bl w:val="nil"/>
            </w:tcBorders>
            <w:shd w:val="clear" w:color="auto" w:fill="auto"/>
            <w:vAlign w:val="center"/>
          </w:tcPr>
          <w:p w14:paraId="108C80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地面漫流</w:t>
            </w:r>
          </w:p>
        </w:tc>
        <w:tc>
          <w:tcPr>
            <w:tcW w:w="650" w:type="pct"/>
            <w:tcBorders>
              <w:tl2br w:val="nil"/>
              <w:tr2bl w:val="nil"/>
            </w:tcBorders>
            <w:shd w:val="clear" w:color="auto" w:fill="auto"/>
            <w:vAlign w:val="center"/>
          </w:tcPr>
          <w:p w14:paraId="26A74E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垂直入渗</w:t>
            </w:r>
          </w:p>
        </w:tc>
        <w:tc>
          <w:tcPr>
            <w:tcW w:w="470" w:type="pct"/>
            <w:tcBorders>
              <w:tl2br w:val="nil"/>
              <w:tr2bl w:val="nil"/>
            </w:tcBorders>
            <w:shd w:val="clear" w:color="auto" w:fill="auto"/>
            <w:vAlign w:val="center"/>
          </w:tcPr>
          <w:p w14:paraId="742BF4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hint="eastAsia" w:cs="Times New Roman"/>
                <w:b/>
                <w:color w:val="auto"/>
                <w:sz w:val="21"/>
                <w:szCs w:val="21"/>
                <w:highlight w:val="none"/>
                <w:lang w:eastAsia="zh-CN"/>
              </w:rPr>
              <w:t>其他</w:t>
            </w:r>
          </w:p>
        </w:tc>
        <w:tc>
          <w:tcPr>
            <w:tcW w:w="463" w:type="pct"/>
            <w:tcBorders>
              <w:tl2br w:val="nil"/>
              <w:tr2bl w:val="nil"/>
            </w:tcBorders>
            <w:shd w:val="clear" w:color="auto" w:fill="auto"/>
            <w:vAlign w:val="center"/>
          </w:tcPr>
          <w:p w14:paraId="343AA7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盐化</w:t>
            </w:r>
          </w:p>
        </w:tc>
        <w:tc>
          <w:tcPr>
            <w:tcW w:w="463" w:type="pct"/>
            <w:tcBorders>
              <w:tl2br w:val="nil"/>
              <w:tr2bl w:val="nil"/>
            </w:tcBorders>
            <w:shd w:val="clear" w:color="auto" w:fill="auto"/>
            <w:vAlign w:val="center"/>
          </w:tcPr>
          <w:p w14:paraId="1260ED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碱化</w:t>
            </w:r>
          </w:p>
        </w:tc>
        <w:tc>
          <w:tcPr>
            <w:tcW w:w="465" w:type="pct"/>
            <w:tcBorders>
              <w:tl2br w:val="nil"/>
              <w:tr2bl w:val="nil"/>
            </w:tcBorders>
            <w:shd w:val="clear" w:color="auto" w:fill="auto"/>
            <w:vAlign w:val="center"/>
          </w:tcPr>
          <w:p w14:paraId="4F062E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酸化</w:t>
            </w:r>
          </w:p>
        </w:tc>
        <w:tc>
          <w:tcPr>
            <w:tcW w:w="472" w:type="pct"/>
            <w:tcBorders>
              <w:tl2br w:val="nil"/>
              <w:tr2bl w:val="nil"/>
            </w:tcBorders>
            <w:shd w:val="clear" w:color="auto" w:fill="auto"/>
            <w:vAlign w:val="center"/>
          </w:tcPr>
          <w:p w14:paraId="3E24AE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hint="eastAsia" w:cs="Times New Roman"/>
                <w:b/>
                <w:color w:val="auto"/>
                <w:sz w:val="21"/>
                <w:szCs w:val="21"/>
                <w:highlight w:val="none"/>
                <w:lang w:eastAsia="zh-CN"/>
              </w:rPr>
              <w:t>其他</w:t>
            </w:r>
          </w:p>
        </w:tc>
      </w:tr>
      <w:tr w14:paraId="51B9FBC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77" w:type="pct"/>
            <w:tcBorders>
              <w:tl2br w:val="nil"/>
              <w:tr2bl w:val="nil"/>
            </w:tcBorders>
            <w:shd w:val="clear" w:color="auto" w:fill="auto"/>
            <w:vAlign w:val="center"/>
          </w:tcPr>
          <w:p w14:paraId="5632CC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建设期</w:t>
            </w:r>
          </w:p>
        </w:tc>
        <w:tc>
          <w:tcPr>
            <w:tcW w:w="607" w:type="pct"/>
            <w:tcBorders>
              <w:tl2br w:val="nil"/>
              <w:tr2bl w:val="nil"/>
            </w:tcBorders>
            <w:shd w:val="clear" w:color="auto" w:fill="auto"/>
            <w:vAlign w:val="center"/>
          </w:tcPr>
          <w:p w14:paraId="3597E0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28" w:type="pct"/>
            <w:tcBorders>
              <w:tl2br w:val="nil"/>
              <w:tr2bl w:val="nil"/>
            </w:tcBorders>
            <w:shd w:val="clear" w:color="auto" w:fill="auto"/>
            <w:vAlign w:val="center"/>
          </w:tcPr>
          <w:p w14:paraId="24D3D7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50" w:type="pct"/>
            <w:tcBorders>
              <w:tl2br w:val="nil"/>
              <w:tr2bl w:val="nil"/>
            </w:tcBorders>
            <w:shd w:val="clear" w:color="auto" w:fill="auto"/>
            <w:vAlign w:val="center"/>
          </w:tcPr>
          <w:p w14:paraId="61F053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70" w:type="pct"/>
            <w:tcBorders>
              <w:tl2br w:val="nil"/>
              <w:tr2bl w:val="nil"/>
            </w:tcBorders>
            <w:shd w:val="clear" w:color="auto" w:fill="auto"/>
            <w:vAlign w:val="center"/>
          </w:tcPr>
          <w:p w14:paraId="641972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3" w:type="pct"/>
            <w:tcBorders>
              <w:tl2br w:val="nil"/>
              <w:tr2bl w:val="nil"/>
            </w:tcBorders>
            <w:shd w:val="clear" w:color="auto" w:fill="auto"/>
            <w:vAlign w:val="center"/>
          </w:tcPr>
          <w:p w14:paraId="1A6B61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3" w:type="pct"/>
            <w:tcBorders>
              <w:tl2br w:val="nil"/>
              <w:tr2bl w:val="nil"/>
            </w:tcBorders>
            <w:shd w:val="clear" w:color="auto" w:fill="auto"/>
            <w:vAlign w:val="center"/>
          </w:tcPr>
          <w:p w14:paraId="730DA6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5" w:type="pct"/>
            <w:tcBorders>
              <w:tl2br w:val="nil"/>
              <w:tr2bl w:val="nil"/>
            </w:tcBorders>
            <w:shd w:val="clear" w:color="auto" w:fill="auto"/>
            <w:vAlign w:val="center"/>
          </w:tcPr>
          <w:p w14:paraId="292A65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72" w:type="pct"/>
            <w:tcBorders>
              <w:tl2br w:val="nil"/>
              <w:tr2bl w:val="nil"/>
            </w:tcBorders>
            <w:shd w:val="clear" w:color="auto" w:fill="auto"/>
            <w:vAlign w:val="center"/>
          </w:tcPr>
          <w:p w14:paraId="43787B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7CBE0D0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77" w:type="pct"/>
            <w:tcBorders>
              <w:tl2br w:val="nil"/>
              <w:tr2bl w:val="nil"/>
            </w:tcBorders>
            <w:shd w:val="clear" w:color="auto" w:fill="auto"/>
            <w:vAlign w:val="center"/>
          </w:tcPr>
          <w:p w14:paraId="624645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运行期</w:t>
            </w:r>
          </w:p>
        </w:tc>
        <w:tc>
          <w:tcPr>
            <w:tcW w:w="607" w:type="pct"/>
            <w:tcBorders>
              <w:tl2br w:val="nil"/>
              <w:tr2bl w:val="nil"/>
            </w:tcBorders>
            <w:shd w:val="clear" w:color="auto" w:fill="auto"/>
            <w:vAlign w:val="center"/>
          </w:tcPr>
          <w:p w14:paraId="27340C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8" w:type="pct"/>
            <w:tcBorders>
              <w:tl2br w:val="nil"/>
              <w:tr2bl w:val="nil"/>
            </w:tcBorders>
            <w:shd w:val="clear" w:color="auto" w:fill="auto"/>
            <w:vAlign w:val="center"/>
          </w:tcPr>
          <w:p w14:paraId="79BD47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50" w:type="pct"/>
            <w:tcBorders>
              <w:tl2br w:val="nil"/>
              <w:tr2bl w:val="nil"/>
            </w:tcBorders>
            <w:shd w:val="clear" w:color="auto" w:fill="auto"/>
            <w:vAlign w:val="center"/>
          </w:tcPr>
          <w:p w14:paraId="6277C7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470" w:type="pct"/>
            <w:tcBorders>
              <w:tl2br w:val="nil"/>
              <w:tr2bl w:val="nil"/>
            </w:tcBorders>
            <w:shd w:val="clear" w:color="auto" w:fill="auto"/>
            <w:vAlign w:val="center"/>
          </w:tcPr>
          <w:p w14:paraId="68F490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3" w:type="pct"/>
            <w:tcBorders>
              <w:tl2br w:val="nil"/>
              <w:tr2bl w:val="nil"/>
            </w:tcBorders>
            <w:shd w:val="clear" w:color="auto" w:fill="auto"/>
            <w:vAlign w:val="center"/>
          </w:tcPr>
          <w:p w14:paraId="18CFF7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3" w:type="pct"/>
            <w:tcBorders>
              <w:tl2br w:val="nil"/>
              <w:tr2bl w:val="nil"/>
            </w:tcBorders>
            <w:shd w:val="clear" w:color="auto" w:fill="auto"/>
            <w:vAlign w:val="center"/>
          </w:tcPr>
          <w:p w14:paraId="387441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5" w:type="pct"/>
            <w:tcBorders>
              <w:tl2br w:val="nil"/>
              <w:tr2bl w:val="nil"/>
            </w:tcBorders>
            <w:shd w:val="clear" w:color="auto" w:fill="auto"/>
            <w:vAlign w:val="center"/>
          </w:tcPr>
          <w:p w14:paraId="093B39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72" w:type="pct"/>
            <w:tcBorders>
              <w:tl2br w:val="nil"/>
              <w:tr2bl w:val="nil"/>
            </w:tcBorders>
            <w:shd w:val="clear" w:color="auto" w:fill="auto"/>
            <w:vAlign w:val="center"/>
          </w:tcPr>
          <w:p w14:paraId="78ABF0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370E84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5000" w:type="pct"/>
            <w:gridSpan w:val="9"/>
            <w:tcBorders>
              <w:tl2br w:val="nil"/>
              <w:tr2bl w:val="nil"/>
            </w:tcBorders>
            <w:shd w:val="clear" w:color="auto" w:fill="auto"/>
            <w:vAlign w:val="center"/>
          </w:tcPr>
          <w:p w14:paraId="76FF14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注：在可能产生的土壤环境影响类型处打“√”，列表未涵盖的可自行设计。</w:t>
            </w:r>
          </w:p>
        </w:tc>
      </w:tr>
    </w:tbl>
    <w:p w14:paraId="5121BC9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由上表可知，本项目影响途径主要为</w:t>
      </w:r>
      <w:r>
        <w:rPr>
          <w:rFonts w:hint="eastAsia" w:ascii="Times New Roman" w:hAnsi="Times New Roman" w:cs="Times New Roman"/>
          <w:color w:val="auto"/>
          <w:kern w:val="0"/>
          <w:szCs w:val="24"/>
          <w:highlight w:val="none"/>
          <w:lang w:val="en-US" w:eastAsia="zh-CN"/>
        </w:rPr>
        <w:t>运行期</w:t>
      </w:r>
      <w:r>
        <w:rPr>
          <w:rFonts w:ascii="Times New Roman" w:hAnsi="Times New Roman" w:cs="Times New Roman"/>
          <w:color w:val="auto"/>
          <w:kern w:val="0"/>
          <w:szCs w:val="24"/>
          <w:highlight w:val="none"/>
        </w:rPr>
        <w:t>垂直入渗</w:t>
      </w:r>
      <w:r>
        <w:rPr>
          <w:rFonts w:hint="eastAsia" w:cs="Times New Roman"/>
          <w:color w:val="auto"/>
          <w:kern w:val="0"/>
          <w:szCs w:val="24"/>
          <w:highlight w:val="none"/>
          <w:lang w:val="en-US" w:eastAsia="zh-CN"/>
        </w:rPr>
        <w:t>和大气沉降</w:t>
      </w:r>
      <w:r>
        <w:rPr>
          <w:rFonts w:ascii="Times New Roman" w:hAnsi="Times New Roman" w:cs="Times New Roman"/>
          <w:color w:val="auto"/>
          <w:kern w:val="0"/>
          <w:szCs w:val="24"/>
          <w:highlight w:val="none"/>
        </w:rPr>
        <w:t>污染，因此，拟建项目土壤环境影响类型为“污染影响型”。</w:t>
      </w:r>
    </w:p>
    <w:p w14:paraId="0BAADEC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（3）土壤环境影响源及影响因子识别</w:t>
      </w:r>
    </w:p>
    <w:p w14:paraId="3FDB624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根据本项目工程分析，结合《环境影响评价技术导则 土壤环境（试行）》（HJ964-2018）附录B识别本项目污染源及影响因子，具体情况见下表5.</w:t>
      </w:r>
      <w:r>
        <w:rPr>
          <w:rFonts w:hint="eastAsia" w:ascii="Times New Roman" w:hAnsi="Times New Roman" w:cs="Times New Roman"/>
          <w:color w:val="auto"/>
          <w:kern w:val="0"/>
          <w:szCs w:val="24"/>
          <w:highlight w:val="none"/>
          <w:lang w:val="en-US" w:eastAsia="zh-CN"/>
        </w:rPr>
        <w:t>7</w:t>
      </w:r>
      <w:r>
        <w:rPr>
          <w:rFonts w:ascii="Times New Roman" w:hAnsi="Times New Roman" w:cs="Times New Roman"/>
          <w:color w:val="auto"/>
          <w:kern w:val="0"/>
          <w:szCs w:val="24"/>
          <w:highlight w:val="none"/>
        </w:rPr>
        <w:t>-2。</w:t>
      </w:r>
    </w:p>
    <w:p w14:paraId="7DD0F4AF">
      <w:pPr>
        <w:pStyle w:val="48"/>
        <w:keepNext w:val="0"/>
        <w:keepLines w:val="0"/>
        <w:pageBreakBefore w:val="0"/>
        <w:widowControl w:val="0"/>
        <w:tabs>
          <w:tab w:val="left" w:pos="908"/>
        </w:tabs>
        <w:kinsoku/>
        <w:wordWrap/>
        <w:overflowPunct/>
        <w:topLinePunct w:val="0"/>
        <w:autoSpaceDE/>
        <w:autoSpaceDN/>
        <w:bidi w:val="0"/>
        <w:adjustRightInd w:val="0"/>
        <w:snapToGrid w:val="0"/>
        <w:spacing w:before="0" w:after="0" w:line="240" w:lineRule="auto"/>
        <w:ind w:left="0" w:leftChars="0" w:firstLine="0" w:firstLineChars="0"/>
        <w:textAlignment w:val="auto"/>
        <w:rPr>
          <w:b/>
          <w:bCs/>
          <w:color w:val="auto"/>
          <w:sz w:val="21"/>
          <w:szCs w:val="21"/>
          <w:highlight w:val="none"/>
        </w:rPr>
      </w:pPr>
    </w:p>
    <w:p w14:paraId="4B895CBE">
      <w:pPr>
        <w:pStyle w:val="48"/>
        <w:keepNext w:val="0"/>
        <w:keepLines w:val="0"/>
        <w:pageBreakBefore w:val="0"/>
        <w:widowControl w:val="0"/>
        <w:tabs>
          <w:tab w:val="left" w:pos="908"/>
        </w:tabs>
        <w:kinsoku/>
        <w:wordWrap/>
        <w:overflowPunct/>
        <w:topLinePunct w:val="0"/>
        <w:autoSpaceDE/>
        <w:autoSpaceDN/>
        <w:bidi w:val="0"/>
        <w:adjustRightInd w:val="0"/>
        <w:snapToGrid w:val="0"/>
        <w:spacing w:before="0" w:after="0" w:line="240" w:lineRule="auto"/>
        <w:ind w:left="0" w:leftChars="0" w:firstLine="0" w:firstLineChars="0"/>
        <w:textAlignment w:val="auto"/>
        <w:rPr>
          <w:b/>
          <w:bCs/>
          <w:color w:val="auto"/>
          <w:sz w:val="21"/>
          <w:szCs w:val="21"/>
          <w:highlight w:val="none"/>
        </w:rPr>
      </w:pPr>
      <w:r>
        <w:rPr>
          <w:b/>
          <w:bCs/>
          <w:color w:val="auto"/>
          <w:sz w:val="21"/>
          <w:szCs w:val="21"/>
          <w:highlight w:val="none"/>
        </w:rPr>
        <w:t>表5.</w:t>
      </w:r>
      <w:r>
        <w:rPr>
          <w:rFonts w:hint="eastAsia"/>
          <w:b/>
          <w:bCs/>
          <w:color w:val="auto"/>
          <w:sz w:val="21"/>
          <w:szCs w:val="21"/>
          <w:highlight w:val="none"/>
          <w:lang w:val="en-US" w:eastAsia="zh-CN"/>
        </w:rPr>
        <w:t>7</w:t>
      </w:r>
      <w:r>
        <w:rPr>
          <w:b/>
          <w:bCs/>
          <w:color w:val="auto"/>
          <w:sz w:val="21"/>
          <w:szCs w:val="21"/>
          <w:highlight w:val="none"/>
        </w:rPr>
        <w:t>-2    污染影响型建设项目土壤环境影响源及影响因子识别表</w:t>
      </w:r>
    </w:p>
    <w:tbl>
      <w:tblPr>
        <w:tblStyle w:val="33"/>
        <w:tblW w:w="50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05"/>
        <w:gridCol w:w="1870"/>
        <w:gridCol w:w="1064"/>
        <w:gridCol w:w="2488"/>
        <w:gridCol w:w="1379"/>
        <w:gridCol w:w="940"/>
      </w:tblGrid>
      <w:tr w14:paraId="188730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3" w:type="pct"/>
            <w:tcBorders>
              <w:tl2br w:val="nil"/>
              <w:tr2bl w:val="nil"/>
            </w:tcBorders>
            <w:vAlign w:val="center"/>
          </w:tcPr>
          <w:p w14:paraId="3928D4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污染源</w:t>
            </w:r>
          </w:p>
        </w:tc>
        <w:tc>
          <w:tcPr>
            <w:tcW w:w="1081" w:type="pct"/>
            <w:tcBorders>
              <w:tl2br w:val="nil"/>
              <w:tr2bl w:val="nil"/>
            </w:tcBorders>
            <w:vAlign w:val="center"/>
          </w:tcPr>
          <w:p w14:paraId="7242A8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工艺流程/节点</w:t>
            </w:r>
          </w:p>
        </w:tc>
        <w:tc>
          <w:tcPr>
            <w:tcW w:w="615" w:type="pct"/>
            <w:tcBorders>
              <w:tl2br w:val="nil"/>
              <w:tr2bl w:val="nil"/>
            </w:tcBorders>
            <w:vAlign w:val="center"/>
          </w:tcPr>
          <w:p w14:paraId="7D96D8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污染途径</w:t>
            </w:r>
          </w:p>
        </w:tc>
        <w:tc>
          <w:tcPr>
            <w:tcW w:w="1438" w:type="pct"/>
            <w:tcBorders>
              <w:tl2br w:val="nil"/>
              <w:tr2bl w:val="nil"/>
            </w:tcBorders>
            <w:vAlign w:val="center"/>
          </w:tcPr>
          <w:p w14:paraId="291200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全部污染物指标</w:t>
            </w:r>
          </w:p>
        </w:tc>
        <w:tc>
          <w:tcPr>
            <w:tcW w:w="797" w:type="pct"/>
            <w:tcBorders>
              <w:tl2br w:val="nil"/>
              <w:tr2bl w:val="nil"/>
            </w:tcBorders>
            <w:vAlign w:val="center"/>
          </w:tcPr>
          <w:p w14:paraId="51B53F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特征因子</w:t>
            </w:r>
          </w:p>
        </w:tc>
        <w:tc>
          <w:tcPr>
            <w:tcW w:w="543" w:type="pct"/>
            <w:tcBorders>
              <w:tl2br w:val="nil"/>
              <w:tr2bl w:val="nil"/>
            </w:tcBorders>
            <w:vAlign w:val="center"/>
          </w:tcPr>
          <w:p w14:paraId="6FDB27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备注</w:t>
            </w:r>
          </w:p>
        </w:tc>
      </w:tr>
      <w:tr w14:paraId="7240A4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72" w:hRule="atLeast"/>
          <w:jc w:val="center"/>
        </w:trPr>
        <w:tc>
          <w:tcPr>
            <w:tcW w:w="523" w:type="pct"/>
            <w:vMerge w:val="restart"/>
            <w:tcBorders>
              <w:tl2br w:val="nil"/>
              <w:tr2bl w:val="nil"/>
            </w:tcBorders>
            <w:vAlign w:val="center"/>
          </w:tcPr>
          <w:p w14:paraId="53B96E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生产</w:t>
            </w:r>
            <w:r>
              <w:rPr>
                <w:rFonts w:hint="eastAsia" w:ascii="Times New Roman" w:hAnsi="Times New Roman" w:cs="Times New Roman"/>
                <w:color w:val="auto"/>
                <w:sz w:val="21"/>
                <w:szCs w:val="21"/>
                <w:highlight w:val="none"/>
                <w:lang w:val="en-US" w:eastAsia="zh-CN"/>
              </w:rPr>
              <w:t>区</w:t>
            </w:r>
          </w:p>
        </w:tc>
        <w:tc>
          <w:tcPr>
            <w:tcW w:w="1081" w:type="pct"/>
            <w:vMerge w:val="restart"/>
            <w:tcBorders>
              <w:tl2br w:val="nil"/>
              <w:tr2bl w:val="nil"/>
            </w:tcBorders>
            <w:vAlign w:val="center"/>
          </w:tcPr>
          <w:p w14:paraId="1D12E4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萃取－电积车间、</w:t>
            </w:r>
            <w:r>
              <w:rPr>
                <w:rFonts w:hint="eastAsia" w:cs="Times New Roman"/>
                <w:color w:val="auto"/>
                <w:sz w:val="21"/>
                <w:szCs w:val="21"/>
                <w:highlight w:val="none"/>
                <w:lang w:val="en-US" w:eastAsia="zh-CN"/>
              </w:rPr>
              <w:t>破碎工段</w:t>
            </w:r>
          </w:p>
        </w:tc>
        <w:tc>
          <w:tcPr>
            <w:tcW w:w="615" w:type="pct"/>
            <w:tcBorders>
              <w:tl2br w:val="nil"/>
              <w:tr2bl w:val="nil"/>
            </w:tcBorders>
            <w:vAlign w:val="center"/>
          </w:tcPr>
          <w:p w14:paraId="0412EF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垂直</w:t>
            </w:r>
            <w:r>
              <w:rPr>
                <w:rFonts w:hint="eastAsia" w:cs="Times New Roman"/>
                <w:color w:val="auto"/>
                <w:sz w:val="21"/>
                <w:szCs w:val="21"/>
                <w:highlight w:val="none"/>
                <w:lang w:val="en-US" w:eastAsia="zh-CN"/>
              </w:rPr>
              <w:t>入</w:t>
            </w:r>
            <w:r>
              <w:rPr>
                <w:rFonts w:ascii="Times New Roman" w:hAnsi="Times New Roman" w:cs="Times New Roman"/>
                <w:color w:val="auto"/>
                <w:sz w:val="21"/>
                <w:szCs w:val="21"/>
                <w:highlight w:val="none"/>
              </w:rPr>
              <w:t>渗</w:t>
            </w:r>
          </w:p>
        </w:tc>
        <w:tc>
          <w:tcPr>
            <w:tcW w:w="1438" w:type="pct"/>
            <w:tcBorders>
              <w:tl2br w:val="nil"/>
              <w:tr2bl w:val="nil"/>
            </w:tcBorders>
            <w:vAlign w:val="center"/>
          </w:tcPr>
          <w:p w14:paraId="69E290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pH、汞、铜、砷、铬、铅等</w:t>
            </w:r>
          </w:p>
        </w:tc>
        <w:tc>
          <w:tcPr>
            <w:tcW w:w="797" w:type="pct"/>
            <w:tcBorders>
              <w:tl2br w:val="nil"/>
              <w:tr2bl w:val="nil"/>
            </w:tcBorders>
            <w:vAlign w:val="center"/>
          </w:tcPr>
          <w:p w14:paraId="4088B0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铜、砷</w:t>
            </w:r>
          </w:p>
        </w:tc>
        <w:tc>
          <w:tcPr>
            <w:tcW w:w="543" w:type="pct"/>
            <w:tcBorders>
              <w:tl2br w:val="nil"/>
              <w:tr2bl w:val="nil"/>
            </w:tcBorders>
            <w:vAlign w:val="center"/>
          </w:tcPr>
          <w:p w14:paraId="5902A0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非正常工况下产生</w:t>
            </w:r>
          </w:p>
        </w:tc>
      </w:tr>
      <w:tr w14:paraId="594DE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72" w:hRule="atLeast"/>
          <w:jc w:val="center"/>
        </w:trPr>
        <w:tc>
          <w:tcPr>
            <w:tcW w:w="523" w:type="pct"/>
            <w:vMerge w:val="continue"/>
            <w:tcBorders>
              <w:tl2br w:val="nil"/>
              <w:tr2bl w:val="nil"/>
            </w:tcBorders>
            <w:vAlign w:val="center"/>
          </w:tcPr>
          <w:p w14:paraId="37CFA3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1081" w:type="pct"/>
            <w:vMerge w:val="continue"/>
            <w:tcBorders>
              <w:tl2br w:val="nil"/>
              <w:tr2bl w:val="nil"/>
            </w:tcBorders>
            <w:vAlign w:val="center"/>
          </w:tcPr>
          <w:p w14:paraId="7A596C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615" w:type="pct"/>
            <w:tcBorders>
              <w:tl2br w:val="nil"/>
              <w:tr2bl w:val="nil"/>
            </w:tcBorders>
            <w:vAlign w:val="center"/>
          </w:tcPr>
          <w:p w14:paraId="774E15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大气沉降</w:t>
            </w:r>
          </w:p>
        </w:tc>
        <w:tc>
          <w:tcPr>
            <w:tcW w:w="2489" w:type="dxa"/>
            <w:tcBorders>
              <w:tl2br w:val="nil"/>
              <w:tr2bl w:val="nil"/>
            </w:tcBorders>
            <w:vAlign w:val="center"/>
          </w:tcPr>
          <w:p w14:paraId="1B2107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颗粒物、硫酸雾、非甲烷总烃</w:t>
            </w:r>
          </w:p>
        </w:tc>
        <w:tc>
          <w:tcPr>
            <w:tcW w:w="1379" w:type="dxa"/>
            <w:tcBorders>
              <w:tl2br w:val="nil"/>
              <w:tr2bl w:val="nil"/>
            </w:tcBorders>
            <w:vAlign w:val="center"/>
          </w:tcPr>
          <w:p w14:paraId="79C97B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硫酸雾、颗粒物</w:t>
            </w:r>
          </w:p>
        </w:tc>
        <w:tc>
          <w:tcPr>
            <w:tcW w:w="940" w:type="dxa"/>
            <w:tcBorders>
              <w:tl2br w:val="nil"/>
              <w:tr2bl w:val="nil"/>
            </w:tcBorders>
            <w:vAlign w:val="center"/>
          </w:tcPr>
          <w:p w14:paraId="41F2F5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连续</w:t>
            </w:r>
          </w:p>
        </w:tc>
      </w:tr>
    </w:tbl>
    <w:p w14:paraId="369CE909">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eastAsia" w:cs="Times New Roman"/>
          <w:color w:val="auto"/>
          <w:highlight w:val="none"/>
          <w:lang w:val="en-US" w:eastAsia="zh-CN"/>
        </w:rPr>
      </w:pPr>
      <w:r>
        <w:rPr>
          <w:rFonts w:hint="eastAsia" w:cs="Times New Roman"/>
          <w:color w:val="auto"/>
          <w:highlight w:val="none"/>
          <w:lang w:val="en-US" w:eastAsia="zh-CN"/>
        </w:rPr>
        <w:t>5.7.2运营期土壤环境影响预测与评价</w:t>
      </w:r>
    </w:p>
    <w:p w14:paraId="30EDCA36">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5.7.2.1大气沉降对土壤环境影响分析</w:t>
      </w:r>
    </w:p>
    <w:p w14:paraId="0BEF9D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正常工况下，项目在</w:t>
      </w:r>
      <w:r>
        <w:rPr>
          <w:rFonts w:hint="eastAsia" w:ascii="Times New Roman" w:hAnsi="Times New Roman" w:eastAsia="宋体" w:cs="Times New Roman"/>
          <w:color w:val="auto"/>
          <w:kern w:val="0"/>
          <w:szCs w:val="24"/>
          <w:highlight w:val="none"/>
          <w:lang w:val="en-US" w:eastAsia="zh-CN"/>
        </w:rPr>
        <w:t>运行</w:t>
      </w:r>
      <w:r>
        <w:rPr>
          <w:rFonts w:ascii="Times New Roman" w:hAnsi="Times New Roman" w:eastAsia="宋体" w:cs="Times New Roman"/>
          <w:color w:val="auto"/>
          <w:kern w:val="0"/>
          <w:szCs w:val="24"/>
          <w:highlight w:val="none"/>
        </w:rPr>
        <w:t>期间因大气沉降而存在影响区域土壤环境的途径，其中对土壤环境影响最大的为</w:t>
      </w:r>
      <w:r>
        <w:rPr>
          <w:rFonts w:hint="eastAsia" w:ascii="Times New Roman" w:hAnsi="Times New Roman" w:eastAsia="宋体" w:cs="Times New Roman"/>
          <w:color w:val="auto"/>
          <w:kern w:val="0"/>
          <w:szCs w:val="24"/>
          <w:highlight w:val="none"/>
          <w:lang w:val="en-US" w:eastAsia="zh-CN"/>
        </w:rPr>
        <w:t>颗粒物</w:t>
      </w:r>
      <w:r>
        <w:rPr>
          <w:rFonts w:ascii="Times New Roman" w:hAnsi="Times New Roman" w:eastAsia="宋体" w:cs="Times New Roman"/>
          <w:color w:val="auto"/>
          <w:kern w:val="0"/>
          <w:szCs w:val="24"/>
          <w:highlight w:val="none"/>
        </w:rPr>
        <w:t>，但根据本报告工程分析章节</w:t>
      </w:r>
      <w:r>
        <w:rPr>
          <w:rFonts w:hint="eastAsia" w:ascii="Times New Roman" w:hAnsi="Times New Roman" w:eastAsia="宋体" w:cs="Times New Roman"/>
          <w:color w:val="auto"/>
          <w:kern w:val="0"/>
          <w:szCs w:val="24"/>
          <w:highlight w:val="none"/>
          <w:lang w:val="en-US" w:eastAsia="zh-CN"/>
        </w:rPr>
        <w:t>对原矿石成分分析</w:t>
      </w:r>
      <w:r>
        <w:rPr>
          <w:rFonts w:ascii="Times New Roman" w:hAnsi="Times New Roman" w:eastAsia="宋体" w:cs="Times New Roman"/>
          <w:color w:val="auto"/>
          <w:kern w:val="0"/>
          <w:szCs w:val="24"/>
          <w:highlight w:val="none"/>
        </w:rPr>
        <w:t>可知，</w:t>
      </w:r>
      <w:r>
        <w:rPr>
          <w:rFonts w:hint="eastAsia" w:ascii="Times New Roman" w:hAnsi="Times New Roman" w:eastAsia="宋体" w:cs="Times New Roman"/>
          <w:color w:val="auto"/>
          <w:kern w:val="0"/>
          <w:szCs w:val="24"/>
          <w:highlight w:val="none"/>
          <w:lang w:val="en-US" w:eastAsia="zh-CN"/>
        </w:rPr>
        <w:t>项目原</w:t>
      </w:r>
      <w:r>
        <w:rPr>
          <w:rFonts w:hint="eastAsia" w:ascii="Times New Roman" w:hAnsi="Times New Roman" w:eastAsia="宋体" w:cs="Times New Roman"/>
          <w:color w:val="auto"/>
          <w:kern w:val="0"/>
          <w:szCs w:val="24"/>
          <w:highlight w:val="none"/>
        </w:rPr>
        <w:t>矿石重金属污染物很少，对土壤影响很少</w:t>
      </w:r>
      <w:r>
        <w:rPr>
          <w:rFonts w:ascii="Times New Roman" w:hAnsi="Times New Roman" w:eastAsia="宋体" w:cs="Times New Roman"/>
          <w:color w:val="auto"/>
          <w:kern w:val="0"/>
          <w:szCs w:val="24"/>
          <w:highlight w:val="none"/>
        </w:rPr>
        <w:t>，不会对区域土壤造成严重不利影响</w:t>
      </w:r>
      <w:r>
        <w:rPr>
          <w:rFonts w:hint="eastAsia" w:ascii="Times New Roman" w:hAnsi="Times New Roman" w:eastAsia="宋体" w:cs="Times New Roman"/>
          <w:color w:val="auto"/>
          <w:kern w:val="0"/>
          <w:szCs w:val="24"/>
          <w:highlight w:val="none"/>
          <w:lang w:eastAsia="zh-CN"/>
        </w:rPr>
        <w:t>。</w:t>
      </w:r>
      <w:r>
        <w:rPr>
          <w:rFonts w:ascii="Times New Roman" w:hAnsi="Times New Roman" w:eastAsia="宋体" w:cs="Times New Roman"/>
          <w:color w:val="auto"/>
          <w:kern w:val="0"/>
          <w:szCs w:val="24"/>
          <w:highlight w:val="none"/>
        </w:rPr>
        <w:t>在建设单位落实废气治理措施，保证废气达标排放的前提下，本项目排放的废气不会对土壤环境造成影响。</w:t>
      </w:r>
    </w:p>
    <w:p w14:paraId="76243E52">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eastAsia" w:ascii="Times New Roman" w:hAnsi="Times New Roman" w:eastAsia="宋体" w:cs="Times New Roman"/>
          <w:b/>
          <w:color w:val="auto"/>
          <w:szCs w:val="28"/>
          <w:highlight w:val="none"/>
          <w:lang w:val="en-US" w:eastAsia="zh-CN"/>
        </w:rPr>
      </w:pPr>
      <w:bookmarkStart w:id="275" w:name="OLE_LINK14"/>
      <w:r>
        <w:rPr>
          <w:rFonts w:hint="eastAsia" w:ascii="Times New Roman" w:hAnsi="Times New Roman" w:eastAsia="宋体" w:cs="Times New Roman"/>
          <w:b/>
          <w:color w:val="auto"/>
          <w:szCs w:val="28"/>
          <w:highlight w:val="none"/>
          <w:lang w:val="en-US" w:eastAsia="zh-CN"/>
        </w:rPr>
        <w:t>5.7.2.2铜、砷垂直入渗对土壤环境影响分析</w:t>
      </w:r>
    </w:p>
    <w:bookmarkEnd w:id="275"/>
    <w:p w14:paraId="70501A8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项目参照</w:t>
      </w:r>
      <w:r>
        <w:rPr>
          <w:rFonts w:hint="eastAsia" w:cs="Times New Roman"/>
          <w:color w:val="auto"/>
          <w:kern w:val="0"/>
          <w:szCs w:val="24"/>
          <w:highlight w:val="none"/>
          <w:lang w:eastAsia="zh-CN"/>
        </w:rPr>
        <w:t>《环境影响评价技术导则</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lang w:eastAsia="zh-CN"/>
        </w:rPr>
        <w:t>地下水环境》（</w:t>
      </w:r>
      <w:r>
        <w:rPr>
          <w:rFonts w:ascii="Times New Roman" w:hAnsi="Times New Roman" w:cs="Times New Roman"/>
          <w:color w:val="auto"/>
          <w:kern w:val="0"/>
          <w:szCs w:val="24"/>
          <w:highlight w:val="none"/>
        </w:rPr>
        <w:t>HJ610-2016</w:t>
      </w:r>
      <w:r>
        <w:rPr>
          <w:rFonts w:hint="eastAsia" w:cs="Times New Roman"/>
          <w:color w:val="auto"/>
          <w:kern w:val="0"/>
          <w:szCs w:val="24"/>
          <w:highlight w:val="none"/>
          <w:lang w:eastAsia="zh-CN"/>
        </w:rPr>
        <w:t>）</w:t>
      </w:r>
      <w:r>
        <w:rPr>
          <w:rFonts w:ascii="Times New Roman" w:hAnsi="Times New Roman" w:cs="Times New Roman"/>
          <w:color w:val="auto"/>
          <w:kern w:val="0"/>
          <w:szCs w:val="24"/>
          <w:highlight w:val="none"/>
        </w:rPr>
        <w:t>的要求对厂区各装置区进行分区防渗设计，各类</w:t>
      </w:r>
      <w:r>
        <w:rPr>
          <w:rFonts w:hint="eastAsia" w:cs="Times New Roman"/>
          <w:color w:val="auto"/>
          <w:kern w:val="0"/>
          <w:szCs w:val="24"/>
          <w:highlight w:val="none"/>
          <w:lang w:val="en-US" w:eastAsia="zh-CN"/>
        </w:rPr>
        <w:t>生产设施</w:t>
      </w:r>
      <w:r>
        <w:rPr>
          <w:rFonts w:ascii="Times New Roman" w:hAnsi="Times New Roman" w:cs="Times New Roman"/>
          <w:color w:val="auto"/>
          <w:kern w:val="0"/>
          <w:szCs w:val="24"/>
          <w:highlight w:val="none"/>
        </w:rPr>
        <w:t>、存放固体废物等区域和输送管道均采取了相应措施防止</w:t>
      </w:r>
      <w:r>
        <w:rPr>
          <w:rFonts w:hint="eastAsia"/>
          <w:color w:val="auto"/>
          <w:highlight w:val="none"/>
          <w:lang w:val="en-US" w:eastAsia="zh-CN"/>
        </w:rPr>
        <w:t>物料</w:t>
      </w:r>
      <w:r>
        <w:rPr>
          <w:rFonts w:ascii="Times New Roman" w:hAnsi="Times New Roman" w:cs="Times New Roman"/>
          <w:color w:val="auto"/>
          <w:kern w:val="0"/>
          <w:szCs w:val="24"/>
          <w:highlight w:val="none"/>
        </w:rPr>
        <w:t>渗漏，因此正常状况下，不会发生</w:t>
      </w:r>
      <w:r>
        <w:rPr>
          <w:rFonts w:hint="eastAsia" w:cs="Times New Roman"/>
          <w:color w:val="auto"/>
          <w:kern w:val="0"/>
          <w:szCs w:val="24"/>
          <w:highlight w:val="none"/>
          <w:lang w:val="en-US" w:eastAsia="zh-CN"/>
        </w:rPr>
        <w:t>污染物</w:t>
      </w:r>
      <w:r>
        <w:rPr>
          <w:rFonts w:ascii="Times New Roman" w:hAnsi="Times New Roman" w:cs="Times New Roman"/>
          <w:color w:val="auto"/>
          <w:kern w:val="0"/>
          <w:szCs w:val="24"/>
          <w:highlight w:val="none"/>
        </w:rPr>
        <w:t>下渗影响土壤和地下水的情况。</w:t>
      </w:r>
    </w:p>
    <w:p w14:paraId="41FB552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非正常工况下，</w:t>
      </w:r>
      <w:r>
        <w:rPr>
          <w:rFonts w:hint="eastAsia" w:cs="Times New Roman"/>
          <w:color w:val="auto"/>
          <w:kern w:val="0"/>
          <w:szCs w:val="24"/>
          <w:highlight w:val="none"/>
          <w:lang w:eastAsia="zh-CN"/>
        </w:rPr>
        <w:t>萃取－电积</w:t>
      </w:r>
      <w:r>
        <w:rPr>
          <w:rFonts w:ascii="Times New Roman" w:hAnsi="Times New Roman" w:cs="Times New Roman"/>
          <w:color w:val="auto"/>
          <w:kern w:val="0"/>
          <w:szCs w:val="24"/>
          <w:highlight w:val="none"/>
        </w:rPr>
        <w:t>车间、事故池等有可能污染地下水储存的构筑物，在非正常情况下，池底破损等发生渗漏。</w:t>
      </w:r>
    </w:p>
    <w:p w14:paraId="2216CC9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（1）情景设定</w:t>
      </w:r>
    </w:p>
    <w:p w14:paraId="66D336A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非正常状况下，若</w:t>
      </w:r>
      <w:r>
        <w:rPr>
          <w:rFonts w:hint="eastAsia" w:cs="Times New Roman"/>
          <w:color w:val="auto"/>
          <w:kern w:val="0"/>
          <w:szCs w:val="24"/>
          <w:highlight w:val="none"/>
          <w:lang w:eastAsia="zh-CN"/>
        </w:rPr>
        <w:t>萃取－电积</w:t>
      </w:r>
      <w:r>
        <w:rPr>
          <w:rFonts w:ascii="Times New Roman" w:hAnsi="Times New Roman" w:cs="Times New Roman"/>
          <w:color w:val="auto"/>
          <w:kern w:val="0"/>
          <w:szCs w:val="24"/>
          <w:highlight w:val="none"/>
        </w:rPr>
        <w:t>车间、事故池等地下池体发生泄漏，由于不易被发现，</w:t>
      </w:r>
      <w:r>
        <w:rPr>
          <w:rFonts w:hint="eastAsia" w:ascii="Times New Roman" w:hAnsi="Times New Roman" w:cs="Times New Roman"/>
          <w:color w:val="auto"/>
          <w:kern w:val="0"/>
          <w:szCs w:val="24"/>
          <w:highlight w:val="none"/>
        </w:rPr>
        <w:t>液体物料</w:t>
      </w:r>
      <w:r>
        <w:rPr>
          <w:rFonts w:ascii="Times New Roman" w:hAnsi="Times New Roman" w:cs="Times New Roman"/>
          <w:color w:val="auto"/>
          <w:kern w:val="0"/>
          <w:szCs w:val="24"/>
          <w:highlight w:val="none"/>
        </w:rPr>
        <w:t>渗漏可能对土壤环境造成威胁。根据本项目工艺流程，本项目设定以下泄漏情景：</w:t>
      </w:r>
      <w:r>
        <w:rPr>
          <w:rFonts w:hint="eastAsia" w:cs="Times New Roman"/>
          <w:color w:val="auto"/>
          <w:kern w:val="0"/>
          <w:szCs w:val="24"/>
          <w:highlight w:val="none"/>
          <w:lang w:val="en-US" w:eastAsia="zh-CN"/>
        </w:rPr>
        <w:t>电积槽</w:t>
      </w:r>
      <w:r>
        <w:rPr>
          <w:rFonts w:ascii="Times New Roman" w:hAnsi="Times New Roman" w:cs="Times New Roman"/>
          <w:color w:val="auto"/>
          <w:kern w:val="0"/>
          <w:szCs w:val="24"/>
          <w:highlight w:val="none"/>
        </w:rPr>
        <w:t>防渗层破损后长时间未进行处理，</w:t>
      </w:r>
      <w:r>
        <w:rPr>
          <w:rFonts w:hint="eastAsia" w:ascii="Times New Roman" w:hAnsi="Times New Roman" w:cs="Times New Roman"/>
          <w:color w:val="auto"/>
          <w:kern w:val="0"/>
          <w:szCs w:val="24"/>
          <w:highlight w:val="none"/>
        </w:rPr>
        <w:t>液体物料</w:t>
      </w:r>
      <w:r>
        <w:rPr>
          <w:rFonts w:ascii="Times New Roman" w:hAnsi="Times New Roman" w:cs="Times New Roman"/>
          <w:color w:val="auto"/>
          <w:kern w:val="0"/>
          <w:szCs w:val="24"/>
          <w:highlight w:val="none"/>
        </w:rPr>
        <w:t>连续进入土壤环境中，设定事故持续时间为</w:t>
      </w:r>
      <w:r>
        <w:rPr>
          <w:rFonts w:hint="eastAsia" w:ascii="Times New Roman" w:hAnsi="Times New Roman" w:cs="Times New Roman"/>
          <w:color w:val="auto"/>
          <w:kern w:val="0"/>
          <w:szCs w:val="24"/>
          <w:highlight w:val="none"/>
          <w:lang w:val="en-US" w:eastAsia="zh-CN"/>
        </w:rPr>
        <w:t>100d</w:t>
      </w:r>
      <w:r>
        <w:rPr>
          <w:rFonts w:ascii="Times New Roman" w:hAnsi="Times New Roman" w:cs="Times New Roman"/>
          <w:color w:val="auto"/>
          <w:kern w:val="0"/>
          <w:szCs w:val="24"/>
          <w:highlight w:val="none"/>
        </w:rPr>
        <w:t>。</w:t>
      </w:r>
    </w:p>
    <w:p w14:paraId="26832B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（2）预测评价范围</w:t>
      </w:r>
    </w:p>
    <w:p w14:paraId="4588916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本项目土壤环境影响预测评价范围为项目厂区及厂界外</w:t>
      </w:r>
      <w:r>
        <w:rPr>
          <w:rFonts w:hint="eastAsia" w:cs="Times New Roman"/>
          <w:color w:val="auto"/>
          <w:kern w:val="0"/>
          <w:szCs w:val="24"/>
          <w:highlight w:val="none"/>
          <w:lang w:val="en-US" w:eastAsia="zh-CN"/>
        </w:rPr>
        <w:t>1000</w:t>
      </w:r>
      <w:r>
        <w:rPr>
          <w:rFonts w:ascii="Times New Roman" w:hAnsi="Times New Roman" w:cs="Times New Roman"/>
          <w:color w:val="auto"/>
          <w:kern w:val="0"/>
          <w:szCs w:val="24"/>
          <w:highlight w:val="none"/>
        </w:rPr>
        <w:t>m范围内的区域。</w:t>
      </w:r>
    </w:p>
    <w:p w14:paraId="6DB16EE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（3）预测评价时段</w:t>
      </w:r>
    </w:p>
    <w:p w14:paraId="4D8CB12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本项目重点预测时段为</w:t>
      </w:r>
      <w:r>
        <w:rPr>
          <w:rFonts w:hint="eastAsia" w:cs="Times New Roman"/>
          <w:color w:val="auto"/>
          <w:kern w:val="0"/>
          <w:szCs w:val="24"/>
          <w:highlight w:val="none"/>
          <w:lang w:val="en-US" w:eastAsia="zh-CN"/>
        </w:rPr>
        <w:t>运营期</w:t>
      </w:r>
      <w:r>
        <w:rPr>
          <w:rFonts w:ascii="Times New Roman" w:hAnsi="Times New Roman" w:cs="Times New Roman"/>
          <w:color w:val="auto"/>
          <w:kern w:val="0"/>
          <w:szCs w:val="24"/>
          <w:highlight w:val="none"/>
        </w:rPr>
        <w:t>。</w:t>
      </w:r>
    </w:p>
    <w:p w14:paraId="677051D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（4）预测因子</w:t>
      </w:r>
    </w:p>
    <w:p w14:paraId="3121480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根据工程分析，项目</w:t>
      </w:r>
      <w:r>
        <w:rPr>
          <w:rFonts w:hint="eastAsia" w:cs="Times New Roman"/>
          <w:color w:val="auto"/>
          <w:kern w:val="0"/>
          <w:szCs w:val="24"/>
          <w:highlight w:val="none"/>
          <w:lang w:val="en-US" w:eastAsia="zh-CN"/>
        </w:rPr>
        <w:t>液体物料</w:t>
      </w:r>
      <w:r>
        <w:rPr>
          <w:rFonts w:ascii="Times New Roman" w:hAnsi="Times New Roman" w:cs="Times New Roman"/>
          <w:color w:val="auto"/>
          <w:kern w:val="0"/>
          <w:szCs w:val="24"/>
          <w:highlight w:val="none"/>
        </w:rPr>
        <w:t>中主要污染物包括铜、砷等，会通过垂直下渗形式进入附近的土壤，从而使局部土壤环境质量逐步受到污染影响，根据</w:t>
      </w:r>
      <w:r>
        <w:rPr>
          <w:rFonts w:hint="eastAsia" w:ascii="Times New Roman" w:hAnsi="Times New Roman" w:cs="Times New Roman"/>
          <w:color w:val="auto"/>
          <w:kern w:val="0"/>
          <w:szCs w:val="24"/>
          <w:highlight w:val="none"/>
        </w:rPr>
        <w:t>泄漏物料</w:t>
      </w:r>
      <w:r>
        <w:rPr>
          <w:rFonts w:ascii="Times New Roman" w:hAnsi="Times New Roman" w:cs="Times New Roman"/>
          <w:color w:val="auto"/>
          <w:kern w:val="0"/>
          <w:szCs w:val="24"/>
          <w:highlight w:val="none"/>
        </w:rPr>
        <w:t>特性、</w:t>
      </w:r>
      <w:r>
        <w:rPr>
          <w:rFonts w:hint="eastAsia" w:ascii="Times New Roman" w:hAnsi="Times New Roman" w:cs="Times New Roman"/>
          <w:color w:val="auto"/>
          <w:kern w:val="0"/>
          <w:szCs w:val="24"/>
          <w:highlight w:val="none"/>
        </w:rPr>
        <w:t>《土壤环境质量 建设用地土壤污染风险管控标准（试行）》</w:t>
      </w:r>
      <w:r>
        <w:rPr>
          <w:rFonts w:ascii="Times New Roman" w:hAnsi="Times New Roman" w:cs="Times New Roman"/>
          <w:color w:val="auto"/>
          <w:kern w:val="0"/>
          <w:szCs w:val="24"/>
          <w:highlight w:val="none"/>
        </w:rPr>
        <w:t>（GB36600-2018</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w:t>
      </w:r>
      <w:r>
        <w:rPr>
          <w:rFonts w:hint="eastAsia" w:ascii="Times New Roman" w:hAnsi="Times New Roman" w:cs="Times New Roman"/>
          <w:color w:val="auto"/>
          <w:kern w:val="0"/>
          <w:szCs w:val="24"/>
          <w:highlight w:val="none"/>
        </w:rPr>
        <w:t>电积液泄漏</w:t>
      </w:r>
      <w:r>
        <w:rPr>
          <w:rFonts w:ascii="Times New Roman" w:hAnsi="Times New Roman" w:cs="Times New Roman"/>
          <w:color w:val="auto"/>
          <w:kern w:val="0"/>
          <w:szCs w:val="24"/>
          <w:highlight w:val="none"/>
        </w:rPr>
        <w:t>选取</w:t>
      </w:r>
      <w:r>
        <w:rPr>
          <w:rFonts w:hint="eastAsia" w:ascii="Times New Roman" w:hAnsi="Times New Roman" w:cs="Times New Roman"/>
          <w:color w:val="auto"/>
          <w:kern w:val="0"/>
          <w:szCs w:val="24"/>
          <w:highlight w:val="none"/>
        </w:rPr>
        <w:t>铜、砷</w:t>
      </w:r>
      <w:r>
        <w:rPr>
          <w:rFonts w:ascii="Times New Roman" w:hAnsi="Times New Roman" w:cs="Times New Roman"/>
          <w:color w:val="auto"/>
          <w:kern w:val="0"/>
          <w:szCs w:val="24"/>
          <w:highlight w:val="none"/>
        </w:rPr>
        <w:t>作为预测因子。</w:t>
      </w:r>
    </w:p>
    <w:p w14:paraId="5EDE947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（5）预测标准</w:t>
      </w:r>
    </w:p>
    <w:p w14:paraId="437770C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评价标准执行《土壤环境质量 建设用地土壤污染风险管控标准（试行）》（GB36600-2018）筛选值的第二类用地土壤污染风险筛选值。</w:t>
      </w:r>
    </w:p>
    <w:p w14:paraId="44C0BC0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（6）预测与评价方法</w:t>
      </w:r>
    </w:p>
    <w:p w14:paraId="39C333B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①预测方法</w:t>
      </w:r>
    </w:p>
    <w:p w14:paraId="66F047D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根据《环境影响评价技术导则 土壤环境</w:t>
      </w:r>
      <w:r>
        <w:rPr>
          <w:rFonts w:hint="eastAsia" w:cs="Times New Roman"/>
          <w:color w:val="auto"/>
          <w:kern w:val="0"/>
          <w:szCs w:val="24"/>
          <w:highlight w:val="none"/>
          <w:lang w:eastAsia="zh-CN"/>
        </w:rPr>
        <w:t>（</w:t>
      </w:r>
      <w:r>
        <w:rPr>
          <w:rFonts w:hint="eastAsia" w:cs="Times New Roman"/>
          <w:color w:val="auto"/>
          <w:kern w:val="0"/>
          <w:szCs w:val="24"/>
          <w:highlight w:val="none"/>
          <w:lang w:val="en-US" w:eastAsia="zh-CN"/>
        </w:rPr>
        <w:t>试行</w:t>
      </w:r>
      <w:r>
        <w:rPr>
          <w:rFonts w:hint="eastAsia" w:cs="Times New Roman"/>
          <w:color w:val="auto"/>
          <w:kern w:val="0"/>
          <w:szCs w:val="24"/>
          <w:highlight w:val="none"/>
          <w:lang w:eastAsia="zh-CN"/>
        </w:rPr>
        <w:t>）</w:t>
      </w:r>
      <w:r>
        <w:rPr>
          <w:rFonts w:ascii="Times New Roman" w:hAnsi="Times New Roman" w:cs="Times New Roman"/>
          <w:color w:val="auto"/>
          <w:kern w:val="0"/>
          <w:szCs w:val="24"/>
          <w:highlight w:val="none"/>
        </w:rPr>
        <w:t>》（HJ964-2018）的要求，本项目土壤环境影响评价等级为</w:t>
      </w:r>
      <w:r>
        <w:rPr>
          <w:rFonts w:hint="eastAsia" w:cs="Times New Roman"/>
          <w:color w:val="auto"/>
          <w:kern w:val="0"/>
          <w:szCs w:val="24"/>
          <w:highlight w:val="none"/>
          <w:lang w:val="en-US" w:eastAsia="zh-CN"/>
        </w:rPr>
        <w:t>一</w:t>
      </w:r>
      <w:r>
        <w:rPr>
          <w:rFonts w:ascii="Times New Roman" w:hAnsi="Times New Roman" w:cs="Times New Roman"/>
          <w:color w:val="auto"/>
          <w:kern w:val="0"/>
          <w:szCs w:val="24"/>
          <w:highlight w:val="none"/>
        </w:rPr>
        <w:t>级，预测方法选用导则附录E的预测方法二对</w:t>
      </w:r>
      <w:r>
        <w:rPr>
          <w:rFonts w:hint="eastAsia" w:cs="Times New Roman"/>
          <w:color w:val="auto"/>
          <w:kern w:val="0"/>
          <w:szCs w:val="24"/>
          <w:highlight w:val="none"/>
          <w:lang w:val="en-US" w:eastAsia="zh-CN"/>
        </w:rPr>
        <w:t>电积液</w:t>
      </w:r>
      <w:r>
        <w:rPr>
          <w:rFonts w:ascii="Times New Roman" w:hAnsi="Times New Roman" w:cs="Times New Roman"/>
          <w:color w:val="auto"/>
          <w:kern w:val="0"/>
          <w:szCs w:val="24"/>
          <w:highlight w:val="none"/>
        </w:rPr>
        <w:t>中的铜、砷垂直下渗对土壤环境的影响深度进行分析。</w:t>
      </w:r>
    </w:p>
    <w:p w14:paraId="04882A4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1）一维非饱和溶质垂向运移控制方程：</w:t>
      </w:r>
    </w:p>
    <w:p w14:paraId="6C58A70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highlight w:val="none"/>
        </w:rPr>
      </w:pPr>
      <w:r>
        <w:rPr>
          <w:rFonts w:ascii="Times New Roman" w:hAnsi="Times New Roman" w:cs="Times New Roman"/>
          <w:color w:val="auto"/>
          <w:position w:val="-15"/>
          <w:highlight w:val="none"/>
        </w:rPr>
        <w:drawing>
          <wp:inline distT="0" distB="0" distL="0" distR="0">
            <wp:extent cx="2111375" cy="480695"/>
            <wp:effectExtent l="0" t="0" r="3175" b="14605"/>
            <wp:docPr id="4096" name="IM 4096"/>
            <wp:cNvGraphicFramePr/>
            <a:graphic xmlns:a="http://schemas.openxmlformats.org/drawingml/2006/main">
              <a:graphicData uri="http://schemas.openxmlformats.org/drawingml/2006/picture">
                <pic:pic xmlns:pic="http://schemas.openxmlformats.org/drawingml/2006/picture">
                  <pic:nvPicPr>
                    <pic:cNvPr id="4096" name="IM 4096"/>
                    <pic:cNvPicPr/>
                  </pic:nvPicPr>
                  <pic:blipFill>
                    <a:blip r:embed="rId93"/>
                    <a:stretch>
                      <a:fillRect/>
                    </a:stretch>
                  </pic:blipFill>
                  <pic:spPr>
                    <a:xfrm>
                      <a:off x="0" y="0"/>
                      <a:ext cx="2111460" cy="481266"/>
                    </a:xfrm>
                    <a:prstGeom prst="rect">
                      <a:avLst/>
                    </a:prstGeom>
                  </pic:spPr>
                </pic:pic>
              </a:graphicData>
            </a:graphic>
          </wp:inline>
        </w:drawing>
      </w:r>
    </w:p>
    <w:p w14:paraId="384E181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式中：c——污染物介质中的浓度，mg/L；</w:t>
      </w:r>
    </w:p>
    <w:p w14:paraId="45E077D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D——弥散系数，m</w:t>
      </w:r>
      <w:r>
        <w:rPr>
          <w:rFonts w:ascii="Times New Roman" w:hAnsi="Times New Roman" w:cs="Times New Roman"/>
          <w:color w:val="auto"/>
          <w:kern w:val="0"/>
          <w:szCs w:val="24"/>
          <w:highlight w:val="none"/>
          <w:vertAlign w:val="superscript"/>
        </w:rPr>
        <w:t>2</w:t>
      </w:r>
      <w:r>
        <w:rPr>
          <w:rFonts w:ascii="Times New Roman" w:hAnsi="Times New Roman" w:cs="Times New Roman"/>
          <w:color w:val="auto"/>
          <w:kern w:val="0"/>
          <w:szCs w:val="24"/>
          <w:highlight w:val="none"/>
        </w:rPr>
        <w:t>/d；</w:t>
      </w:r>
    </w:p>
    <w:p w14:paraId="0FF9FB8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q——渗流速率，m/d；</w:t>
      </w:r>
    </w:p>
    <w:p w14:paraId="3245FA2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z——沿z轴的距离，m；</w:t>
      </w:r>
    </w:p>
    <w:p w14:paraId="2129652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t——时间变量，d；</w:t>
      </w:r>
    </w:p>
    <w:p w14:paraId="409FCF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θ——土壤含水率，%。</w:t>
      </w:r>
    </w:p>
    <w:p w14:paraId="735E2BA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②参数设定</w:t>
      </w:r>
    </w:p>
    <w:p w14:paraId="258ECBD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本次预测由于已知条件有局限性，仅考虑水分运动、溶质运移，不考虑热量传输及根系吸水作用。参数设置见下表5.</w:t>
      </w:r>
      <w:r>
        <w:rPr>
          <w:rFonts w:hint="eastAsia" w:ascii="Times New Roman" w:hAnsi="Times New Roman" w:cs="Times New Roman"/>
          <w:color w:val="auto"/>
          <w:kern w:val="0"/>
          <w:szCs w:val="24"/>
          <w:highlight w:val="none"/>
          <w:lang w:val="en-US" w:eastAsia="zh-CN"/>
        </w:rPr>
        <w:t>7</w:t>
      </w:r>
      <w:r>
        <w:rPr>
          <w:rFonts w:ascii="Times New Roman" w:hAnsi="Times New Roman" w:cs="Times New Roman"/>
          <w:color w:val="auto"/>
          <w:kern w:val="0"/>
          <w:szCs w:val="24"/>
          <w:highlight w:val="none"/>
        </w:rPr>
        <w:t>-3。</w:t>
      </w:r>
    </w:p>
    <w:p w14:paraId="2E6C90A8">
      <w:pPr>
        <w:pStyle w:val="48"/>
        <w:keepNext w:val="0"/>
        <w:keepLines w:val="0"/>
        <w:pageBreakBefore w:val="0"/>
        <w:widowControl w:val="0"/>
        <w:tabs>
          <w:tab w:val="left" w:pos="908"/>
        </w:tabs>
        <w:kinsoku/>
        <w:wordWrap/>
        <w:overflowPunct/>
        <w:topLinePunct w:val="0"/>
        <w:autoSpaceDE/>
        <w:autoSpaceDN/>
        <w:bidi w:val="0"/>
        <w:adjustRightInd w:val="0"/>
        <w:snapToGrid w:val="0"/>
        <w:spacing w:before="0" w:after="0" w:line="240" w:lineRule="auto"/>
        <w:ind w:left="0" w:leftChars="0" w:firstLine="0" w:firstLineChars="0"/>
        <w:textAlignment w:val="auto"/>
        <w:rPr>
          <w:b/>
          <w:bCs/>
          <w:color w:val="auto"/>
          <w:sz w:val="21"/>
          <w:szCs w:val="21"/>
          <w:highlight w:val="none"/>
        </w:rPr>
      </w:pPr>
      <w:r>
        <w:rPr>
          <w:b/>
          <w:bCs/>
          <w:color w:val="auto"/>
          <w:sz w:val="21"/>
          <w:szCs w:val="21"/>
          <w:highlight w:val="none"/>
        </w:rPr>
        <w:t>表5.</w:t>
      </w:r>
      <w:r>
        <w:rPr>
          <w:rFonts w:hint="eastAsia"/>
          <w:b/>
          <w:bCs/>
          <w:color w:val="auto"/>
          <w:sz w:val="21"/>
          <w:szCs w:val="21"/>
          <w:highlight w:val="none"/>
          <w:lang w:val="en-US" w:eastAsia="zh-CN"/>
        </w:rPr>
        <w:t>7</w:t>
      </w:r>
      <w:r>
        <w:rPr>
          <w:b/>
          <w:bCs/>
          <w:color w:val="auto"/>
          <w:sz w:val="21"/>
          <w:szCs w:val="21"/>
          <w:highlight w:val="none"/>
        </w:rPr>
        <w:t>-3    垂直入渗预测参数表</w:t>
      </w:r>
    </w:p>
    <w:tbl>
      <w:tblPr>
        <w:tblStyle w:val="33"/>
        <w:tblW w:w="501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56"/>
        <w:gridCol w:w="1048"/>
        <w:gridCol w:w="1964"/>
        <w:gridCol w:w="1201"/>
        <w:gridCol w:w="1203"/>
        <w:gridCol w:w="2414"/>
      </w:tblGrid>
      <w:tr w14:paraId="27DDFB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132C33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参数</w:t>
            </w:r>
          </w:p>
        </w:tc>
        <w:tc>
          <w:tcPr>
            <w:tcW w:w="610" w:type="pct"/>
            <w:tcBorders>
              <w:tl2br w:val="nil"/>
              <w:tr2bl w:val="nil"/>
            </w:tcBorders>
            <w:vAlign w:val="center"/>
          </w:tcPr>
          <w:p w14:paraId="2DD02C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单位</w:t>
            </w:r>
          </w:p>
        </w:tc>
        <w:tc>
          <w:tcPr>
            <w:tcW w:w="1143" w:type="pct"/>
            <w:tcBorders>
              <w:tl2br w:val="nil"/>
              <w:tr2bl w:val="nil"/>
            </w:tcBorders>
            <w:vAlign w:val="center"/>
          </w:tcPr>
          <w:p w14:paraId="05602B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意义</w:t>
            </w:r>
          </w:p>
        </w:tc>
        <w:tc>
          <w:tcPr>
            <w:tcW w:w="1399" w:type="pct"/>
            <w:gridSpan w:val="2"/>
            <w:tcBorders>
              <w:tl2br w:val="nil"/>
              <w:tr2bl w:val="nil"/>
            </w:tcBorders>
            <w:vAlign w:val="center"/>
          </w:tcPr>
          <w:p w14:paraId="10F649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数值</w:t>
            </w:r>
          </w:p>
        </w:tc>
        <w:tc>
          <w:tcPr>
            <w:tcW w:w="1405" w:type="pct"/>
            <w:tcBorders>
              <w:tl2br w:val="nil"/>
              <w:tr2bl w:val="nil"/>
            </w:tcBorders>
            <w:vAlign w:val="center"/>
          </w:tcPr>
          <w:p w14:paraId="761920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取值依据</w:t>
            </w:r>
          </w:p>
        </w:tc>
      </w:tr>
      <w:tr w14:paraId="58CE1E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vMerge w:val="restart"/>
            <w:tcBorders>
              <w:tl2br w:val="nil"/>
              <w:tr2bl w:val="nil"/>
            </w:tcBorders>
            <w:vAlign w:val="center"/>
          </w:tcPr>
          <w:p w14:paraId="2A67DE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w:t>
            </w:r>
          </w:p>
        </w:tc>
        <w:tc>
          <w:tcPr>
            <w:tcW w:w="610" w:type="pct"/>
            <w:vMerge w:val="restart"/>
            <w:tcBorders>
              <w:tl2br w:val="nil"/>
              <w:tr2bl w:val="nil"/>
            </w:tcBorders>
            <w:vAlign w:val="center"/>
          </w:tcPr>
          <w:p w14:paraId="2D517F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mg/L</w:t>
            </w:r>
          </w:p>
        </w:tc>
        <w:tc>
          <w:tcPr>
            <w:tcW w:w="1143" w:type="pct"/>
            <w:vMerge w:val="restart"/>
            <w:tcBorders>
              <w:tl2br w:val="nil"/>
              <w:tr2bl w:val="nil"/>
            </w:tcBorders>
            <w:vAlign w:val="center"/>
          </w:tcPr>
          <w:p w14:paraId="2E1895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污染物介质中的浓度</w:t>
            </w:r>
          </w:p>
        </w:tc>
        <w:tc>
          <w:tcPr>
            <w:tcW w:w="699" w:type="pct"/>
            <w:tcBorders>
              <w:tl2br w:val="nil"/>
              <w:tr2bl w:val="nil"/>
            </w:tcBorders>
            <w:vAlign w:val="center"/>
          </w:tcPr>
          <w:p w14:paraId="205187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铜</w:t>
            </w:r>
          </w:p>
        </w:tc>
        <w:tc>
          <w:tcPr>
            <w:tcW w:w="700" w:type="pct"/>
            <w:tcBorders>
              <w:tl2br w:val="nil"/>
              <w:tr2bl w:val="nil"/>
            </w:tcBorders>
            <w:vAlign w:val="center"/>
          </w:tcPr>
          <w:p w14:paraId="2A9109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59.31</w:t>
            </w:r>
          </w:p>
        </w:tc>
        <w:tc>
          <w:tcPr>
            <w:tcW w:w="1405" w:type="pct"/>
            <w:vMerge w:val="restart"/>
            <w:tcBorders>
              <w:tl2br w:val="nil"/>
              <w:tr2bl w:val="nil"/>
            </w:tcBorders>
            <w:vAlign w:val="center"/>
          </w:tcPr>
          <w:p w14:paraId="3879BF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建设方提供</w:t>
            </w:r>
          </w:p>
        </w:tc>
      </w:tr>
      <w:tr w14:paraId="33431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vMerge w:val="continue"/>
            <w:tcBorders>
              <w:tl2br w:val="nil"/>
              <w:tr2bl w:val="nil"/>
            </w:tcBorders>
            <w:vAlign w:val="center"/>
          </w:tcPr>
          <w:p w14:paraId="784BEC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p>
        </w:tc>
        <w:tc>
          <w:tcPr>
            <w:tcW w:w="610" w:type="pct"/>
            <w:vMerge w:val="continue"/>
            <w:tcBorders>
              <w:tl2br w:val="nil"/>
              <w:tr2bl w:val="nil"/>
            </w:tcBorders>
            <w:vAlign w:val="center"/>
          </w:tcPr>
          <w:p w14:paraId="7083D6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p>
        </w:tc>
        <w:tc>
          <w:tcPr>
            <w:tcW w:w="1143" w:type="pct"/>
            <w:vMerge w:val="continue"/>
            <w:tcBorders>
              <w:tl2br w:val="nil"/>
              <w:tr2bl w:val="nil"/>
            </w:tcBorders>
            <w:vAlign w:val="center"/>
          </w:tcPr>
          <w:p w14:paraId="679E00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p>
        </w:tc>
        <w:tc>
          <w:tcPr>
            <w:tcW w:w="699" w:type="pct"/>
            <w:tcBorders>
              <w:tl2br w:val="nil"/>
              <w:tr2bl w:val="nil"/>
            </w:tcBorders>
            <w:vAlign w:val="center"/>
          </w:tcPr>
          <w:p w14:paraId="642B46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砷</w:t>
            </w:r>
          </w:p>
        </w:tc>
        <w:tc>
          <w:tcPr>
            <w:tcW w:w="700" w:type="pct"/>
            <w:tcBorders>
              <w:tl2br w:val="nil"/>
              <w:tr2bl w:val="nil"/>
            </w:tcBorders>
            <w:vAlign w:val="center"/>
          </w:tcPr>
          <w:p w14:paraId="123296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39.73</w:t>
            </w:r>
          </w:p>
        </w:tc>
        <w:tc>
          <w:tcPr>
            <w:tcW w:w="1405" w:type="pct"/>
            <w:vMerge w:val="continue"/>
            <w:tcBorders>
              <w:tl2br w:val="nil"/>
              <w:tr2bl w:val="nil"/>
            </w:tcBorders>
            <w:vAlign w:val="center"/>
          </w:tcPr>
          <w:p w14:paraId="4147FB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p>
        </w:tc>
      </w:tr>
      <w:tr w14:paraId="44B979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016E52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w:t>
            </w:r>
          </w:p>
        </w:tc>
        <w:tc>
          <w:tcPr>
            <w:tcW w:w="610" w:type="pct"/>
            <w:tcBorders>
              <w:tl2br w:val="nil"/>
              <w:tr2bl w:val="nil"/>
            </w:tcBorders>
            <w:vAlign w:val="center"/>
          </w:tcPr>
          <w:p w14:paraId="657ED4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/d</w:t>
            </w:r>
          </w:p>
        </w:tc>
        <w:tc>
          <w:tcPr>
            <w:tcW w:w="1143" w:type="pct"/>
            <w:tcBorders>
              <w:tl2br w:val="nil"/>
              <w:tr2bl w:val="nil"/>
            </w:tcBorders>
            <w:vAlign w:val="center"/>
          </w:tcPr>
          <w:p w14:paraId="54B71B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弥散系数</w:t>
            </w:r>
          </w:p>
        </w:tc>
        <w:tc>
          <w:tcPr>
            <w:tcW w:w="1399" w:type="pct"/>
            <w:gridSpan w:val="2"/>
            <w:tcBorders>
              <w:tl2br w:val="nil"/>
              <w:tr2bl w:val="nil"/>
            </w:tcBorders>
            <w:vAlign w:val="center"/>
          </w:tcPr>
          <w:p w14:paraId="663058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0.25</w:t>
            </w:r>
          </w:p>
        </w:tc>
        <w:tc>
          <w:tcPr>
            <w:tcW w:w="1405" w:type="pct"/>
            <w:tcBorders>
              <w:tl2br w:val="nil"/>
              <w:tr2bl w:val="nil"/>
            </w:tcBorders>
            <w:vAlign w:val="center"/>
          </w:tcPr>
          <w:p w14:paraId="44AC26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经验值</w:t>
            </w:r>
          </w:p>
        </w:tc>
      </w:tr>
      <w:tr w14:paraId="18E099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6B59EE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q</w:t>
            </w:r>
          </w:p>
        </w:tc>
        <w:tc>
          <w:tcPr>
            <w:tcW w:w="610" w:type="pct"/>
            <w:tcBorders>
              <w:tl2br w:val="nil"/>
              <w:tr2bl w:val="nil"/>
            </w:tcBorders>
            <w:vAlign w:val="center"/>
          </w:tcPr>
          <w:p w14:paraId="6A875D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m/d</w:t>
            </w:r>
          </w:p>
        </w:tc>
        <w:tc>
          <w:tcPr>
            <w:tcW w:w="1143" w:type="pct"/>
            <w:tcBorders>
              <w:tl2br w:val="nil"/>
              <w:tr2bl w:val="nil"/>
            </w:tcBorders>
            <w:vAlign w:val="center"/>
          </w:tcPr>
          <w:p w14:paraId="1FEE88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渗流速率</w:t>
            </w:r>
          </w:p>
        </w:tc>
        <w:tc>
          <w:tcPr>
            <w:tcW w:w="1399" w:type="pct"/>
            <w:gridSpan w:val="2"/>
            <w:tcBorders>
              <w:tl2br w:val="nil"/>
              <w:tr2bl w:val="nil"/>
            </w:tcBorders>
            <w:vAlign w:val="center"/>
          </w:tcPr>
          <w:p w14:paraId="19E05B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1405" w:type="pct"/>
            <w:tcBorders>
              <w:tl2br w:val="nil"/>
              <w:tr2bl w:val="nil"/>
            </w:tcBorders>
            <w:vAlign w:val="center"/>
          </w:tcPr>
          <w:p w14:paraId="7A0183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根据水文地质</w:t>
            </w:r>
            <w:r>
              <w:rPr>
                <w:rFonts w:hint="eastAsia" w:cs="Times New Roman"/>
                <w:color w:val="auto"/>
                <w:sz w:val="21"/>
                <w:szCs w:val="21"/>
                <w:highlight w:val="none"/>
                <w:lang w:eastAsia="zh-CN"/>
              </w:rPr>
              <w:t>勘查</w:t>
            </w:r>
            <w:r>
              <w:rPr>
                <w:rFonts w:ascii="Times New Roman" w:hAnsi="Times New Roman" w:cs="Times New Roman"/>
                <w:color w:val="auto"/>
                <w:sz w:val="21"/>
                <w:szCs w:val="21"/>
                <w:highlight w:val="none"/>
              </w:rPr>
              <w:t>测定值</w:t>
            </w:r>
          </w:p>
        </w:tc>
      </w:tr>
      <w:tr w14:paraId="458E53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74A0F6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w:t>
            </w:r>
          </w:p>
        </w:tc>
        <w:tc>
          <w:tcPr>
            <w:tcW w:w="610" w:type="pct"/>
            <w:tcBorders>
              <w:tl2br w:val="nil"/>
              <w:tr2bl w:val="nil"/>
            </w:tcBorders>
            <w:vAlign w:val="center"/>
          </w:tcPr>
          <w:p w14:paraId="4C5709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w:t>
            </w:r>
          </w:p>
        </w:tc>
        <w:tc>
          <w:tcPr>
            <w:tcW w:w="1143" w:type="pct"/>
            <w:tcBorders>
              <w:tl2br w:val="nil"/>
              <w:tr2bl w:val="nil"/>
            </w:tcBorders>
            <w:vAlign w:val="center"/>
          </w:tcPr>
          <w:p w14:paraId="6C12C4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沿z轴的距离</w:t>
            </w:r>
          </w:p>
        </w:tc>
        <w:tc>
          <w:tcPr>
            <w:tcW w:w="1399" w:type="pct"/>
            <w:gridSpan w:val="2"/>
            <w:tcBorders>
              <w:tl2br w:val="nil"/>
              <w:tr2bl w:val="nil"/>
            </w:tcBorders>
            <w:vAlign w:val="center"/>
          </w:tcPr>
          <w:p w14:paraId="3CEADF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1405" w:type="pct"/>
            <w:tcBorders>
              <w:tl2br w:val="nil"/>
              <w:tr2bl w:val="nil"/>
            </w:tcBorders>
            <w:vAlign w:val="center"/>
          </w:tcPr>
          <w:p w14:paraId="32C3AD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本次预测设定</w:t>
            </w:r>
          </w:p>
        </w:tc>
      </w:tr>
      <w:tr w14:paraId="4D5AD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7BF2CE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t</w:t>
            </w:r>
          </w:p>
        </w:tc>
        <w:tc>
          <w:tcPr>
            <w:tcW w:w="610" w:type="pct"/>
            <w:tcBorders>
              <w:tl2br w:val="nil"/>
              <w:tr2bl w:val="nil"/>
            </w:tcBorders>
            <w:vAlign w:val="center"/>
          </w:tcPr>
          <w:p w14:paraId="4C2A68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w:t>
            </w:r>
          </w:p>
        </w:tc>
        <w:tc>
          <w:tcPr>
            <w:tcW w:w="1143" w:type="pct"/>
            <w:tcBorders>
              <w:tl2br w:val="nil"/>
              <w:tr2bl w:val="nil"/>
            </w:tcBorders>
            <w:vAlign w:val="center"/>
          </w:tcPr>
          <w:p w14:paraId="0059BD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时间变量</w:t>
            </w:r>
          </w:p>
        </w:tc>
        <w:tc>
          <w:tcPr>
            <w:tcW w:w="1399" w:type="pct"/>
            <w:gridSpan w:val="2"/>
            <w:tcBorders>
              <w:tl2br w:val="nil"/>
              <w:tr2bl w:val="nil"/>
            </w:tcBorders>
            <w:vAlign w:val="center"/>
          </w:tcPr>
          <w:p w14:paraId="617388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100</w:t>
            </w:r>
          </w:p>
        </w:tc>
        <w:tc>
          <w:tcPr>
            <w:tcW w:w="1405" w:type="pct"/>
            <w:tcBorders>
              <w:tl2br w:val="nil"/>
              <w:tr2bl w:val="nil"/>
            </w:tcBorders>
            <w:vAlign w:val="center"/>
          </w:tcPr>
          <w:p w14:paraId="708F3E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本次预测设定</w:t>
            </w:r>
          </w:p>
        </w:tc>
      </w:tr>
      <w:tr w14:paraId="5682AA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4F27A7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θ</w:t>
            </w:r>
          </w:p>
        </w:tc>
        <w:tc>
          <w:tcPr>
            <w:tcW w:w="610" w:type="pct"/>
            <w:tcBorders>
              <w:tl2br w:val="nil"/>
              <w:tr2bl w:val="nil"/>
            </w:tcBorders>
            <w:vAlign w:val="center"/>
          </w:tcPr>
          <w:p w14:paraId="2E7442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143" w:type="pct"/>
            <w:tcBorders>
              <w:tl2br w:val="nil"/>
              <w:tr2bl w:val="nil"/>
            </w:tcBorders>
            <w:vAlign w:val="center"/>
          </w:tcPr>
          <w:p w14:paraId="72E2A5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土壤含水率</w:t>
            </w:r>
          </w:p>
        </w:tc>
        <w:tc>
          <w:tcPr>
            <w:tcW w:w="1399" w:type="pct"/>
            <w:gridSpan w:val="2"/>
            <w:tcBorders>
              <w:tl2br w:val="nil"/>
              <w:tr2bl w:val="nil"/>
            </w:tcBorders>
            <w:vAlign w:val="center"/>
          </w:tcPr>
          <w:p w14:paraId="3FA678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405" w:type="pct"/>
            <w:tcBorders>
              <w:tl2br w:val="nil"/>
              <w:tr2bl w:val="nil"/>
            </w:tcBorders>
            <w:vAlign w:val="center"/>
          </w:tcPr>
          <w:p w14:paraId="6B1B41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根据水文地质</w:t>
            </w:r>
            <w:r>
              <w:rPr>
                <w:rFonts w:hint="eastAsia" w:cs="Times New Roman"/>
                <w:color w:val="auto"/>
                <w:sz w:val="21"/>
                <w:szCs w:val="21"/>
                <w:highlight w:val="none"/>
                <w:lang w:eastAsia="zh-CN"/>
              </w:rPr>
              <w:t>勘查</w:t>
            </w:r>
            <w:r>
              <w:rPr>
                <w:rFonts w:ascii="Times New Roman" w:hAnsi="Times New Roman" w:cs="Times New Roman"/>
                <w:color w:val="auto"/>
                <w:sz w:val="21"/>
                <w:szCs w:val="21"/>
                <w:highlight w:val="none"/>
              </w:rPr>
              <w:t>测定值</w:t>
            </w:r>
          </w:p>
        </w:tc>
      </w:tr>
      <w:tr w14:paraId="1DF4C7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58329C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ρ</w:t>
            </w:r>
          </w:p>
        </w:tc>
        <w:tc>
          <w:tcPr>
            <w:tcW w:w="610" w:type="pct"/>
            <w:tcBorders>
              <w:tl2br w:val="nil"/>
              <w:tr2bl w:val="nil"/>
            </w:tcBorders>
            <w:vAlign w:val="center"/>
          </w:tcPr>
          <w:p w14:paraId="38C494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g/cm</w:t>
            </w:r>
            <w:r>
              <w:rPr>
                <w:rFonts w:ascii="Times New Roman" w:hAnsi="Times New Roman" w:cs="Times New Roman"/>
                <w:color w:val="auto"/>
                <w:sz w:val="21"/>
                <w:szCs w:val="21"/>
                <w:highlight w:val="none"/>
                <w:vertAlign w:val="superscript"/>
              </w:rPr>
              <w:t>3</w:t>
            </w:r>
          </w:p>
        </w:tc>
        <w:tc>
          <w:tcPr>
            <w:tcW w:w="1143" w:type="pct"/>
            <w:tcBorders>
              <w:tl2br w:val="nil"/>
              <w:tr2bl w:val="nil"/>
            </w:tcBorders>
            <w:vAlign w:val="center"/>
          </w:tcPr>
          <w:p w14:paraId="127A42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土壤密度</w:t>
            </w:r>
          </w:p>
        </w:tc>
        <w:tc>
          <w:tcPr>
            <w:tcW w:w="1399" w:type="pct"/>
            <w:gridSpan w:val="2"/>
            <w:tcBorders>
              <w:tl2br w:val="nil"/>
              <w:tr2bl w:val="nil"/>
            </w:tcBorders>
            <w:vAlign w:val="center"/>
          </w:tcPr>
          <w:p w14:paraId="2C56F1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4</w:t>
            </w:r>
          </w:p>
        </w:tc>
        <w:tc>
          <w:tcPr>
            <w:tcW w:w="1405" w:type="pct"/>
            <w:tcBorders>
              <w:tl2br w:val="nil"/>
              <w:tr2bl w:val="nil"/>
            </w:tcBorders>
            <w:vAlign w:val="center"/>
          </w:tcPr>
          <w:p w14:paraId="7578FD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bl>
    <w:p w14:paraId="1BA1050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③预测结果</w:t>
      </w:r>
    </w:p>
    <w:p w14:paraId="57461AA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ascii="Times New Roman" w:hAnsi="Times New Roman" w:eastAsia="宋体" w:cs="Times New Roman"/>
          <w:color w:val="auto"/>
          <w:kern w:val="0"/>
          <w:szCs w:val="24"/>
          <w:highlight w:val="none"/>
          <w:lang w:eastAsia="zh-CN"/>
        </w:rPr>
      </w:pPr>
      <w:r>
        <w:rPr>
          <w:rFonts w:ascii="Times New Roman" w:hAnsi="Times New Roman" w:cs="Times New Roman"/>
          <w:color w:val="auto"/>
          <w:kern w:val="0"/>
          <w:szCs w:val="24"/>
          <w:highlight w:val="none"/>
        </w:rPr>
        <w:t>1）</w:t>
      </w:r>
      <w:r>
        <w:rPr>
          <w:rFonts w:hint="eastAsia" w:ascii="Times New Roman" w:hAnsi="Times New Roman" w:cs="Times New Roman"/>
          <w:color w:val="auto"/>
          <w:kern w:val="0"/>
          <w:szCs w:val="24"/>
          <w:highlight w:val="none"/>
          <w:lang w:val="en-US" w:eastAsia="zh-CN"/>
        </w:rPr>
        <w:t>铜</w:t>
      </w:r>
    </w:p>
    <w:p w14:paraId="23D8F5B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根据模型计算结果，</w:t>
      </w:r>
      <w:r>
        <w:rPr>
          <w:rFonts w:hint="eastAsia" w:cs="Times New Roman"/>
          <w:color w:val="auto"/>
          <w:kern w:val="0"/>
          <w:szCs w:val="24"/>
          <w:highlight w:val="none"/>
          <w:lang w:val="en-US" w:eastAsia="zh-CN"/>
        </w:rPr>
        <w:t>电积液</w:t>
      </w:r>
      <w:r>
        <w:rPr>
          <w:rFonts w:ascii="Times New Roman" w:hAnsi="Times New Roman" w:cs="Times New Roman"/>
          <w:color w:val="auto"/>
          <w:kern w:val="0"/>
          <w:szCs w:val="24"/>
          <w:highlight w:val="none"/>
        </w:rPr>
        <w:t>渗漏进入土壤后，短期内对表层土壤（0~50cm深度）环境影响最为严重，约30天后，污染物在表层土壤中的浓度将达到峰值（即初始浓度</w:t>
      </w:r>
      <w:r>
        <w:rPr>
          <w:rFonts w:hint="eastAsia" w:ascii="Times New Roman" w:hAnsi="Times New Roman" w:cs="Times New Roman"/>
          <w:color w:val="auto"/>
          <w:kern w:val="0"/>
          <w:szCs w:val="24"/>
          <w:highlight w:val="none"/>
          <w:lang w:val="en-US" w:eastAsia="zh-CN"/>
        </w:rPr>
        <w:t>51.66</w:t>
      </w:r>
      <w:r>
        <w:rPr>
          <w:rFonts w:ascii="Times New Roman" w:hAnsi="Times New Roman" w:cs="Times New Roman"/>
          <w:color w:val="auto"/>
          <w:kern w:val="0"/>
          <w:szCs w:val="24"/>
          <w:highlight w:val="none"/>
        </w:rPr>
        <w:t>mg/L，折算成土壤中的含量为</w:t>
      </w:r>
      <w:r>
        <w:rPr>
          <w:rFonts w:hint="eastAsia" w:ascii="Times New Roman" w:hAnsi="Times New Roman" w:cs="Times New Roman"/>
          <w:color w:val="auto"/>
          <w:kern w:val="0"/>
          <w:szCs w:val="24"/>
          <w:highlight w:val="none"/>
          <w:lang w:val="en-US" w:eastAsia="zh-CN"/>
        </w:rPr>
        <w:t>36.9</w:t>
      </w:r>
      <w:r>
        <w:rPr>
          <w:rFonts w:ascii="Times New Roman" w:hAnsi="Times New Roman" w:cs="Times New Roman"/>
          <w:color w:val="auto"/>
          <w:kern w:val="0"/>
          <w:szCs w:val="24"/>
          <w:highlight w:val="none"/>
        </w:rPr>
        <w:t>mg/kg）；发生事故约100天后，污染物在各层土壤中的浓度均达到峰值。根据 GB36600-2018，</w:t>
      </w:r>
      <w:r>
        <w:rPr>
          <w:rFonts w:hint="eastAsia" w:ascii="Times New Roman" w:hAnsi="Times New Roman" w:cs="Times New Roman"/>
          <w:color w:val="auto"/>
          <w:kern w:val="0"/>
          <w:szCs w:val="24"/>
          <w:highlight w:val="none"/>
          <w:lang w:val="en-US" w:eastAsia="zh-CN"/>
        </w:rPr>
        <w:t>铜</w:t>
      </w:r>
      <w:r>
        <w:rPr>
          <w:rFonts w:ascii="Times New Roman" w:hAnsi="Times New Roman" w:cs="Times New Roman"/>
          <w:color w:val="auto"/>
          <w:kern w:val="0"/>
          <w:szCs w:val="24"/>
          <w:highlight w:val="none"/>
        </w:rPr>
        <w:t>的二类用地筛选值为800mg/kg，各监测点位中</w:t>
      </w:r>
      <w:r>
        <w:rPr>
          <w:rFonts w:hint="eastAsia" w:cs="Times New Roman"/>
          <w:color w:val="auto"/>
          <w:kern w:val="0"/>
          <w:szCs w:val="24"/>
          <w:highlight w:val="none"/>
          <w:lang w:val="en-US" w:eastAsia="zh-CN"/>
        </w:rPr>
        <w:t>铜</w:t>
      </w:r>
      <w:r>
        <w:rPr>
          <w:rFonts w:ascii="Times New Roman" w:hAnsi="Times New Roman" w:cs="Times New Roman"/>
          <w:color w:val="auto"/>
          <w:kern w:val="0"/>
          <w:szCs w:val="24"/>
          <w:highlight w:val="none"/>
        </w:rPr>
        <w:t>最大监测数值为57mg/kg，贡献值叠加背景值得到的预测值为57.088mg/kg，不超过筛选值。</w:t>
      </w:r>
    </w:p>
    <w:p w14:paraId="0D92CBF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2）砷</w:t>
      </w:r>
    </w:p>
    <w:p w14:paraId="7ED784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根据模型计算结果，</w:t>
      </w:r>
      <w:r>
        <w:rPr>
          <w:rFonts w:hint="eastAsia" w:ascii="Times New Roman" w:hAnsi="Times New Roman" w:cs="Times New Roman"/>
          <w:color w:val="auto"/>
          <w:kern w:val="0"/>
          <w:szCs w:val="24"/>
          <w:highlight w:val="none"/>
        </w:rPr>
        <w:t>生产</w:t>
      </w:r>
      <w:r>
        <w:rPr>
          <w:rFonts w:ascii="Times New Roman" w:hAnsi="Times New Roman" w:cs="Times New Roman"/>
          <w:color w:val="auto"/>
          <w:kern w:val="0"/>
          <w:szCs w:val="24"/>
          <w:highlight w:val="none"/>
        </w:rPr>
        <w:t>废水渗漏进入土壤后，短期内对表层土壤（0~50cm深度）环境影响最为严重，约30天后，污染物在表层土壤中的浓度将达到峰值（即初始浓度</w:t>
      </w:r>
      <w:r>
        <w:rPr>
          <w:rFonts w:hint="eastAsia" w:ascii="Times New Roman" w:hAnsi="Times New Roman" w:cs="Times New Roman"/>
          <w:color w:val="auto"/>
          <w:kern w:val="0"/>
          <w:szCs w:val="24"/>
          <w:highlight w:val="none"/>
          <w:lang w:val="en-US" w:eastAsia="zh-CN"/>
        </w:rPr>
        <w:t>34.61</w:t>
      </w:r>
      <w:r>
        <w:rPr>
          <w:rFonts w:ascii="Times New Roman" w:hAnsi="Times New Roman" w:cs="Times New Roman"/>
          <w:color w:val="auto"/>
          <w:kern w:val="0"/>
          <w:szCs w:val="24"/>
          <w:highlight w:val="none"/>
        </w:rPr>
        <w:t>mg/L，折算成土壤中的含量为</w:t>
      </w:r>
      <w:r>
        <w:rPr>
          <w:rFonts w:hint="eastAsia" w:ascii="Times New Roman" w:hAnsi="Times New Roman" w:cs="Times New Roman"/>
          <w:color w:val="auto"/>
          <w:kern w:val="0"/>
          <w:szCs w:val="24"/>
          <w:highlight w:val="none"/>
          <w:lang w:val="en-US" w:eastAsia="zh-CN"/>
        </w:rPr>
        <w:t>24.72</w:t>
      </w:r>
      <w:r>
        <w:rPr>
          <w:rFonts w:ascii="Times New Roman" w:hAnsi="Times New Roman" w:cs="Times New Roman"/>
          <w:color w:val="auto"/>
          <w:kern w:val="0"/>
          <w:szCs w:val="24"/>
          <w:highlight w:val="none"/>
        </w:rPr>
        <w:t>mg/kg）；发生事故约100天后，污染物在各层土壤中的浓度均达到峰值。根据GB36600-2018，砷的二类用地筛选值为60mg/kg，各监测点位中砷最大监测数值为8.78mg/kg，贡献值叠加背景值得到的预测值为8.867mg/kg，不超过筛选值。</w:t>
      </w:r>
      <w:bookmarkStart w:id="276" w:name="OLE_LINK25"/>
    </w:p>
    <w:bookmarkEnd w:id="276"/>
    <w:p w14:paraId="433DB37C">
      <w:pPr>
        <w:pStyle w:val="4"/>
        <w:pageBreakBefore w:val="0"/>
        <w:wordWrap/>
        <w:topLinePunct w:val="0"/>
        <w:bidi w:val="0"/>
        <w:adjustRightInd w:val="0"/>
        <w:snapToGrid w:val="0"/>
        <w:ind w:left="0" w:leftChars="0" w:right="0" w:firstLine="482"/>
        <w:rPr>
          <w:rFonts w:hint="eastAsia" w:cs="Times New Roman"/>
          <w:color w:val="auto"/>
          <w:highlight w:val="none"/>
          <w:lang w:val="en-US" w:eastAsia="zh-CN"/>
        </w:rPr>
      </w:pPr>
      <w:r>
        <w:rPr>
          <w:rFonts w:hint="eastAsia" w:cs="Times New Roman"/>
          <w:color w:val="auto"/>
          <w:highlight w:val="none"/>
          <w:lang w:val="en-US" w:eastAsia="zh-CN"/>
        </w:rPr>
        <w:t>5.7.3土壤影响评价结论</w:t>
      </w:r>
    </w:p>
    <w:p w14:paraId="204350E1">
      <w:pPr>
        <w:pageBreakBefore w:val="0"/>
        <w:wordWrap/>
        <w:topLinePunct w:val="0"/>
        <w:bidi w:val="0"/>
        <w:adjustRightInd w:val="0"/>
        <w:snapToGrid w:val="0"/>
        <w:spacing w:line="480" w:lineRule="exact"/>
        <w:ind w:left="0" w:leftChars="0" w:firstLine="480" w:firstLineChars="200"/>
        <w:jc w:val="left"/>
        <w:rPr>
          <w:rFonts w:ascii="Times New Roman" w:hAnsi="Times New Roman" w:cs="Times New Roman"/>
          <w:color w:val="auto"/>
          <w:szCs w:val="24"/>
          <w:highlight w:val="none"/>
        </w:rPr>
      </w:pPr>
      <w:r>
        <w:rPr>
          <w:rFonts w:ascii="Times New Roman" w:hAnsi="Times New Roman" w:cs="Times New Roman"/>
          <w:color w:val="auto"/>
          <w:szCs w:val="24"/>
          <w:highlight w:val="none"/>
        </w:rPr>
        <w:t>本项目土壤影响主要为非正常状况下垂直入渗影响。</w:t>
      </w:r>
      <w:r>
        <w:rPr>
          <w:rFonts w:ascii="Times New Roman" w:hAnsi="Times New Roman" w:cs="Times New Roman"/>
          <w:color w:val="auto"/>
          <w:kern w:val="0"/>
          <w:szCs w:val="24"/>
          <w:highlight w:val="none"/>
        </w:rPr>
        <w:t>建设单位物料储存设施为地上建设，同时建设了裙脚，进行防渗处理，在实际运行过程中</w:t>
      </w:r>
      <w:r>
        <w:rPr>
          <w:rFonts w:hint="eastAsia" w:cs="Times New Roman"/>
          <w:color w:val="auto"/>
          <w:kern w:val="0"/>
          <w:szCs w:val="24"/>
          <w:highlight w:val="none"/>
          <w:lang w:eastAsia="zh-CN"/>
        </w:rPr>
        <w:t>物料</w:t>
      </w:r>
      <w:r>
        <w:rPr>
          <w:rFonts w:ascii="Times New Roman" w:hAnsi="Times New Roman" w:cs="Times New Roman"/>
          <w:color w:val="auto"/>
          <w:kern w:val="0"/>
          <w:szCs w:val="24"/>
          <w:highlight w:val="none"/>
        </w:rPr>
        <w:t>直接泄漏进入土壤环境的情况基本不会发生。</w:t>
      </w:r>
      <w:r>
        <w:rPr>
          <w:rFonts w:ascii="Times New Roman" w:hAnsi="Times New Roman" w:cs="Times New Roman"/>
          <w:color w:val="auto"/>
          <w:szCs w:val="24"/>
          <w:highlight w:val="none"/>
        </w:rPr>
        <w:t>综上所述，本项目对土壤环境影响较小，土壤环境影响可以接受。</w:t>
      </w:r>
    </w:p>
    <w:p w14:paraId="6D52C9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snapToGrid w:val="0"/>
          <w:color w:val="auto"/>
          <w:kern w:val="0"/>
          <w:sz w:val="21"/>
          <w:szCs w:val="21"/>
          <w:highlight w:val="none"/>
        </w:rPr>
      </w:pPr>
      <w:r>
        <w:rPr>
          <w:rFonts w:ascii="Times New Roman" w:hAnsi="Times New Roman" w:cs="Times New Roman"/>
          <w:b/>
          <w:snapToGrid w:val="0"/>
          <w:color w:val="auto"/>
          <w:kern w:val="0"/>
          <w:sz w:val="21"/>
          <w:szCs w:val="21"/>
          <w:highlight w:val="none"/>
        </w:rPr>
        <w:t>表5.</w:t>
      </w:r>
      <w:r>
        <w:rPr>
          <w:rFonts w:hint="eastAsia" w:ascii="Times New Roman" w:hAnsi="Times New Roman" w:cs="Times New Roman"/>
          <w:b/>
          <w:snapToGrid w:val="0"/>
          <w:color w:val="auto"/>
          <w:kern w:val="0"/>
          <w:sz w:val="21"/>
          <w:szCs w:val="21"/>
          <w:highlight w:val="none"/>
          <w:lang w:val="en-US" w:eastAsia="zh-CN"/>
        </w:rPr>
        <w:t>7</w:t>
      </w:r>
      <w:r>
        <w:rPr>
          <w:rFonts w:ascii="Times New Roman" w:hAnsi="Times New Roman" w:cs="Times New Roman"/>
          <w:b/>
          <w:snapToGrid w:val="0"/>
          <w:color w:val="auto"/>
          <w:kern w:val="0"/>
          <w:sz w:val="21"/>
          <w:szCs w:val="21"/>
          <w:highlight w:val="none"/>
        </w:rPr>
        <w:t>-</w:t>
      </w:r>
      <w:r>
        <w:rPr>
          <w:rFonts w:hint="eastAsia" w:ascii="Times New Roman" w:hAnsi="Times New Roman" w:cs="Times New Roman"/>
          <w:b/>
          <w:snapToGrid w:val="0"/>
          <w:color w:val="auto"/>
          <w:kern w:val="0"/>
          <w:sz w:val="21"/>
          <w:szCs w:val="21"/>
          <w:highlight w:val="none"/>
          <w:lang w:val="en-US" w:eastAsia="zh-CN"/>
        </w:rPr>
        <w:t>4</w:t>
      </w:r>
      <w:r>
        <w:rPr>
          <w:rFonts w:ascii="Times New Roman" w:hAnsi="Times New Roman" w:cs="Times New Roman"/>
          <w:b/>
          <w:snapToGrid w:val="0"/>
          <w:color w:val="auto"/>
          <w:kern w:val="0"/>
          <w:sz w:val="21"/>
          <w:szCs w:val="21"/>
          <w:highlight w:val="none"/>
        </w:rPr>
        <w:t xml:space="preserve">    土壤环境影响评价自查表</w:t>
      </w:r>
    </w:p>
    <w:tbl>
      <w:tblPr>
        <w:tblStyle w:val="33"/>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34"/>
        <w:gridCol w:w="1392"/>
        <w:gridCol w:w="961"/>
        <w:gridCol w:w="183"/>
        <w:gridCol w:w="1250"/>
        <w:gridCol w:w="1787"/>
        <w:gridCol w:w="843"/>
        <w:gridCol w:w="886"/>
        <w:gridCol w:w="916"/>
      </w:tblGrid>
      <w:tr w14:paraId="7028F9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jc w:val="center"/>
        </w:trPr>
        <w:tc>
          <w:tcPr>
            <w:tcW w:w="1009" w:type="pct"/>
            <w:gridSpan w:val="2"/>
            <w:tcBorders>
              <w:tl2br w:val="nil"/>
              <w:tr2bl w:val="nil"/>
            </w:tcBorders>
            <w:vAlign w:val="center"/>
          </w:tcPr>
          <w:p w14:paraId="0834211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b/>
                <w:bCs/>
                <w:color w:val="auto"/>
                <w:kern w:val="0"/>
                <w:sz w:val="21"/>
                <w:szCs w:val="21"/>
                <w:highlight w:val="none"/>
              </w:rPr>
            </w:pPr>
            <w:r>
              <w:rPr>
                <w:rFonts w:ascii="Times New Roman" w:hAnsi="Times New Roman" w:cs="Times New Roman"/>
                <w:b/>
                <w:bCs/>
                <w:color w:val="auto"/>
                <w:kern w:val="0"/>
                <w:sz w:val="21"/>
                <w:szCs w:val="21"/>
                <w:highlight w:val="none"/>
              </w:rPr>
              <w:t>工作内容</w:t>
            </w:r>
          </w:p>
        </w:tc>
        <w:tc>
          <w:tcPr>
            <w:tcW w:w="3456" w:type="pct"/>
            <w:gridSpan w:val="6"/>
            <w:tcBorders>
              <w:tl2br w:val="nil"/>
              <w:tr2bl w:val="nil"/>
            </w:tcBorders>
            <w:vAlign w:val="center"/>
          </w:tcPr>
          <w:p w14:paraId="75ADA42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b/>
                <w:bCs/>
                <w:color w:val="auto"/>
                <w:kern w:val="0"/>
                <w:sz w:val="21"/>
                <w:szCs w:val="21"/>
                <w:highlight w:val="none"/>
              </w:rPr>
            </w:pPr>
            <w:r>
              <w:rPr>
                <w:rFonts w:ascii="Times New Roman" w:hAnsi="Times New Roman" w:cs="Times New Roman"/>
                <w:b/>
                <w:bCs/>
                <w:color w:val="auto"/>
                <w:kern w:val="0"/>
                <w:sz w:val="21"/>
                <w:szCs w:val="21"/>
                <w:highlight w:val="none"/>
              </w:rPr>
              <w:t>完成情况</w:t>
            </w:r>
          </w:p>
        </w:tc>
        <w:tc>
          <w:tcPr>
            <w:tcW w:w="533" w:type="pct"/>
            <w:tcBorders>
              <w:tl2br w:val="nil"/>
              <w:tr2bl w:val="nil"/>
            </w:tcBorders>
            <w:vAlign w:val="center"/>
          </w:tcPr>
          <w:p w14:paraId="3D675BD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b/>
                <w:bCs/>
                <w:color w:val="auto"/>
                <w:kern w:val="0"/>
                <w:sz w:val="21"/>
                <w:szCs w:val="21"/>
                <w:highlight w:val="none"/>
              </w:rPr>
            </w:pPr>
            <w:r>
              <w:rPr>
                <w:rFonts w:ascii="Times New Roman" w:hAnsi="Times New Roman" w:cs="Times New Roman"/>
                <w:b/>
                <w:bCs/>
                <w:color w:val="auto"/>
                <w:kern w:val="0"/>
                <w:sz w:val="21"/>
                <w:szCs w:val="21"/>
                <w:highlight w:val="none"/>
              </w:rPr>
              <w:t>备注</w:t>
            </w:r>
          </w:p>
        </w:tc>
      </w:tr>
      <w:tr w14:paraId="5FE077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4A987DA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w:t>
            </w:r>
          </w:p>
          <w:p w14:paraId="22E0D04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响</w:t>
            </w:r>
          </w:p>
          <w:p w14:paraId="3410B51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识</w:t>
            </w:r>
          </w:p>
          <w:p w14:paraId="1CCA12C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别</w:t>
            </w:r>
          </w:p>
        </w:tc>
        <w:tc>
          <w:tcPr>
            <w:tcW w:w="814" w:type="pct"/>
            <w:tcBorders>
              <w:tl2br w:val="nil"/>
              <w:tr2bl w:val="nil"/>
            </w:tcBorders>
            <w:vAlign w:val="center"/>
          </w:tcPr>
          <w:p w14:paraId="275CB3F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影响类型</w:t>
            </w:r>
          </w:p>
        </w:tc>
        <w:tc>
          <w:tcPr>
            <w:tcW w:w="3456" w:type="pct"/>
            <w:gridSpan w:val="6"/>
            <w:tcBorders>
              <w:tl2br w:val="nil"/>
              <w:tr2bl w:val="nil"/>
            </w:tcBorders>
            <w:vAlign w:val="center"/>
          </w:tcPr>
          <w:p w14:paraId="0EF34F7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污染影响型</w:t>
            </w:r>
            <w:r>
              <w:rPr>
                <w:rFonts w:hint="eastAsia" w:cs="Times New Roman"/>
                <w:color w:val="auto"/>
                <w:sz w:val="21"/>
                <w:szCs w:val="21"/>
                <w:highlight w:val="none"/>
                <w:lang w:eastAsia="zh-CN"/>
              </w:rPr>
              <w:t>☑</w:t>
            </w:r>
            <w:r>
              <w:rPr>
                <w:rFonts w:ascii="Times New Roman" w:hAnsi="Times New Roman" w:cs="Times New Roman"/>
                <w:color w:val="auto"/>
                <w:kern w:val="0"/>
                <w:sz w:val="21"/>
                <w:szCs w:val="21"/>
                <w:highlight w:val="none"/>
              </w:rPr>
              <w:t>；生态影响型</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；两种兼有</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286A5A6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r>
      <w:tr w14:paraId="6AD190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43C39ED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1F992A6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土地利用类型</w:t>
            </w:r>
          </w:p>
        </w:tc>
        <w:tc>
          <w:tcPr>
            <w:tcW w:w="3456" w:type="pct"/>
            <w:gridSpan w:val="6"/>
            <w:tcBorders>
              <w:tl2br w:val="nil"/>
              <w:tr2bl w:val="nil"/>
            </w:tcBorders>
            <w:vAlign w:val="center"/>
          </w:tcPr>
          <w:p w14:paraId="157B83E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建设用地</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；农用地</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；未利用地</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184FA6A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5EBE5F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57D55D1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542761F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占地规模</w:t>
            </w:r>
          </w:p>
        </w:tc>
        <w:tc>
          <w:tcPr>
            <w:tcW w:w="3456" w:type="pct"/>
            <w:gridSpan w:val="6"/>
            <w:tcBorders>
              <w:tl2br w:val="nil"/>
              <w:tr2bl w:val="nil"/>
            </w:tcBorders>
            <w:vAlign w:val="center"/>
          </w:tcPr>
          <w:p w14:paraId="1EC0BB3A">
            <w:pPr>
              <w:keepNext w:val="0"/>
              <w:keepLines w:val="0"/>
              <w:pageBreakBefore w:val="0"/>
              <w:widowControl w:val="0"/>
              <w:tabs>
                <w:tab w:val="left" w:pos="136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w:t>
            </w:r>
            <w:r>
              <w:rPr>
                <w:rFonts w:hint="eastAsia" w:ascii="Times New Roman" w:hAnsi="Times New Roman" w:cs="Times New Roman"/>
                <w:color w:val="auto"/>
                <w:kern w:val="0"/>
                <w:sz w:val="21"/>
                <w:szCs w:val="21"/>
                <w:highlight w:val="none"/>
                <w:lang w:val="en-US" w:eastAsia="zh-CN"/>
              </w:rPr>
              <w:t>7.3</w:t>
            </w:r>
            <w:r>
              <w:rPr>
                <w:rFonts w:hint="eastAsia" w:cs="Times New Roman"/>
                <w:color w:val="auto"/>
                <w:kern w:val="0"/>
                <w:sz w:val="21"/>
                <w:szCs w:val="21"/>
                <w:highlight w:val="none"/>
                <w:lang w:val="en-US" w:eastAsia="zh-CN"/>
              </w:rPr>
              <w:t>)</w:t>
            </w:r>
            <w:r>
              <w:rPr>
                <w:rFonts w:ascii="Times New Roman" w:hAnsi="Times New Roman" w:cs="Times New Roman"/>
                <w:color w:val="auto"/>
                <w:kern w:val="0"/>
                <w:sz w:val="21"/>
                <w:szCs w:val="21"/>
                <w:highlight w:val="none"/>
              </w:rPr>
              <w:t>hm</w:t>
            </w:r>
            <w:r>
              <w:rPr>
                <w:rFonts w:ascii="Times New Roman" w:hAnsi="Times New Roman" w:cs="Times New Roman"/>
                <w:color w:val="auto"/>
                <w:kern w:val="0"/>
                <w:sz w:val="21"/>
                <w:szCs w:val="21"/>
                <w:highlight w:val="none"/>
                <w:vertAlign w:val="superscript"/>
              </w:rPr>
              <w:t>2</w:t>
            </w:r>
          </w:p>
        </w:tc>
        <w:tc>
          <w:tcPr>
            <w:tcW w:w="533" w:type="pct"/>
            <w:tcBorders>
              <w:tl2br w:val="nil"/>
              <w:tr2bl w:val="nil"/>
            </w:tcBorders>
            <w:vAlign w:val="center"/>
          </w:tcPr>
          <w:p w14:paraId="5F76E62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72FC3C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0FC2C11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4A33EE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敏感目标信息</w:t>
            </w:r>
          </w:p>
        </w:tc>
        <w:tc>
          <w:tcPr>
            <w:tcW w:w="3456" w:type="pct"/>
            <w:gridSpan w:val="6"/>
            <w:tcBorders>
              <w:tl2br w:val="nil"/>
              <w:tr2bl w:val="nil"/>
            </w:tcBorders>
            <w:vAlign w:val="center"/>
          </w:tcPr>
          <w:p w14:paraId="5B3B10A4">
            <w:pPr>
              <w:keepNext w:val="0"/>
              <w:keepLines w:val="0"/>
              <w:pageBreakBefore w:val="0"/>
              <w:widowControl w:val="0"/>
              <w:tabs>
                <w:tab w:val="left" w:pos="1620"/>
                <w:tab w:val="left" w:pos="3520"/>
                <w:tab w:val="left" w:pos="514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敏感目标（</w:t>
            </w:r>
            <w:r>
              <w:rPr>
                <w:rFonts w:hint="eastAsia" w:cs="Times New Roman"/>
                <w:color w:val="auto"/>
                <w:kern w:val="0"/>
                <w:sz w:val="21"/>
                <w:szCs w:val="21"/>
                <w:highlight w:val="none"/>
                <w:lang w:val="en-US" w:eastAsia="zh-CN"/>
              </w:rPr>
              <w:t>耕地</w:t>
            </w:r>
            <w:r>
              <w:rPr>
                <w:rFonts w:ascii="Times New Roman" w:hAnsi="Times New Roman" w:cs="Times New Roman"/>
                <w:color w:val="auto"/>
                <w:kern w:val="0"/>
                <w:sz w:val="21"/>
                <w:szCs w:val="21"/>
                <w:highlight w:val="none"/>
              </w:rPr>
              <w:t>）、方位（</w:t>
            </w:r>
            <w:r>
              <w:rPr>
                <w:rFonts w:hint="eastAsia" w:cs="Times New Roman"/>
                <w:color w:val="auto"/>
                <w:sz w:val="21"/>
                <w:szCs w:val="21"/>
                <w:highlight w:val="none"/>
                <w:lang w:val="en-US" w:eastAsia="zh-CN"/>
              </w:rPr>
              <w:t>西北</w:t>
            </w:r>
            <w:r>
              <w:rPr>
                <w:rFonts w:ascii="Times New Roman" w:hAnsi="Times New Roman" w:cs="Times New Roman"/>
                <w:color w:val="auto"/>
                <w:kern w:val="0"/>
                <w:sz w:val="21"/>
                <w:szCs w:val="21"/>
                <w:highlight w:val="none"/>
              </w:rPr>
              <w:t>）、距离（</w:t>
            </w:r>
            <w:r>
              <w:rPr>
                <w:rFonts w:hint="eastAsia" w:cs="Times New Roman"/>
                <w:color w:val="auto"/>
                <w:sz w:val="21"/>
                <w:szCs w:val="21"/>
                <w:highlight w:val="none"/>
                <w:lang w:val="en-US" w:eastAsia="zh-CN"/>
              </w:rPr>
              <w:t>500m</w:t>
            </w:r>
            <w:r>
              <w:rPr>
                <w:rFonts w:ascii="Times New Roman" w:hAnsi="Times New Roman" w:cs="Times New Roman"/>
                <w:color w:val="auto"/>
                <w:kern w:val="0"/>
                <w:sz w:val="21"/>
                <w:szCs w:val="21"/>
                <w:highlight w:val="none"/>
              </w:rPr>
              <w:t>）</w:t>
            </w:r>
          </w:p>
        </w:tc>
        <w:tc>
          <w:tcPr>
            <w:tcW w:w="533" w:type="pct"/>
            <w:tcBorders>
              <w:tl2br w:val="nil"/>
              <w:tr2bl w:val="nil"/>
            </w:tcBorders>
            <w:vAlign w:val="center"/>
          </w:tcPr>
          <w:p w14:paraId="30E27F0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2D5A47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0041D8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31B5133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影响途径</w:t>
            </w:r>
          </w:p>
        </w:tc>
        <w:tc>
          <w:tcPr>
            <w:tcW w:w="3456" w:type="pct"/>
            <w:gridSpan w:val="6"/>
            <w:tcBorders>
              <w:tl2br w:val="nil"/>
              <w:tr2bl w:val="nil"/>
            </w:tcBorders>
            <w:vAlign w:val="center"/>
          </w:tcPr>
          <w:p w14:paraId="457C6AD7">
            <w:pPr>
              <w:keepNext w:val="0"/>
              <w:keepLines w:val="0"/>
              <w:pageBreakBefore w:val="0"/>
              <w:widowControl w:val="0"/>
              <w:tabs>
                <w:tab w:val="left" w:pos="522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大气沉降</w:t>
            </w:r>
            <w:r>
              <w:rPr>
                <w:rFonts w:hint="eastAsia" w:cs="Times New Roman"/>
                <w:color w:val="auto"/>
                <w:sz w:val="21"/>
                <w:szCs w:val="21"/>
                <w:highlight w:val="none"/>
                <w:lang w:eastAsia="zh-CN"/>
              </w:rPr>
              <w:t>☑</w:t>
            </w:r>
            <w:r>
              <w:rPr>
                <w:rFonts w:ascii="Times New Roman" w:hAnsi="Times New Roman" w:cs="Times New Roman"/>
                <w:color w:val="auto"/>
                <w:kern w:val="0"/>
                <w:sz w:val="21"/>
                <w:szCs w:val="21"/>
                <w:highlight w:val="none"/>
              </w:rPr>
              <w:t>；地面漫流</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；垂直入渗</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；地下水位</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；其他（）</w:t>
            </w:r>
          </w:p>
        </w:tc>
        <w:tc>
          <w:tcPr>
            <w:tcW w:w="533" w:type="pct"/>
            <w:tcBorders>
              <w:tl2br w:val="nil"/>
              <w:tr2bl w:val="nil"/>
            </w:tcBorders>
            <w:vAlign w:val="center"/>
          </w:tcPr>
          <w:p w14:paraId="28BD099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3CFCBE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062DF5C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3DC6ED8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全部污染物</w:t>
            </w:r>
          </w:p>
        </w:tc>
        <w:tc>
          <w:tcPr>
            <w:tcW w:w="3456" w:type="pct"/>
            <w:gridSpan w:val="6"/>
            <w:tcBorders>
              <w:tl2br w:val="nil"/>
              <w:tr2bl w:val="nil"/>
            </w:tcBorders>
            <w:vAlign w:val="center"/>
          </w:tcPr>
          <w:p w14:paraId="68115E7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rPr>
            </w:pPr>
            <w:r>
              <w:rPr>
                <w:rFonts w:hint="eastAsia" w:cs="Times New Roman"/>
                <w:color w:val="auto"/>
                <w:kern w:val="0"/>
                <w:sz w:val="21"/>
                <w:szCs w:val="21"/>
                <w:highlight w:val="none"/>
                <w:lang w:val="en-US" w:eastAsia="zh-CN"/>
              </w:rPr>
              <w:t>镉、镍、铜、汞、砷、铅、六价铬、钼、钴、锌、pH</w:t>
            </w:r>
          </w:p>
        </w:tc>
        <w:tc>
          <w:tcPr>
            <w:tcW w:w="533" w:type="pct"/>
            <w:tcBorders>
              <w:tl2br w:val="nil"/>
              <w:tr2bl w:val="nil"/>
            </w:tcBorders>
            <w:vAlign w:val="center"/>
          </w:tcPr>
          <w:p w14:paraId="7274600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187C98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53ADC8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8CEB5F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特征因子</w:t>
            </w:r>
          </w:p>
        </w:tc>
        <w:tc>
          <w:tcPr>
            <w:tcW w:w="3456" w:type="pct"/>
            <w:gridSpan w:val="6"/>
            <w:tcBorders>
              <w:tl2br w:val="nil"/>
              <w:tr2bl w:val="nil"/>
            </w:tcBorders>
            <w:vAlign w:val="center"/>
          </w:tcPr>
          <w:p w14:paraId="6DE678F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rPr>
            </w:pPr>
            <w:r>
              <w:rPr>
                <w:rFonts w:hint="eastAsia" w:ascii="Times New Roman" w:hAnsi="Times New Roman" w:cs="Times New Roman"/>
                <w:color w:val="auto"/>
                <w:kern w:val="0"/>
                <w:sz w:val="21"/>
                <w:szCs w:val="21"/>
                <w:highlight w:val="none"/>
                <w:lang w:val="en-US" w:eastAsia="zh-CN"/>
              </w:rPr>
              <w:t>铜</w:t>
            </w:r>
            <w:r>
              <w:rPr>
                <w:rFonts w:ascii="Times New Roman" w:hAnsi="Times New Roman" w:cs="Times New Roman"/>
                <w:color w:val="auto"/>
                <w:kern w:val="0"/>
                <w:sz w:val="21"/>
                <w:szCs w:val="21"/>
                <w:highlight w:val="none"/>
              </w:rPr>
              <w:t>、砷</w:t>
            </w:r>
          </w:p>
        </w:tc>
        <w:tc>
          <w:tcPr>
            <w:tcW w:w="533" w:type="pct"/>
            <w:tcBorders>
              <w:tl2br w:val="nil"/>
              <w:tr2bl w:val="nil"/>
            </w:tcBorders>
            <w:vAlign w:val="center"/>
          </w:tcPr>
          <w:p w14:paraId="4CCDD9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50EDE7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389F880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4F41DAC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所属土壤环境影响评价项目类别</w:t>
            </w:r>
          </w:p>
        </w:tc>
        <w:tc>
          <w:tcPr>
            <w:tcW w:w="3456" w:type="pct"/>
            <w:gridSpan w:val="6"/>
            <w:tcBorders>
              <w:tl2br w:val="nil"/>
              <w:tr2bl w:val="nil"/>
            </w:tcBorders>
            <w:vAlign w:val="center"/>
          </w:tcPr>
          <w:p w14:paraId="0436089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Ⅰ类</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；Ⅱ类</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；Ⅲ类</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；Ⅳ类</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4B1A03D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65D999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1EAA7E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5D2384C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敏感程度</w:t>
            </w:r>
          </w:p>
        </w:tc>
        <w:tc>
          <w:tcPr>
            <w:tcW w:w="3456" w:type="pct"/>
            <w:gridSpan w:val="6"/>
            <w:tcBorders>
              <w:tl2br w:val="nil"/>
              <w:tr2bl w:val="nil"/>
            </w:tcBorders>
            <w:vAlign w:val="center"/>
          </w:tcPr>
          <w:p w14:paraId="65180A8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ascii="Times New Roman" w:hAnsi="Times New Roman" w:cs="Times New Roman"/>
                <w:color w:val="auto"/>
                <w:kern w:val="0"/>
                <w:sz w:val="21"/>
                <w:szCs w:val="21"/>
                <w:highlight w:val="none"/>
              </w:rPr>
              <w:t>敏感</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；较敏感</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；不敏感</w:t>
            </w:r>
            <w:r>
              <w:rPr>
                <w:rFonts w:hint="eastAsia" w:ascii="Times New Roman" w:hAnsi="Times New Roman" w:cs="Times New Roman"/>
                <w:color w:val="auto"/>
                <w:sz w:val="21"/>
                <w:szCs w:val="21"/>
                <w:highlight w:val="none"/>
                <w:lang w:eastAsia="zh-CN"/>
              </w:rPr>
              <w:t>□</w:t>
            </w:r>
          </w:p>
        </w:tc>
        <w:tc>
          <w:tcPr>
            <w:tcW w:w="533" w:type="pct"/>
            <w:tcBorders>
              <w:tl2br w:val="nil"/>
              <w:tr2bl w:val="nil"/>
            </w:tcBorders>
            <w:vAlign w:val="center"/>
          </w:tcPr>
          <w:p w14:paraId="1117542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72146E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009" w:type="pct"/>
            <w:gridSpan w:val="2"/>
            <w:tcBorders>
              <w:tl2br w:val="nil"/>
              <w:tr2bl w:val="nil"/>
            </w:tcBorders>
            <w:vAlign w:val="center"/>
          </w:tcPr>
          <w:p w14:paraId="05D42B7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评价工作等级</w:t>
            </w:r>
          </w:p>
        </w:tc>
        <w:tc>
          <w:tcPr>
            <w:tcW w:w="3456" w:type="pct"/>
            <w:gridSpan w:val="6"/>
            <w:tcBorders>
              <w:tl2br w:val="nil"/>
              <w:tr2bl w:val="nil"/>
            </w:tcBorders>
            <w:vAlign w:val="center"/>
          </w:tcPr>
          <w:p w14:paraId="0A8771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一级</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；二级</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；三级</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4758FC8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3A62F1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2057DA4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w:t>
            </w:r>
          </w:p>
          <w:p w14:paraId="0FF57B7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状</w:t>
            </w:r>
          </w:p>
          <w:p w14:paraId="57FE0AD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调</w:t>
            </w:r>
          </w:p>
          <w:p w14:paraId="3C8D6A5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查</w:t>
            </w:r>
          </w:p>
          <w:p w14:paraId="3C17362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内</w:t>
            </w:r>
          </w:p>
          <w:p w14:paraId="65CC672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容</w:t>
            </w:r>
          </w:p>
        </w:tc>
        <w:tc>
          <w:tcPr>
            <w:tcW w:w="814" w:type="pct"/>
            <w:tcBorders>
              <w:tl2br w:val="nil"/>
              <w:tr2bl w:val="nil"/>
            </w:tcBorders>
            <w:vAlign w:val="center"/>
          </w:tcPr>
          <w:p w14:paraId="4FB3051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资料收集</w:t>
            </w:r>
          </w:p>
        </w:tc>
        <w:tc>
          <w:tcPr>
            <w:tcW w:w="3456" w:type="pct"/>
            <w:gridSpan w:val="6"/>
            <w:tcBorders>
              <w:tl2br w:val="nil"/>
              <w:tr2bl w:val="nil"/>
            </w:tcBorders>
            <w:vAlign w:val="center"/>
          </w:tcPr>
          <w:p w14:paraId="0DC763D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w w:val="99"/>
                <w:kern w:val="0"/>
                <w:sz w:val="21"/>
                <w:szCs w:val="21"/>
                <w:highlight w:val="none"/>
              </w:rPr>
              <w:t>a</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 xml:space="preserve">; </w:t>
            </w:r>
            <w:r>
              <w:rPr>
                <w:rFonts w:ascii="Times New Roman" w:hAnsi="Times New Roman" w:cs="Times New Roman"/>
                <w:color w:val="auto"/>
                <w:kern w:val="0"/>
                <w:sz w:val="21"/>
                <w:szCs w:val="21"/>
                <w:highlight w:val="none"/>
              </w:rPr>
              <w:t>b</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 xml:space="preserve">; </w:t>
            </w:r>
            <w:r>
              <w:rPr>
                <w:rFonts w:ascii="Times New Roman" w:hAnsi="Times New Roman" w:cs="Times New Roman"/>
                <w:color w:val="auto"/>
                <w:w w:val="99"/>
                <w:kern w:val="0"/>
                <w:sz w:val="21"/>
                <w:szCs w:val="21"/>
                <w:highlight w:val="none"/>
              </w:rPr>
              <w:t>c</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 xml:space="preserve">; </w:t>
            </w:r>
            <w:r>
              <w:rPr>
                <w:rFonts w:ascii="Times New Roman" w:hAnsi="Times New Roman" w:cs="Times New Roman"/>
                <w:color w:val="auto"/>
                <w:w w:val="78"/>
                <w:kern w:val="0"/>
                <w:sz w:val="21"/>
                <w:szCs w:val="21"/>
                <w:highlight w:val="none"/>
              </w:rPr>
              <w:t>d</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7B8A030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4665FF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3BAFFA1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12E5D7D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理化特性</w:t>
            </w:r>
          </w:p>
        </w:tc>
        <w:tc>
          <w:tcPr>
            <w:tcW w:w="3456" w:type="pct"/>
            <w:gridSpan w:val="6"/>
            <w:tcBorders>
              <w:tl2br w:val="nil"/>
              <w:tr2bl w:val="nil"/>
            </w:tcBorders>
            <w:vAlign w:val="center"/>
          </w:tcPr>
          <w:p w14:paraId="39CD9B0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pH、土壤盐含量</w:t>
            </w:r>
          </w:p>
        </w:tc>
        <w:tc>
          <w:tcPr>
            <w:tcW w:w="533" w:type="pct"/>
            <w:tcBorders>
              <w:tl2br w:val="nil"/>
              <w:tr2bl w:val="nil"/>
            </w:tcBorders>
            <w:vAlign w:val="center"/>
          </w:tcPr>
          <w:p w14:paraId="33FD993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0F6801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702D5E3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restart"/>
            <w:tcBorders>
              <w:tl2br w:val="nil"/>
              <w:tr2bl w:val="nil"/>
            </w:tcBorders>
            <w:vAlign w:val="center"/>
          </w:tcPr>
          <w:p w14:paraId="79042F4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现状监测点位</w:t>
            </w:r>
          </w:p>
        </w:tc>
        <w:tc>
          <w:tcPr>
            <w:tcW w:w="669" w:type="pct"/>
            <w:gridSpan w:val="2"/>
            <w:tcBorders>
              <w:tl2br w:val="nil"/>
              <w:tr2bl w:val="nil"/>
            </w:tcBorders>
            <w:vAlign w:val="center"/>
          </w:tcPr>
          <w:p w14:paraId="074181B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731" w:type="pct"/>
            <w:tcBorders>
              <w:tl2br w:val="nil"/>
              <w:tr2bl w:val="nil"/>
            </w:tcBorders>
            <w:vAlign w:val="center"/>
          </w:tcPr>
          <w:p w14:paraId="33005F1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占地范围内</w:t>
            </w:r>
          </w:p>
        </w:tc>
        <w:tc>
          <w:tcPr>
            <w:tcW w:w="1045" w:type="pct"/>
            <w:tcBorders>
              <w:tl2br w:val="nil"/>
              <w:tr2bl w:val="nil"/>
            </w:tcBorders>
            <w:vAlign w:val="center"/>
          </w:tcPr>
          <w:p w14:paraId="5AA2438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占地范围外</w:t>
            </w:r>
          </w:p>
        </w:tc>
        <w:tc>
          <w:tcPr>
            <w:tcW w:w="1009" w:type="pct"/>
            <w:gridSpan w:val="2"/>
            <w:tcBorders>
              <w:tl2br w:val="nil"/>
              <w:tr2bl w:val="nil"/>
            </w:tcBorders>
            <w:vAlign w:val="center"/>
          </w:tcPr>
          <w:p w14:paraId="6A1A550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深度</w:t>
            </w:r>
          </w:p>
        </w:tc>
        <w:tc>
          <w:tcPr>
            <w:tcW w:w="533" w:type="pct"/>
            <w:vMerge w:val="restart"/>
            <w:tcBorders>
              <w:tl2br w:val="nil"/>
              <w:tr2bl w:val="nil"/>
            </w:tcBorders>
            <w:vAlign w:val="center"/>
          </w:tcPr>
          <w:p w14:paraId="79CF586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r>
      <w:tr w14:paraId="691D26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0956A73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continue"/>
            <w:tcBorders>
              <w:tl2br w:val="nil"/>
              <w:tr2bl w:val="nil"/>
            </w:tcBorders>
            <w:vAlign w:val="center"/>
          </w:tcPr>
          <w:p w14:paraId="5A3D9FD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669" w:type="pct"/>
            <w:gridSpan w:val="2"/>
            <w:tcBorders>
              <w:tl2br w:val="nil"/>
              <w:tr2bl w:val="nil"/>
            </w:tcBorders>
            <w:vAlign w:val="center"/>
          </w:tcPr>
          <w:p w14:paraId="4305283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表层样点数</w:t>
            </w:r>
          </w:p>
        </w:tc>
        <w:tc>
          <w:tcPr>
            <w:tcW w:w="731" w:type="pct"/>
            <w:tcBorders>
              <w:tl2br w:val="nil"/>
              <w:tr2bl w:val="nil"/>
            </w:tcBorders>
            <w:vAlign w:val="center"/>
          </w:tcPr>
          <w:p w14:paraId="58A677B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2</w:t>
            </w:r>
          </w:p>
        </w:tc>
        <w:tc>
          <w:tcPr>
            <w:tcW w:w="1045" w:type="pct"/>
            <w:tcBorders>
              <w:tl2br w:val="nil"/>
              <w:tr2bl w:val="nil"/>
            </w:tcBorders>
            <w:vAlign w:val="center"/>
          </w:tcPr>
          <w:p w14:paraId="07F126E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4</w:t>
            </w:r>
          </w:p>
        </w:tc>
        <w:tc>
          <w:tcPr>
            <w:tcW w:w="1009" w:type="pct"/>
            <w:gridSpan w:val="2"/>
            <w:tcBorders>
              <w:tl2br w:val="nil"/>
              <w:tr2bl w:val="nil"/>
            </w:tcBorders>
            <w:vAlign w:val="center"/>
          </w:tcPr>
          <w:p w14:paraId="398E5A3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0~0.2m</w:t>
            </w:r>
          </w:p>
        </w:tc>
        <w:tc>
          <w:tcPr>
            <w:tcW w:w="533" w:type="pct"/>
            <w:vMerge w:val="continue"/>
            <w:tcBorders>
              <w:tl2br w:val="nil"/>
              <w:tr2bl w:val="nil"/>
            </w:tcBorders>
            <w:vAlign w:val="center"/>
          </w:tcPr>
          <w:p w14:paraId="2E80573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6B31DB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2A14A37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continue"/>
            <w:tcBorders>
              <w:tl2br w:val="nil"/>
              <w:tr2bl w:val="nil"/>
            </w:tcBorders>
            <w:vAlign w:val="center"/>
          </w:tcPr>
          <w:p w14:paraId="157369C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669" w:type="pct"/>
            <w:gridSpan w:val="2"/>
            <w:tcBorders>
              <w:tl2br w:val="nil"/>
              <w:tr2bl w:val="nil"/>
            </w:tcBorders>
            <w:vAlign w:val="center"/>
          </w:tcPr>
          <w:p w14:paraId="4D2AA9E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柱状样点数</w:t>
            </w:r>
          </w:p>
        </w:tc>
        <w:tc>
          <w:tcPr>
            <w:tcW w:w="731" w:type="pct"/>
            <w:tcBorders>
              <w:tl2br w:val="nil"/>
              <w:tr2bl w:val="nil"/>
            </w:tcBorders>
            <w:vAlign w:val="center"/>
          </w:tcPr>
          <w:p w14:paraId="6FF3BC2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5</w:t>
            </w:r>
          </w:p>
        </w:tc>
        <w:tc>
          <w:tcPr>
            <w:tcW w:w="1045" w:type="pct"/>
            <w:tcBorders>
              <w:tl2br w:val="nil"/>
              <w:tr2bl w:val="nil"/>
            </w:tcBorders>
            <w:vAlign w:val="center"/>
          </w:tcPr>
          <w:p w14:paraId="280B25C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w:t>
            </w:r>
          </w:p>
        </w:tc>
        <w:tc>
          <w:tcPr>
            <w:tcW w:w="1009" w:type="pct"/>
            <w:gridSpan w:val="2"/>
            <w:tcBorders>
              <w:tl2br w:val="nil"/>
              <w:tr2bl w:val="nil"/>
            </w:tcBorders>
            <w:vAlign w:val="center"/>
          </w:tcPr>
          <w:p w14:paraId="5E451CA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0~0.5m</w:t>
            </w:r>
            <w:r>
              <w:rPr>
                <w:rFonts w:hint="eastAsia"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0.5</w:t>
            </w:r>
            <w:r>
              <w:rPr>
                <w:rFonts w:hint="eastAsia"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1.5m、1.5</w:t>
            </w:r>
            <w:r>
              <w:rPr>
                <w:rFonts w:hint="eastAsia"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3m</w:t>
            </w:r>
          </w:p>
        </w:tc>
        <w:tc>
          <w:tcPr>
            <w:tcW w:w="533" w:type="pct"/>
            <w:vMerge w:val="continue"/>
            <w:tcBorders>
              <w:tl2br w:val="nil"/>
              <w:tr2bl w:val="nil"/>
            </w:tcBorders>
            <w:vAlign w:val="center"/>
          </w:tcPr>
          <w:p w14:paraId="4141D45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56C366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18B51B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29484C2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现状监测因子</w:t>
            </w:r>
          </w:p>
        </w:tc>
        <w:tc>
          <w:tcPr>
            <w:tcW w:w="3456" w:type="pct"/>
            <w:gridSpan w:val="6"/>
            <w:tcBorders>
              <w:tl2br w:val="nil"/>
              <w:tr2bl w:val="nil"/>
            </w:tcBorders>
            <w:vAlign w:val="center"/>
          </w:tcPr>
          <w:p w14:paraId="5EE7CAF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pH+基本45项</w:t>
            </w:r>
          </w:p>
        </w:tc>
        <w:tc>
          <w:tcPr>
            <w:tcW w:w="533" w:type="pct"/>
            <w:tcBorders>
              <w:tl2br w:val="nil"/>
              <w:tr2bl w:val="nil"/>
            </w:tcBorders>
            <w:vAlign w:val="center"/>
          </w:tcPr>
          <w:p w14:paraId="3AE9FE7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6D7C28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55F7A60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w:t>
            </w:r>
          </w:p>
          <w:p w14:paraId="013270C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状</w:t>
            </w:r>
          </w:p>
          <w:p w14:paraId="645F078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w:t>
            </w:r>
          </w:p>
          <w:p w14:paraId="0A43BB7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价</w:t>
            </w:r>
          </w:p>
        </w:tc>
        <w:tc>
          <w:tcPr>
            <w:tcW w:w="814" w:type="pct"/>
            <w:tcBorders>
              <w:tl2br w:val="nil"/>
              <w:tr2bl w:val="nil"/>
            </w:tcBorders>
            <w:vAlign w:val="center"/>
          </w:tcPr>
          <w:p w14:paraId="5CBCF64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评价因子</w:t>
            </w:r>
          </w:p>
        </w:tc>
        <w:tc>
          <w:tcPr>
            <w:tcW w:w="3456" w:type="pct"/>
            <w:gridSpan w:val="6"/>
            <w:tcBorders>
              <w:tl2br w:val="nil"/>
              <w:tr2bl w:val="nil"/>
            </w:tcBorders>
            <w:vAlign w:val="center"/>
          </w:tcPr>
          <w:p w14:paraId="489C050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pH+基本45项</w:t>
            </w:r>
          </w:p>
        </w:tc>
        <w:tc>
          <w:tcPr>
            <w:tcW w:w="533" w:type="pct"/>
            <w:tcBorders>
              <w:tl2br w:val="nil"/>
              <w:tr2bl w:val="nil"/>
            </w:tcBorders>
            <w:vAlign w:val="center"/>
          </w:tcPr>
          <w:p w14:paraId="6E60DB4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754204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4626EB8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0F81FAD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评价标准</w:t>
            </w:r>
          </w:p>
        </w:tc>
        <w:tc>
          <w:tcPr>
            <w:tcW w:w="3456" w:type="pct"/>
            <w:gridSpan w:val="6"/>
            <w:tcBorders>
              <w:tl2br w:val="nil"/>
              <w:tr2bl w:val="nil"/>
            </w:tcBorders>
            <w:vAlign w:val="center"/>
          </w:tcPr>
          <w:p w14:paraId="724B13EE">
            <w:pPr>
              <w:keepNext w:val="0"/>
              <w:keepLines w:val="0"/>
              <w:pageBreakBefore w:val="0"/>
              <w:widowControl w:val="0"/>
              <w:tabs>
                <w:tab w:val="left" w:pos="508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GB 15618</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；G</w:t>
            </w:r>
            <w:r>
              <w:rPr>
                <w:rFonts w:ascii="Times New Roman" w:hAnsi="Times New Roman" w:cs="Times New Roman"/>
                <w:color w:val="auto"/>
                <w:w w:val="99"/>
                <w:kern w:val="0"/>
                <w:sz w:val="21"/>
                <w:szCs w:val="21"/>
                <w:highlight w:val="none"/>
              </w:rPr>
              <w:t>B</w:t>
            </w:r>
            <w:r>
              <w:rPr>
                <w:rFonts w:ascii="Times New Roman" w:hAnsi="Times New Roman" w:cs="Times New Roman"/>
                <w:color w:val="auto"/>
                <w:kern w:val="0"/>
                <w:sz w:val="21"/>
                <w:szCs w:val="21"/>
                <w:highlight w:val="none"/>
              </w:rPr>
              <w:t xml:space="preserve"> 36600</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；表 D.1</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；表 D.2</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；其他（ ）</w:t>
            </w:r>
          </w:p>
        </w:tc>
        <w:tc>
          <w:tcPr>
            <w:tcW w:w="533" w:type="pct"/>
            <w:tcBorders>
              <w:tl2br w:val="nil"/>
              <w:tr2bl w:val="nil"/>
            </w:tcBorders>
            <w:vAlign w:val="center"/>
          </w:tcPr>
          <w:p w14:paraId="6F730FF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525216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F5C2DD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7A74293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现状评价结论</w:t>
            </w:r>
          </w:p>
        </w:tc>
        <w:tc>
          <w:tcPr>
            <w:tcW w:w="3456" w:type="pct"/>
            <w:gridSpan w:val="6"/>
            <w:tcBorders>
              <w:tl2br w:val="nil"/>
              <w:tr2bl w:val="nil"/>
            </w:tcBorders>
            <w:vAlign w:val="center"/>
          </w:tcPr>
          <w:p w14:paraId="2541C56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占地范围内</w:t>
            </w:r>
            <w:r>
              <w:rPr>
                <w:rFonts w:hint="eastAsia" w:cs="Times New Roman"/>
                <w:color w:val="auto"/>
                <w:kern w:val="0"/>
                <w:sz w:val="21"/>
                <w:szCs w:val="21"/>
                <w:highlight w:val="none"/>
                <w:lang w:val="en-US" w:eastAsia="zh-CN"/>
              </w:rPr>
              <w:t>及周边</w:t>
            </w:r>
            <w:r>
              <w:rPr>
                <w:rFonts w:hint="eastAsia" w:ascii="Times New Roman" w:hAnsi="Times New Roman" w:cs="Times New Roman"/>
                <w:color w:val="auto"/>
                <w:kern w:val="0"/>
                <w:sz w:val="21"/>
                <w:szCs w:val="21"/>
                <w:highlight w:val="none"/>
              </w:rPr>
              <w:t>的各监测因子均</w:t>
            </w:r>
            <w:r>
              <w:rPr>
                <w:rFonts w:hint="eastAsia" w:ascii="Times New Roman" w:hAnsi="Times New Roman" w:cs="Times New Roman"/>
                <w:color w:val="auto"/>
                <w:kern w:val="0"/>
                <w:sz w:val="21"/>
                <w:szCs w:val="21"/>
                <w:highlight w:val="none"/>
                <w:lang w:val="en-US" w:eastAsia="zh-CN"/>
              </w:rPr>
              <w:t>满足</w:t>
            </w:r>
            <w:r>
              <w:rPr>
                <w:rFonts w:hint="eastAsia" w:ascii="Times New Roman" w:hAnsi="Times New Roman" w:cs="Times New Roman"/>
                <w:color w:val="auto"/>
                <w:kern w:val="0"/>
                <w:sz w:val="21"/>
                <w:szCs w:val="21"/>
                <w:highlight w:val="none"/>
              </w:rPr>
              <w:t>（GB36600-2018）相关标准；占地范围外</w:t>
            </w:r>
            <w:r>
              <w:rPr>
                <w:rFonts w:hint="eastAsia" w:cs="Times New Roman"/>
                <w:color w:val="auto"/>
                <w:kern w:val="0"/>
                <w:sz w:val="21"/>
                <w:szCs w:val="21"/>
                <w:highlight w:val="none"/>
                <w:lang w:val="en-US" w:eastAsia="zh-CN"/>
              </w:rPr>
              <w:t>耕地</w:t>
            </w:r>
            <w:r>
              <w:rPr>
                <w:rFonts w:hint="eastAsia" w:ascii="Times New Roman" w:hAnsi="Times New Roman" w:cs="Times New Roman"/>
                <w:color w:val="auto"/>
                <w:kern w:val="0"/>
                <w:sz w:val="21"/>
                <w:szCs w:val="21"/>
                <w:highlight w:val="none"/>
              </w:rPr>
              <w:t>的各监测</w:t>
            </w:r>
            <w:r>
              <w:rPr>
                <w:rFonts w:hint="eastAsia" w:ascii="Times New Roman" w:hAnsi="Times New Roman" w:cs="Times New Roman"/>
                <w:color w:val="auto"/>
                <w:kern w:val="0"/>
                <w:sz w:val="21"/>
                <w:szCs w:val="21"/>
                <w:highlight w:val="none"/>
                <w:lang w:val="en-US" w:eastAsia="zh-CN"/>
              </w:rPr>
              <w:t>因子</w:t>
            </w:r>
            <w:r>
              <w:rPr>
                <w:rFonts w:hint="eastAsia" w:ascii="Times New Roman" w:hAnsi="Times New Roman" w:cs="Times New Roman"/>
                <w:color w:val="auto"/>
                <w:kern w:val="0"/>
                <w:sz w:val="21"/>
                <w:szCs w:val="21"/>
                <w:highlight w:val="none"/>
              </w:rPr>
              <w:t>均满足（GB15618-2018）表1其他类中的风险筛选值要求</w:t>
            </w:r>
          </w:p>
        </w:tc>
        <w:tc>
          <w:tcPr>
            <w:tcW w:w="533" w:type="pct"/>
            <w:tcBorders>
              <w:tl2br w:val="nil"/>
              <w:tr2bl w:val="nil"/>
            </w:tcBorders>
            <w:vAlign w:val="center"/>
          </w:tcPr>
          <w:p w14:paraId="459D2E6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128A5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31D9EA9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w:t>
            </w:r>
          </w:p>
          <w:p w14:paraId="351F9DC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响</w:t>
            </w:r>
          </w:p>
          <w:p w14:paraId="3780967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w:t>
            </w:r>
          </w:p>
          <w:p w14:paraId="1DCD6F5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测</w:t>
            </w:r>
          </w:p>
        </w:tc>
        <w:tc>
          <w:tcPr>
            <w:tcW w:w="814" w:type="pct"/>
            <w:tcBorders>
              <w:tl2br w:val="nil"/>
              <w:tr2bl w:val="nil"/>
            </w:tcBorders>
            <w:vAlign w:val="center"/>
          </w:tcPr>
          <w:p w14:paraId="721A278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预测因子</w:t>
            </w:r>
          </w:p>
        </w:tc>
        <w:tc>
          <w:tcPr>
            <w:tcW w:w="3456" w:type="pct"/>
            <w:gridSpan w:val="6"/>
            <w:tcBorders>
              <w:tl2br w:val="nil"/>
              <w:tr2bl w:val="nil"/>
            </w:tcBorders>
            <w:vAlign w:val="center"/>
          </w:tcPr>
          <w:p w14:paraId="660C21C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铜</w:t>
            </w:r>
            <w:r>
              <w:rPr>
                <w:rFonts w:ascii="Times New Roman" w:hAnsi="Times New Roman" w:cs="Times New Roman"/>
                <w:color w:val="auto"/>
                <w:kern w:val="0"/>
                <w:sz w:val="21"/>
                <w:szCs w:val="21"/>
                <w:highlight w:val="none"/>
              </w:rPr>
              <w:t>、砷</w:t>
            </w:r>
          </w:p>
        </w:tc>
        <w:tc>
          <w:tcPr>
            <w:tcW w:w="533" w:type="pct"/>
            <w:tcBorders>
              <w:tl2br w:val="nil"/>
              <w:tr2bl w:val="nil"/>
            </w:tcBorders>
            <w:vAlign w:val="center"/>
          </w:tcPr>
          <w:p w14:paraId="1F25B70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34E6A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25D70CE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8A7348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预测方法</w:t>
            </w:r>
          </w:p>
        </w:tc>
        <w:tc>
          <w:tcPr>
            <w:tcW w:w="3456" w:type="pct"/>
            <w:gridSpan w:val="6"/>
            <w:tcBorders>
              <w:tl2br w:val="nil"/>
              <w:tr2bl w:val="nil"/>
            </w:tcBorders>
            <w:vAlign w:val="center"/>
          </w:tcPr>
          <w:p w14:paraId="7491B599">
            <w:pPr>
              <w:keepNext w:val="0"/>
              <w:keepLines w:val="0"/>
              <w:pageBreakBefore w:val="0"/>
              <w:widowControl w:val="0"/>
              <w:tabs>
                <w:tab w:val="left" w:pos="292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 xml:space="preserve">附录 </w:t>
            </w:r>
            <w:r>
              <w:rPr>
                <w:rFonts w:ascii="Times New Roman" w:hAnsi="Times New Roman" w:cs="Times New Roman"/>
                <w:color w:val="auto"/>
                <w:w w:val="99"/>
                <w:kern w:val="0"/>
                <w:sz w:val="21"/>
                <w:szCs w:val="21"/>
                <w:highlight w:val="none"/>
              </w:rPr>
              <w:t>E</w:t>
            </w:r>
            <w:r>
              <w:rPr>
                <w:rFonts w:hint="eastAsia" w:cs="Times New Roman"/>
                <w:color w:val="auto"/>
                <w:sz w:val="21"/>
                <w:szCs w:val="21"/>
                <w:highlight w:val="none"/>
                <w:lang w:eastAsia="zh-CN"/>
              </w:rPr>
              <w:t>☑</w:t>
            </w:r>
            <w:r>
              <w:rPr>
                <w:rFonts w:ascii="Times New Roman" w:hAnsi="Times New Roman" w:cs="Times New Roman"/>
                <w:color w:val="auto"/>
                <w:kern w:val="0"/>
                <w:sz w:val="21"/>
                <w:szCs w:val="21"/>
                <w:highlight w:val="none"/>
              </w:rPr>
              <w:t>；附录 F</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；其他（        ）</w:t>
            </w:r>
          </w:p>
        </w:tc>
        <w:tc>
          <w:tcPr>
            <w:tcW w:w="533" w:type="pct"/>
            <w:tcBorders>
              <w:tl2br w:val="nil"/>
              <w:tr2bl w:val="nil"/>
            </w:tcBorders>
            <w:vAlign w:val="center"/>
          </w:tcPr>
          <w:p w14:paraId="4C078EF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6ACD5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1E66484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26A6D6A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预测分析内容</w:t>
            </w:r>
          </w:p>
        </w:tc>
        <w:tc>
          <w:tcPr>
            <w:tcW w:w="3456" w:type="pct"/>
            <w:gridSpan w:val="6"/>
            <w:tcBorders>
              <w:tl2br w:val="nil"/>
              <w:tr2bl w:val="nil"/>
            </w:tcBorders>
            <w:vAlign w:val="center"/>
          </w:tcPr>
          <w:p w14:paraId="4584D086">
            <w:pPr>
              <w:keepNext w:val="0"/>
              <w:keepLines w:val="0"/>
              <w:pageBreakBefore w:val="0"/>
              <w:widowControl w:val="0"/>
              <w:tabs>
                <w:tab w:val="left" w:pos="162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影响范围（控制在评价范围内）</w:t>
            </w:r>
          </w:p>
          <w:p w14:paraId="54235402">
            <w:pPr>
              <w:keepNext w:val="0"/>
              <w:keepLines w:val="0"/>
              <w:pageBreakBefore w:val="0"/>
              <w:widowControl w:val="0"/>
              <w:tabs>
                <w:tab w:val="left" w:pos="162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影响程度（对土壤环境影响较小）</w:t>
            </w:r>
          </w:p>
        </w:tc>
        <w:tc>
          <w:tcPr>
            <w:tcW w:w="533" w:type="pct"/>
            <w:tcBorders>
              <w:tl2br w:val="nil"/>
              <w:tr2bl w:val="nil"/>
            </w:tcBorders>
            <w:vAlign w:val="center"/>
          </w:tcPr>
          <w:p w14:paraId="2873237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368159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47B423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29643D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预测结论</w:t>
            </w:r>
          </w:p>
        </w:tc>
        <w:tc>
          <w:tcPr>
            <w:tcW w:w="3456" w:type="pct"/>
            <w:gridSpan w:val="6"/>
            <w:tcBorders>
              <w:tl2br w:val="nil"/>
              <w:tr2bl w:val="nil"/>
            </w:tcBorders>
            <w:vAlign w:val="center"/>
          </w:tcPr>
          <w:p w14:paraId="19CACE0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 xml:space="preserve">达标结论：  </w:t>
            </w:r>
            <w:r>
              <w:rPr>
                <w:rFonts w:ascii="Times New Roman" w:hAnsi="Times New Roman" w:cs="Times New Roman"/>
                <w:color w:val="auto"/>
                <w:w w:val="99"/>
                <w:kern w:val="0"/>
                <w:sz w:val="21"/>
                <w:szCs w:val="21"/>
                <w:highlight w:val="none"/>
              </w:rPr>
              <w:t>a</w:t>
            </w:r>
            <w:r>
              <w:rPr>
                <w:rFonts w:ascii="Times New Roman" w:hAnsi="Times New Roman" w:cs="Times New Roman"/>
                <w:color w:val="auto"/>
                <w:kern w:val="0"/>
                <w:sz w:val="21"/>
                <w:szCs w:val="21"/>
                <w:highlight w:val="none"/>
              </w:rPr>
              <w:t>）</w:t>
            </w:r>
            <w:r>
              <w:rPr>
                <w:rFonts w:hint="eastAsia" w:cs="Times New Roman"/>
                <w:color w:val="auto"/>
                <w:sz w:val="21"/>
                <w:szCs w:val="21"/>
                <w:highlight w:val="none"/>
                <w:lang w:eastAsia="zh-CN"/>
              </w:rPr>
              <w:t>☑</w:t>
            </w:r>
            <w:r>
              <w:rPr>
                <w:rFonts w:ascii="Times New Roman" w:hAnsi="Times New Roman" w:cs="Times New Roman"/>
                <w:color w:val="auto"/>
                <w:sz w:val="21"/>
                <w:szCs w:val="21"/>
                <w:highlight w:val="none"/>
              </w:rPr>
              <w:t xml:space="preserve">  </w:t>
            </w:r>
            <w:r>
              <w:rPr>
                <w:rFonts w:ascii="Times New Roman" w:hAnsi="Times New Roman" w:cs="Times New Roman"/>
                <w:color w:val="auto"/>
                <w:kern w:val="0"/>
                <w:sz w:val="21"/>
                <w:szCs w:val="21"/>
                <w:highlight w:val="none"/>
              </w:rPr>
              <w:t>；  b）</w:t>
            </w:r>
            <w:r>
              <w:rPr>
                <w:rFonts w:ascii="Times New Roman" w:hAnsi="Times New Roman" w:cs="Times New Roman"/>
                <w:color w:val="auto"/>
                <w:sz w:val="21"/>
                <w:szCs w:val="21"/>
                <w:highlight w:val="none"/>
              </w:rPr>
              <w:t xml:space="preserve">□  </w:t>
            </w:r>
            <w:r>
              <w:rPr>
                <w:rFonts w:ascii="Times New Roman" w:hAnsi="Times New Roman" w:cs="Times New Roman"/>
                <w:color w:val="auto"/>
                <w:kern w:val="0"/>
                <w:sz w:val="21"/>
                <w:szCs w:val="21"/>
                <w:highlight w:val="none"/>
              </w:rPr>
              <w:t xml:space="preserve">；  </w:t>
            </w:r>
            <w:r>
              <w:rPr>
                <w:rFonts w:ascii="Times New Roman" w:hAnsi="Times New Roman" w:cs="Times New Roman"/>
                <w:color w:val="auto"/>
                <w:w w:val="99"/>
                <w:kern w:val="0"/>
                <w:sz w:val="21"/>
                <w:szCs w:val="21"/>
                <w:highlight w:val="none"/>
              </w:rPr>
              <w:t>c</w:t>
            </w:r>
            <w:r>
              <w:rPr>
                <w:rFonts w:ascii="Times New Roman" w:hAnsi="Times New Roman" w:cs="Times New Roman"/>
                <w:color w:val="auto"/>
                <w:kern w:val="0"/>
                <w:sz w:val="21"/>
                <w:szCs w:val="21"/>
                <w:highlight w:val="none"/>
              </w:rPr>
              <w:t>）</w:t>
            </w:r>
            <w:r>
              <w:rPr>
                <w:rFonts w:ascii="Times New Roman" w:hAnsi="Times New Roman" w:cs="Times New Roman"/>
                <w:color w:val="auto"/>
                <w:sz w:val="21"/>
                <w:szCs w:val="21"/>
                <w:highlight w:val="none"/>
              </w:rPr>
              <w:t>□</w:t>
            </w:r>
          </w:p>
          <w:p w14:paraId="39D103E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不达标结论：</w:t>
            </w:r>
            <w:r>
              <w:rPr>
                <w:rFonts w:ascii="Times New Roman" w:hAnsi="Times New Roman" w:cs="Times New Roman"/>
                <w:color w:val="auto"/>
                <w:w w:val="99"/>
                <w:kern w:val="0"/>
                <w:sz w:val="21"/>
                <w:szCs w:val="21"/>
                <w:highlight w:val="none"/>
              </w:rPr>
              <w:t>a</w:t>
            </w:r>
            <w:r>
              <w:rPr>
                <w:rFonts w:ascii="Times New Roman" w:hAnsi="Times New Roman" w:cs="Times New Roman"/>
                <w:color w:val="auto"/>
                <w:kern w:val="0"/>
                <w:sz w:val="21"/>
                <w:szCs w:val="21"/>
                <w:highlight w:val="none"/>
              </w:rPr>
              <w:t>）</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；b）</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061416C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0F9A53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0128489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防</w:t>
            </w:r>
          </w:p>
          <w:p w14:paraId="3726999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治</w:t>
            </w:r>
          </w:p>
          <w:p w14:paraId="011FAAB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措</w:t>
            </w:r>
          </w:p>
          <w:p w14:paraId="6D53365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施</w:t>
            </w:r>
          </w:p>
        </w:tc>
        <w:tc>
          <w:tcPr>
            <w:tcW w:w="814" w:type="pct"/>
            <w:tcBorders>
              <w:tl2br w:val="nil"/>
              <w:tr2bl w:val="nil"/>
            </w:tcBorders>
            <w:vAlign w:val="center"/>
          </w:tcPr>
          <w:p w14:paraId="7A6EF22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防控措施</w:t>
            </w:r>
          </w:p>
        </w:tc>
        <w:tc>
          <w:tcPr>
            <w:tcW w:w="3456" w:type="pct"/>
            <w:gridSpan w:val="6"/>
            <w:tcBorders>
              <w:tl2br w:val="nil"/>
              <w:tr2bl w:val="nil"/>
            </w:tcBorders>
            <w:vAlign w:val="center"/>
          </w:tcPr>
          <w:p w14:paraId="0F7A578C">
            <w:pPr>
              <w:keepNext w:val="0"/>
              <w:keepLines w:val="0"/>
              <w:pageBreakBefore w:val="0"/>
              <w:widowControl w:val="0"/>
              <w:tabs>
                <w:tab w:val="left" w:pos="550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土壤环境质量现状保障</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；源头控制</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；过程防控</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；其他（ ）</w:t>
            </w:r>
          </w:p>
        </w:tc>
        <w:tc>
          <w:tcPr>
            <w:tcW w:w="533" w:type="pct"/>
            <w:tcBorders>
              <w:tl2br w:val="nil"/>
              <w:tr2bl w:val="nil"/>
            </w:tcBorders>
            <w:vAlign w:val="center"/>
          </w:tcPr>
          <w:p w14:paraId="6157339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1DBC0A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3B2D717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restart"/>
            <w:tcBorders>
              <w:tl2br w:val="nil"/>
              <w:tr2bl w:val="nil"/>
            </w:tcBorders>
            <w:vAlign w:val="center"/>
          </w:tcPr>
          <w:p w14:paraId="007B51E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跟踪监测</w:t>
            </w:r>
          </w:p>
        </w:tc>
        <w:tc>
          <w:tcPr>
            <w:tcW w:w="562" w:type="pct"/>
            <w:tcBorders>
              <w:tl2br w:val="nil"/>
              <w:tr2bl w:val="nil"/>
            </w:tcBorders>
            <w:vAlign w:val="center"/>
          </w:tcPr>
          <w:p w14:paraId="38343BC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监测点数</w:t>
            </w:r>
          </w:p>
        </w:tc>
        <w:tc>
          <w:tcPr>
            <w:tcW w:w="2376" w:type="pct"/>
            <w:gridSpan w:val="4"/>
            <w:tcBorders>
              <w:tl2br w:val="nil"/>
              <w:tr2bl w:val="nil"/>
            </w:tcBorders>
            <w:vAlign w:val="center"/>
          </w:tcPr>
          <w:p w14:paraId="3F171E5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监测指标</w:t>
            </w:r>
          </w:p>
        </w:tc>
        <w:tc>
          <w:tcPr>
            <w:tcW w:w="517" w:type="pct"/>
            <w:tcBorders>
              <w:tl2br w:val="nil"/>
              <w:tr2bl w:val="nil"/>
            </w:tcBorders>
            <w:vAlign w:val="center"/>
          </w:tcPr>
          <w:p w14:paraId="656244F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监测频次</w:t>
            </w:r>
          </w:p>
        </w:tc>
        <w:tc>
          <w:tcPr>
            <w:tcW w:w="533" w:type="pct"/>
            <w:vMerge w:val="restart"/>
            <w:tcBorders>
              <w:tl2br w:val="nil"/>
              <w:tr2bl w:val="nil"/>
            </w:tcBorders>
            <w:vAlign w:val="center"/>
          </w:tcPr>
          <w:p w14:paraId="19BA1B2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p w14:paraId="266DE99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69294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040F6BE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continue"/>
            <w:tcBorders>
              <w:tl2br w:val="nil"/>
              <w:tr2bl w:val="nil"/>
            </w:tcBorders>
            <w:vAlign w:val="center"/>
          </w:tcPr>
          <w:p w14:paraId="456DBF3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562" w:type="pct"/>
            <w:tcBorders>
              <w:tl2br w:val="nil"/>
              <w:tr2bl w:val="nil"/>
            </w:tcBorders>
            <w:vAlign w:val="center"/>
          </w:tcPr>
          <w:p w14:paraId="602ED68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7</w:t>
            </w:r>
          </w:p>
        </w:tc>
        <w:tc>
          <w:tcPr>
            <w:tcW w:w="2376" w:type="pct"/>
            <w:gridSpan w:val="4"/>
            <w:tcBorders>
              <w:tl2br w:val="nil"/>
              <w:tr2bl w:val="nil"/>
            </w:tcBorders>
            <w:vAlign w:val="center"/>
          </w:tcPr>
          <w:p w14:paraId="762DE44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占地范围</w:t>
            </w:r>
            <w:r>
              <w:rPr>
                <w:rFonts w:hint="eastAsia" w:ascii="Times New Roman" w:hAnsi="Times New Roman" w:eastAsia="宋体" w:cs="Times New Roman"/>
                <w:color w:val="auto"/>
                <w:kern w:val="0"/>
                <w:sz w:val="21"/>
                <w:szCs w:val="21"/>
                <w:highlight w:val="none"/>
                <w:lang w:val="en-US" w:eastAsia="zh-CN"/>
              </w:rPr>
              <w:t>及周边</w:t>
            </w:r>
            <w:r>
              <w:rPr>
                <w:rFonts w:hint="default" w:ascii="Times New Roman" w:hAnsi="Times New Roman" w:eastAsia="宋体" w:cs="Times New Roman"/>
                <w:color w:val="auto"/>
                <w:kern w:val="0"/>
                <w:sz w:val="21"/>
                <w:szCs w:val="21"/>
                <w:highlight w:val="none"/>
              </w:rPr>
              <w:t>《土壤环境质量 建设用地土壤污染风险管控标准（试行）》（GB/36600-2018）的所有项目和PH及含盐量；占地范围外</w:t>
            </w:r>
            <w:r>
              <w:rPr>
                <w:rFonts w:hint="eastAsia" w:ascii="Times New Roman" w:hAnsi="Times New Roman" w:eastAsia="宋体" w:cs="Times New Roman"/>
                <w:color w:val="auto"/>
                <w:kern w:val="0"/>
                <w:sz w:val="21"/>
                <w:szCs w:val="21"/>
                <w:highlight w:val="none"/>
                <w:lang w:val="en-US" w:eastAsia="zh-CN"/>
              </w:rPr>
              <w:t>敏感点</w:t>
            </w:r>
            <w:r>
              <w:rPr>
                <w:rFonts w:hint="default" w:ascii="Times New Roman" w:hAnsi="Times New Roman" w:eastAsia="宋体" w:cs="Times New Roman"/>
                <w:color w:val="auto"/>
                <w:kern w:val="0"/>
                <w:sz w:val="21"/>
                <w:szCs w:val="21"/>
                <w:highlight w:val="none"/>
              </w:rPr>
              <w:t>：《土壤环境质量农用地土壤污染风险管控标准（试行）》（GB/15618-2018）中基本项目和PH及含盐量</w:t>
            </w:r>
          </w:p>
        </w:tc>
        <w:tc>
          <w:tcPr>
            <w:tcW w:w="517" w:type="pct"/>
            <w:tcBorders>
              <w:tl2br w:val="nil"/>
              <w:tr2bl w:val="nil"/>
            </w:tcBorders>
            <w:vAlign w:val="center"/>
          </w:tcPr>
          <w:p w14:paraId="7671364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1次/</w:t>
            </w:r>
            <w:r>
              <w:rPr>
                <w:rFonts w:hint="eastAsia" w:cs="Times New Roman"/>
                <w:color w:val="auto"/>
                <w:kern w:val="0"/>
                <w:sz w:val="21"/>
                <w:szCs w:val="21"/>
                <w:highlight w:val="none"/>
                <w:lang w:val="en-US" w:eastAsia="zh-CN"/>
              </w:rPr>
              <w:t>5</w:t>
            </w:r>
            <w:r>
              <w:rPr>
                <w:rFonts w:ascii="Times New Roman" w:hAnsi="Times New Roman" w:cs="Times New Roman"/>
                <w:color w:val="auto"/>
                <w:kern w:val="0"/>
                <w:sz w:val="21"/>
                <w:szCs w:val="21"/>
                <w:highlight w:val="none"/>
              </w:rPr>
              <w:t>年</w:t>
            </w:r>
          </w:p>
        </w:tc>
        <w:tc>
          <w:tcPr>
            <w:tcW w:w="533" w:type="pct"/>
            <w:vMerge w:val="continue"/>
            <w:tcBorders>
              <w:tl2br w:val="nil"/>
              <w:tr2bl w:val="nil"/>
            </w:tcBorders>
            <w:vAlign w:val="center"/>
          </w:tcPr>
          <w:p w14:paraId="22DF665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41DC83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5AACFE3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756DB4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信息公开指标</w:t>
            </w:r>
          </w:p>
        </w:tc>
        <w:tc>
          <w:tcPr>
            <w:tcW w:w="3456" w:type="pct"/>
            <w:gridSpan w:val="6"/>
            <w:tcBorders>
              <w:tl2br w:val="nil"/>
              <w:tr2bl w:val="nil"/>
            </w:tcBorders>
            <w:vAlign w:val="center"/>
          </w:tcPr>
          <w:p w14:paraId="4B0A7DE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监测点位及监测值</w:t>
            </w:r>
          </w:p>
        </w:tc>
        <w:tc>
          <w:tcPr>
            <w:tcW w:w="533" w:type="pct"/>
            <w:vMerge w:val="continue"/>
            <w:tcBorders>
              <w:tl2br w:val="nil"/>
              <w:tr2bl w:val="nil"/>
            </w:tcBorders>
            <w:vAlign w:val="center"/>
          </w:tcPr>
          <w:p w14:paraId="3085CD4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3B0CD3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009" w:type="pct"/>
            <w:gridSpan w:val="2"/>
            <w:tcBorders>
              <w:tl2br w:val="nil"/>
              <w:tr2bl w:val="nil"/>
            </w:tcBorders>
            <w:vAlign w:val="center"/>
          </w:tcPr>
          <w:p w14:paraId="40BD9A1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评价结论</w:t>
            </w:r>
          </w:p>
        </w:tc>
        <w:tc>
          <w:tcPr>
            <w:tcW w:w="3456" w:type="pct"/>
            <w:gridSpan w:val="6"/>
            <w:tcBorders>
              <w:tl2br w:val="nil"/>
              <w:tr2bl w:val="nil"/>
            </w:tcBorders>
            <w:vAlign w:val="center"/>
          </w:tcPr>
          <w:p w14:paraId="7FF4D75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土壤环境影响可以接受</w:t>
            </w:r>
          </w:p>
        </w:tc>
        <w:tc>
          <w:tcPr>
            <w:tcW w:w="533" w:type="pct"/>
            <w:tcBorders>
              <w:tl2br w:val="nil"/>
              <w:tr2bl w:val="nil"/>
            </w:tcBorders>
            <w:vAlign w:val="center"/>
          </w:tcPr>
          <w:p w14:paraId="62E298A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3F64EF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000" w:type="pct"/>
            <w:gridSpan w:val="9"/>
            <w:tcBorders>
              <w:tl2br w:val="nil"/>
              <w:tr2bl w:val="nil"/>
            </w:tcBorders>
            <w:vAlign w:val="center"/>
          </w:tcPr>
          <w:p w14:paraId="7AFCA21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注 1：“</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”为勾选项，可</w:t>
            </w:r>
            <w:r>
              <w:rPr>
                <w:rFonts w:ascii="Times New Roman" w:hAnsi="Times New Roman" w:cs="Times New Roman"/>
                <w:color w:val="auto"/>
                <w:w w:val="142"/>
                <w:kern w:val="0"/>
                <w:sz w:val="21"/>
                <w:szCs w:val="21"/>
                <w:highlight w:val="none"/>
              </w:rPr>
              <w:t>√</w:t>
            </w:r>
            <w:r>
              <w:rPr>
                <w:rFonts w:ascii="Times New Roman" w:hAnsi="Times New Roman" w:cs="Times New Roman"/>
                <w:color w:val="auto"/>
                <w:kern w:val="0"/>
                <w:sz w:val="21"/>
                <w:szCs w:val="21"/>
                <w:highlight w:val="none"/>
              </w:rPr>
              <w:t>；“（  ）”为内容填写项；“备注”为其他补充内容。</w:t>
            </w:r>
          </w:p>
          <w:p w14:paraId="486DE9F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注 2：需要分别开展土壤环境影响评价工作的，分别填写自查表。</w:t>
            </w:r>
          </w:p>
        </w:tc>
      </w:tr>
    </w:tbl>
    <w:p w14:paraId="329CC9FF">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277" w:name="_Toc1120411"/>
      <w:bookmarkStart w:id="278" w:name="_Toc33007200"/>
      <w:bookmarkStart w:id="279" w:name="_Toc267404127"/>
      <w:bookmarkStart w:id="280" w:name="_Toc27114"/>
      <w:bookmarkStart w:id="281" w:name="_Toc264633359"/>
      <w:bookmarkStart w:id="282" w:name="_Toc480715218"/>
      <w:bookmarkStart w:id="283" w:name="_Toc23295"/>
      <w:bookmarkStart w:id="284" w:name="_Hlk149949088"/>
      <w:r>
        <w:rPr>
          <w:rFonts w:hint="default" w:ascii="Times New Roman" w:hAnsi="Times New Roman" w:eastAsia="宋体" w:cs="Times New Roman"/>
          <w:color w:val="auto"/>
          <w:highlight w:val="none"/>
        </w:rPr>
        <w:t>5.8 环境风险</w:t>
      </w:r>
      <w:bookmarkEnd w:id="277"/>
      <w:bookmarkEnd w:id="278"/>
      <w:bookmarkEnd w:id="279"/>
      <w:bookmarkEnd w:id="280"/>
      <w:bookmarkEnd w:id="281"/>
      <w:bookmarkEnd w:id="282"/>
      <w:bookmarkEnd w:id="283"/>
      <w:r>
        <w:rPr>
          <w:rFonts w:hint="default" w:ascii="Times New Roman" w:hAnsi="Times New Roman" w:eastAsia="宋体" w:cs="Times New Roman"/>
          <w:color w:val="auto"/>
          <w:highlight w:val="none"/>
        </w:rPr>
        <w:t>影响分析</w:t>
      </w:r>
    </w:p>
    <w:p w14:paraId="4C2560B1">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cs="Times New Roman"/>
          <w:color w:val="auto"/>
          <w:highlight w:val="none"/>
        </w:rPr>
      </w:pPr>
      <w:bookmarkStart w:id="285" w:name="_Toc33007201"/>
      <w:bookmarkStart w:id="286" w:name="_Toc1120412"/>
      <w:r>
        <w:rPr>
          <w:rFonts w:hint="default" w:ascii="Times New Roman" w:hAnsi="Times New Roman" w:cs="Times New Roman"/>
          <w:color w:val="auto"/>
          <w:highlight w:val="none"/>
        </w:rPr>
        <w:t>5.8.1</w:t>
      </w:r>
      <w:bookmarkEnd w:id="285"/>
      <w:bookmarkEnd w:id="286"/>
      <w:r>
        <w:rPr>
          <w:rFonts w:hint="default" w:ascii="Times New Roman" w:hAnsi="Times New Roman" w:cs="Times New Roman"/>
          <w:color w:val="auto"/>
          <w:highlight w:val="none"/>
        </w:rPr>
        <w:t>风险调查</w:t>
      </w:r>
    </w:p>
    <w:p w14:paraId="7E0C43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（1）风险源调查</w:t>
      </w:r>
    </w:p>
    <w:p w14:paraId="39AC3F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根据《建设项目环境风险评价技术导则》（HJ/T169-20</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附录B</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本项目主要关注的危险物质为硫酸、</w:t>
      </w:r>
      <w:r>
        <w:rPr>
          <w:rFonts w:hint="eastAsia" w:cs="Times New Roman"/>
          <w:color w:val="auto"/>
          <w:sz w:val="24"/>
          <w:szCs w:val="24"/>
          <w:highlight w:val="none"/>
          <w:lang w:val="en-US" w:eastAsia="zh-CN"/>
        </w:rPr>
        <w:t>电积液</w:t>
      </w:r>
      <w:r>
        <w:rPr>
          <w:rFonts w:hint="eastAsia" w:ascii="Times New Roman" w:hAnsi="Times New Roman" w:eastAsia="宋体" w:cs="Times New Roman"/>
          <w:color w:val="auto"/>
          <w:sz w:val="24"/>
          <w:szCs w:val="24"/>
          <w:highlight w:val="none"/>
          <w:lang w:val="en-US" w:eastAsia="zh-CN"/>
        </w:rPr>
        <w:t>和油类物质，硫酸在专用储罐存储，位于专用的酸储罐区，油类物质（废机油）在</w:t>
      </w:r>
      <w:r>
        <w:rPr>
          <w:rFonts w:hint="eastAsia" w:cs="Times New Roman"/>
          <w:color w:val="auto"/>
          <w:sz w:val="24"/>
          <w:szCs w:val="24"/>
          <w:highlight w:val="none"/>
          <w:lang w:val="en-US" w:eastAsia="zh-CN"/>
        </w:rPr>
        <w:t>危废贮存库</w:t>
      </w:r>
      <w:r>
        <w:rPr>
          <w:rFonts w:hint="eastAsia" w:ascii="Times New Roman" w:hAnsi="Times New Roman" w:eastAsia="宋体" w:cs="Times New Roman"/>
          <w:color w:val="auto"/>
          <w:sz w:val="24"/>
          <w:szCs w:val="24"/>
          <w:highlight w:val="none"/>
          <w:lang w:val="en-US" w:eastAsia="zh-CN"/>
        </w:rPr>
        <w:t>暂存，</w:t>
      </w:r>
      <w:r>
        <w:rPr>
          <w:rFonts w:hint="eastAsia" w:cs="Times New Roman"/>
          <w:color w:val="auto"/>
          <w:sz w:val="24"/>
          <w:szCs w:val="24"/>
          <w:highlight w:val="none"/>
          <w:lang w:val="en-US" w:eastAsia="zh-CN"/>
        </w:rPr>
        <w:t>电积液</w:t>
      </w:r>
      <w:r>
        <w:rPr>
          <w:rFonts w:hint="eastAsia" w:ascii="Times New Roman" w:hAnsi="Times New Roman" w:eastAsia="宋体" w:cs="Times New Roman"/>
          <w:color w:val="auto"/>
          <w:sz w:val="24"/>
          <w:szCs w:val="24"/>
          <w:highlight w:val="none"/>
          <w:lang w:val="en-US" w:eastAsia="zh-CN"/>
        </w:rPr>
        <w:t>主要在电积槽中。本项目的危险物质数量和分布情况见表5.8-1。</w:t>
      </w:r>
    </w:p>
    <w:p w14:paraId="08F81AA7">
      <w:pPr>
        <w:pStyle w:val="8"/>
        <w:keepNext w:val="0"/>
        <w:keepLines w:val="0"/>
        <w:pageBreakBefore w:val="0"/>
        <w:widowControl w:val="0"/>
        <w:kinsoku/>
        <w:wordWrap/>
        <w:overflowPunct/>
        <w:topLinePunct w:val="0"/>
        <w:bidi w:val="0"/>
        <w:snapToGrid/>
        <w:textAlignment w:val="auto"/>
        <w:rPr>
          <w:rFonts w:hint="default"/>
          <w:color w:val="auto"/>
          <w:sz w:val="21"/>
          <w:szCs w:val="21"/>
          <w:lang w:val="en-US" w:eastAsia="zh-CN"/>
        </w:rPr>
      </w:pPr>
      <w:r>
        <w:rPr>
          <w:rFonts w:hint="eastAsia"/>
          <w:color w:val="auto"/>
          <w:sz w:val="21"/>
          <w:szCs w:val="21"/>
          <w:lang w:val="en-US" w:eastAsia="zh-CN"/>
        </w:rPr>
        <w:t>表</w:t>
      </w:r>
      <w:r>
        <w:rPr>
          <w:rFonts w:hint="eastAsia" w:cs="Times New Roman"/>
          <w:color w:val="auto"/>
          <w:sz w:val="21"/>
          <w:szCs w:val="21"/>
          <w:lang w:val="en-US" w:eastAsia="zh-CN"/>
        </w:rPr>
        <w:t>5.8</w:t>
      </w:r>
      <w:r>
        <w:rPr>
          <w:rFonts w:hint="eastAsia"/>
          <w:color w:val="auto"/>
          <w:sz w:val="21"/>
          <w:szCs w:val="21"/>
          <w:lang w:val="en-US" w:eastAsia="zh-CN"/>
        </w:rPr>
        <w:t>-</w:t>
      </w:r>
      <w:r>
        <w:rPr>
          <w:rFonts w:hint="eastAsia" w:cs="Times New Roman"/>
          <w:color w:val="auto"/>
          <w:sz w:val="21"/>
          <w:szCs w:val="21"/>
          <w:lang w:val="en-US" w:eastAsia="zh-CN"/>
        </w:rPr>
        <w:t>1</w:t>
      </w:r>
      <w:r>
        <w:rPr>
          <w:rFonts w:hint="eastAsia"/>
          <w:color w:val="auto"/>
          <w:sz w:val="21"/>
          <w:szCs w:val="21"/>
          <w:lang w:val="en-US" w:eastAsia="zh-CN"/>
        </w:rPr>
        <w:t xml:space="preserve">  本项目厂区危险物质数量和分布情况表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817"/>
        <w:gridCol w:w="2243"/>
        <w:gridCol w:w="2508"/>
      </w:tblGrid>
      <w:tr w14:paraId="6C5C1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87" w:type="pct"/>
            <w:tcBorders>
              <w:tl2br w:val="nil"/>
              <w:tr2bl w:val="nil"/>
            </w:tcBorders>
            <w:vAlign w:val="center"/>
          </w:tcPr>
          <w:p w14:paraId="2A52C48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605" w:type="pct"/>
            <w:tcBorders>
              <w:tl2br w:val="nil"/>
              <w:tr2bl w:val="nil"/>
            </w:tcBorders>
            <w:vAlign w:val="center"/>
          </w:tcPr>
          <w:p w14:paraId="4E0246A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危险物质名称</w:t>
            </w:r>
          </w:p>
        </w:tc>
        <w:tc>
          <w:tcPr>
            <w:tcW w:w="1278" w:type="pct"/>
            <w:tcBorders>
              <w:tl2br w:val="nil"/>
              <w:tr2bl w:val="nil"/>
            </w:tcBorders>
            <w:vAlign w:val="center"/>
          </w:tcPr>
          <w:p w14:paraId="551C59C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存放位置</w:t>
            </w:r>
          </w:p>
        </w:tc>
        <w:tc>
          <w:tcPr>
            <w:tcW w:w="1429" w:type="pct"/>
            <w:tcBorders>
              <w:tl2br w:val="nil"/>
              <w:tr2bl w:val="nil"/>
            </w:tcBorders>
            <w:vAlign w:val="center"/>
          </w:tcPr>
          <w:p w14:paraId="3B5FCEA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最大储存量（t）</w:t>
            </w:r>
          </w:p>
        </w:tc>
      </w:tr>
      <w:tr w14:paraId="595A5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87" w:type="pct"/>
            <w:tcBorders>
              <w:tl2br w:val="nil"/>
              <w:tr2bl w:val="nil"/>
            </w:tcBorders>
            <w:vAlign w:val="center"/>
          </w:tcPr>
          <w:p w14:paraId="60DDC84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05" w:type="pct"/>
            <w:tcBorders>
              <w:tl2br w:val="nil"/>
              <w:tr2bl w:val="nil"/>
            </w:tcBorders>
            <w:shd w:val="clear" w:color="auto" w:fill="auto"/>
            <w:vAlign w:val="center"/>
          </w:tcPr>
          <w:p w14:paraId="163332D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98%</w:t>
            </w:r>
            <w:r>
              <w:rPr>
                <w:rFonts w:hint="eastAsia" w:ascii="Times New Roman" w:hAnsi="Times New Roman" w:eastAsia="宋体" w:cs="Times New Roman"/>
                <w:color w:val="auto"/>
                <w:sz w:val="21"/>
                <w:szCs w:val="21"/>
                <w:lang w:val="en-US" w:eastAsia="zh-CN"/>
              </w:rPr>
              <w:t>硫酸</w:t>
            </w:r>
          </w:p>
        </w:tc>
        <w:tc>
          <w:tcPr>
            <w:tcW w:w="1278" w:type="pct"/>
            <w:tcBorders>
              <w:tl2br w:val="nil"/>
              <w:tr2bl w:val="nil"/>
            </w:tcBorders>
            <w:shd w:val="clear" w:color="auto" w:fill="auto"/>
            <w:vAlign w:val="center"/>
          </w:tcPr>
          <w:p w14:paraId="0674EF1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罐区</w:t>
            </w:r>
          </w:p>
        </w:tc>
        <w:tc>
          <w:tcPr>
            <w:tcW w:w="1429" w:type="pct"/>
            <w:tcBorders>
              <w:tl2br w:val="nil"/>
              <w:tr2bl w:val="nil"/>
            </w:tcBorders>
            <w:shd w:val="clear" w:color="auto" w:fill="auto"/>
            <w:vAlign w:val="center"/>
          </w:tcPr>
          <w:p w14:paraId="05C7784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131</w:t>
            </w:r>
          </w:p>
        </w:tc>
      </w:tr>
      <w:tr w14:paraId="45863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87" w:type="pct"/>
            <w:tcBorders>
              <w:tl2br w:val="nil"/>
              <w:tr2bl w:val="nil"/>
            </w:tcBorders>
            <w:vAlign w:val="center"/>
          </w:tcPr>
          <w:p w14:paraId="4F59397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605" w:type="pct"/>
            <w:tcBorders>
              <w:tl2br w:val="nil"/>
              <w:tr2bl w:val="nil"/>
            </w:tcBorders>
            <w:shd w:val="clear" w:color="auto" w:fill="auto"/>
            <w:vAlign w:val="center"/>
          </w:tcPr>
          <w:p w14:paraId="0AB580B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油类物质</w:t>
            </w:r>
          </w:p>
        </w:tc>
        <w:tc>
          <w:tcPr>
            <w:tcW w:w="1278" w:type="pct"/>
            <w:tcBorders>
              <w:tl2br w:val="nil"/>
              <w:tr2bl w:val="nil"/>
            </w:tcBorders>
            <w:shd w:val="clear" w:color="auto" w:fill="auto"/>
            <w:vAlign w:val="center"/>
          </w:tcPr>
          <w:p w14:paraId="64D1C45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危废贮存间</w:t>
            </w:r>
          </w:p>
        </w:tc>
        <w:tc>
          <w:tcPr>
            <w:tcW w:w="1429" w:type="pct"/>
            <w:tcBorders>
              <w:tl2br w:val="nil"/>
              <w:tr2bl w:val="nil"/>
            </w:tcBorders>
            <w:shd w:val="clear" w:color="auto" w:fill="auto"/>
            <w:vAlign w:val="center"/>
          </w:tcPr>
          <w:p w14:paraId="5A75989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bidi="ar-SA"/>
              </w:rPr>
              <w:t>0.1</w:t>
            </w:r>
          </w:p>
        </w:tc>
      </w:tr>
      <w:tr w14:paraId="1B768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87" w:type="pct"/>
            <w:tcBorders>
              <w:tl2br w:val="nil"/>
              <w:tr2bl w:val="nil"/>
            </w:tcBorders>
            <w:vAlign w:val="center"/>
          </w:tcPr>
          <w:p w14:paraId="396DE86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605" w:type="pct"/>
            <w:tcBorders>
              <w:tl2br w:val="nil"/>
              <w:tr2bl w:val="nil"/>
            </w:tcBorders>
            <w:shd w:val="clear" w:color="auto" w:fill="auto"/>
            <w:vAlign w:val="center"/>
          </w:tcPr>
          <w:p w14:paraId="0E29AEC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电积液</w:t>
            </w:r>
          </w:p>
        </w:tc>
        <w:tc>
          <w:tcPr>
            <w:tcW w:w="1278" w:type="pct"/>
            <w:tcBorders>
              <w:tl2br w:val="nil"/>
              <w:tr2bl w:val="nil"/>
            </w:tcBorders>
            <w:shd w:val="clear" w:color="auto" w:fill="auto"/>
            <w:vAlign w:val="center"/>
          </w:tcPr>
          <w:p w14:paraId="07A8823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电积槽</w:t>
            </w:r>
          </w:p>
        </w:tc>
        <w:tc>
          <w:tcPr>
            <w:tcW w:w="1429" w:type="pct"/>
            <w:tcBorders>
              <w:tl2br w:val="nil"/>
              <w:tr2bl w:val="nil"/>
            </w:tcBorders>
            <w:shd w:val="clear" w:color="auto" w:fill="auto"/>
            <w:vAlign w:val="center"/>
          </w:tcPr>
          <w:p w14:paraId="06F0E7C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color w:val="auto"/>
                <w:sz w:val="21"/>
                <w:szCs w:val="21"/>
                <w:lang w:val="en-US" w:eastAsia="zh-CN" w:bidi="ar-SA"/>
              </w:rPr>
            </w:pPr>
            <w:r>
              <w:rPr>
                <w:rFonts w:hint="eastAsia" w:ascii="Times New Roman" w:cs="Times New Roman"/>
                <w:color w:val="auto"/>
                <w:sz w:val="21"/>
                <w:szCs w:val="21"/>
                <w:lang w:val="en-US" w:eastAsia="zh-CN" w:bidi="ar-SA"/>
              </w:rPr>
              <w:t>9.1</w:t>
            </w:r>
          </w:p>
        </w:tc>
      </w:tr>
    </w:tbl>
    <w:p w14:paraId="273125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（2）环境敏感目标调查</w:t>
      </w:r>
    </w:p>
    <w:p w14:paraId="7648D37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bookmarkStart w:id="287" w:name="_Toc33007202"/>
      <w:r>
        <w:rPr>
          <w:rFonts w:hint="default" w:ascii="Times New Roman" w:hAnsi="Times New Roman" w:eastAsia="宋体" w:cs="Times New Roman"/>
          <w:color w:val="auto"/>
          <w:sz w:val="24"/>
          <w:szCs w:val="24"/>
          <w:highlight w:val="none"/>
          <w:lang w:val="en-US" w:eastAsia="zh-CN"/>
        </w:rPr>
        <w:t>根据现场调查，项目区周围无自然保护区、风景名胜区、人群聚集区等环境敏感目标。</w:t>
      </w:r>
    </w:p>
    <w:p w14:paraId="0D9B8729">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5.8.2环境风险潜势初判</w:t>
      </w:r>
    </w:p>
    <w:p w14:paraId="7BF4A8B9">
      <w:pPr>
        <w:pageBreakBefore w:val="0"/>
        <w:wordWrap/>
        <w:topLinePunct w:val="0"/>
        <w:bidi w:val="0"/>
        <w:adjustRightInd w:val="0"/>
        <w:snapToGrid w:val="0"/>
        <w:spacing w:line="480" w:lineRule="exact"/>
        <w:ind w:left="0" w:leftChars="0" w:firstLine="480" w:firstLineChars="20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w:t>
      </w:r>
      <w:r>
        <w:rPr>
          <w:rFonts w:hint="eastAsia" w:ascii="Times New Roman" w:hAnsi="Times New Roman" w:cs="Times New Roman"/>
          <w:color w:val="auto"/>
          <w:kern w:val="0"/>
          <w:szCs w:val="24"/>
          <w:highlight w:val="none"/>
          <w:lang w:val="en-US" w:eastAsia="zh-CN"/>
        </w:rPr>
        <w:t>1</w:t>
      </w:r>
      <w:r>
        <w:rPr>
          <w:rFonts w:hint="default" w:ascii="Times New Roman" w:hAnsi="Times New Roman" w:cs="Times New Roman"/>
          <w:color w:val="auto"/>
          <w:kern w:val="0"/>
          <w:szCs w:val="24"/>
          <w:highlight w:val="none"/>
        </w:rPr>
        <w:t>）Q值的确定</w:t>
      </w:r>
    </w:p>
    <w:p w14:paraId="34FD6EBC">
      <w:pPr>
        <w:pageBreakBefore w:val="0"/>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根据《建设项目环境风险评价技术导则》（HJ 169-2018），计算危险物质数量与临界量比值（Q），当只涉及一种危险物质时，计算该物质的总量与其临界量比值，即为Q；当存在多种危险物质时，则按下式计算物质总量与其临界量比值（Q）。</w:t>
      </w:r>
    </w:p>
    <w:p w14:paraId="0FFEE749">
      <w:pPr>
        <w:pageBreakBefore w:val="0"/>
        <w:wordWrap/>
        <w:topLinePunct w:val="0"/>
        <w:bidi w:val="0"/>
        <w:adjustRightInd w:val="0"/>
        <w:snapToGrid w:val="0"/>
        <w:spacing w:line="480" w:lineRule="exact"/>
        <w:ind w:left="0" w:leftChars="0" w:firstLine="1200" w:firstLineChars="50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 xml:space="preserve"> +q</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…qn/Qn</w:t>
      </w:r>
    </w:p>
    <w:p w14:paraId="09E92A2D">
      <w:pPr>
        <w:pageBreakBefore w:val="0"/>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，……qn——每种危险物质的最大存在总量，单位为t；</w:t>
      </w:r>
    </w:p>
    <w:p w14:paraId="4BE8A9BC">
      <w:pPr>
        <w:pageBreakBefore w:val="0"/>
        <w:wordWrap/>
        <w:topLinePunct w:val="0"/>
        <w:bidi w:val="0"/>
        <w:adjustRightInd w:val="0"/>
        <w:snapToGrid w:val="0"/>
        <w:spacing w:line="480" w:lineRule="exact"/>
        <w:ind w:left="0" w:leftChars="0" w:firstLine="120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，……Qn——每种危险物质的临界量，单位为t；</w:t>
      </w:r>
    </w:p>
    <w:p w14:paraId="056E76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表5.8-</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项目危险物质数量、分布情况一览表</w:t>
      </w:r>
    </w:p>
    <w:tbl>
      <w:tblPr>
        <w:tblStyle w:val="33"/>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54"/>
        <w:gridCol w:w="2350"/>
        <w:gridCol w:w="1654"/>
        <w:gridCol w:w="1902"/>
        <w:gridCol w:w="1892"/>
      </w:tblGrid>
      <w:tr w14:paraId="5FF08E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1" w:type="pct"/>
            <w:tcBorders>
              <w:tl2br w:val="nil"/>
              <w:tr2bl w:val="nil"/>
            </w:tcBorders>
            <w:vAlign w:val="center"/>
          </w:tcPr>
          <w:p w14:paraId="0921D3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374" w:type="pct"/>
            <w:tcBorders>
              <w:tl2br w:val="nil"/>
              <w:tr2bl w:val="nil"/>
            </w:tcBorders>
            <w:vAlign w:val="center"/>
          </w:tcPr>
          <w:p w14:paraId="37A236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物质名称</w:t>
            </w:r>
          </w:p>
        </w:tc>
        <w:tc>
          <w:tcPr>
            <w:tcW w:w="967" w:type="pct"/>
            <w:tcBorders>
              <w:tl2br w:val="nil"/>
              <w:tr2bl w:val="nil"/>
            </w:tcBorders>
            <w:vAlign w:val="center"/>
          </w:tcPr>
          <w:p w14:paraId="284003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最大存在量（t）</w:t>
            </w:r>
          </w:p>
        </w:tc>
        <w:tc>
          <w:tcPr>
            <w:tcW w:w="1112" w:type="pct"/>
            <w:tcBorders>
              <w:tl2br w:val="nil"/>
              <w:tr2bl w:val="nil"/>
            </w:tcBorders>
            <w:vAlign w:val="center"/>
          </w:tcPr>
          <w:p w14:paraId="0F57F1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临界量（t）</w:t>
            </w:r>
          </w:p>
        </w:tc>
        <w:tc>
          <w:tcPr>
            <w:tcW w:w="1105" w:type="pct"/>
            <w:tcBorders>
              <w:tl2br w:val="nil"/>
              <w:tr2bl w:val="nil"/>
            </w:tcBorders>
            <w:vAlign w:val="center"/>
          </w:tcPr>
          <w:p w14:paraId="5FADE8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Q值</w:t>
            </w:r>
          </w:p>
        </w:tc>
      </w:tr>
      <w:tr w14:paraId="1EE3EE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1" w:type="pct"/>
            <w:tcBorders>
              <w:tl2br w:val="nil"/>
              <w:tr2bl w:val="nil"/>
            </w:tcBorders>
            <w:vAlign w:val="center"/>
          </w:tcPr>
          <w:p w14:paraId="78320D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74" w:type="pct"/>
            <w:tcBorders>
              <w:tl2br w:val="nil"/>
              <w:tr2bl w:val="nil"/>
            </w:tcBorders>
            <w:vAlign w:val="center"/>
          </w:tcPr>
          <w:p w14:paraId="64A5B8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98%</w:t>
            </w:r>
            <w:r>
              <w:rPr>
                <w:rFonts w:hint="default" w:ascii="Times New Roman" w:hAnsi="Times New Roman" w:cs="Times New Roman"/>
                <w:color w:val="auto"/>
                <w:sz w:val="21"/>
                <w:szCs w:val="21"/>
                <w:highlight w:val="none"/>
              </w:rPr>
              <w:t>硫酸</w:t>
            </w:r>
          </w:p>
        </w:tc>
        <w:tc>
          <w:tcPr>
            <w:tcW w:w="967" w:type="pct"/>
            <w:tcBorders>
              <w:tl2br w:val="nil"/>
              <w:tr2bl w:val="nil"/>
            </w:tcBorders>
            <w:vAlign w:val="center"/>
          </w:tcPr>
          <w:p w14:paraId="04F86F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131</w:t>
            </w:r>
          </w:p>
        </w:tc>
        <w:tc>
          <w:tcPr>
            <w:tcW w:w="1112" w:type="pct"/>
            <w:tcBorders>
              <w:tl2br w:val="nil"/>
              <w:tr2bl w:val="nil"/>
            </w:tcBorders>
            <w:vAlign w:val="center"/>
          </w:tcPr>
          <w:p w14:paraId="7DA703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105" w:type="pct"/>
            <w:tcBorders>
              <w:tl2br w:val="nil"/>
              <w:tr2bl w:val="nil"/>
            </w:tcBorders>
            <w:vAlign w:val="center"/>
          </w:tcPr>
          <w:p w14:paraId="3A4A29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13.1</w:t>
            </w:r>
          </w:p>
        </w:tc>
      </w:tr>
      <w:tr w14:paraId="1D6AEC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1" w:type="pct"/>
            <w:tcBorders>
              <w:tl2br w:val="nil"/>
              <w:tr2bl w:val="nil"/>
            </w:tcBorders>
            <w:vAlign w:val="center"/>
          </w:tcPr>
          <w:p w14:paraId="17D925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374" w:type="pct"/>
            <w:tcBorders>
              <w:tl2br w:val="nil"/>
              <w:tr2bl w:val="nil"/>
            </w:tcBorders>
            <w:vAlign w:val="center"/>
          </w:tcPr>
          <w:p w14:paraId="519BAC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废机油</w:t>
            </w:r>
          </w:p>
        </w:tc>
        <w:tc>
          <w:tcPr>
            <w:tcW w:w="967" w:type="pct"/>
            <w:tcBorders>
              <w:tl2br w:val="nil"/>
              <w:tr2bl w:val="nil"/>
            </w:tcBorders>
            <w:vAlign w:val="center"/>
          </w:tcPr>
          <w:p w14:paraId="0D6AA6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112" w:type="pct"/>
            <w:tcBorders>
              <w:tl2br w:val="nil"/>
              <w:tr2bl w:val="nil"/>
            </w:tcBorders>
            <w:vAlign w:val="center"/>
          </w:tcPr>
          <w:p w14:paraId="44BD09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c>
          <w:tcPr>
            <w:tcW w:w="1105" w:type="pct"/>
            <w:tcBorders>
              <w:tl2br w:val="nil"/>
              <w:tr2bl w:val="nil"/>
            </w:tcBorders>
            <w:vAlign w:val="center"/>
          </w:tcPr>
          <w:p w14:paraId="79929C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0.0004</w:t>
            </w:r>
          </w:p>
        </w:tc>
      </w:tr>
      <w:tr w14:paraId="79E822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1" w:type="pct"/>
            <w:tcBorders>
              <w:tl2br w:val="nil"/>
              <w:tr2bl w:val="nil"/>
            </w:tcBorders>
            <w:vAlign w:val="center"/>
          </w:tcPr>
          <w:p w14:paraId="1FAB8A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374" w:type="pct"/>
            <w:tcBorders>
              <w:tl2br w:val="nil"/>
              <w:tr2bl w:val="nil"/>
            </w:tcBorders>
            <w:vAlign w:val="center"/>
          </w:tcPr>
          <w:p w14:paraId="404288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电积液</w:t>
            </w:r>
          </w:p>
        </w:tc>
        <w:tc>
          <w:tcPr>
            <w:tcW w:w="967" w:type="pct"/>
            <w:tcBorders>
              <w:tl2br w:val="nil"/>
              <w:tr2bl w:val="nil"/>
            </w:tcBorders>
            <w:vAlign w:val="center"/>
          </w:tcPr>
          <w:p w14:paraId="043882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9.1</w:t>
            </w:r>
          </w:p>
        </w:tc>
        <w:tc>
          <w:tcPr>
            <w:tcW w:w="1112" w:type="pct"/>
            <w:tcBorders>
              <w:tl2br w:val="nil"/>
              <w:tr2bl w:val="nil"/>
            </w:tcBorders>
            <w:vAlign w:val="center"/>
          </w:tcPr>
          <w:p w14:paraId="17BD82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0.25</w:t>
            </w:r>
          </w:p>
        </w:tc>
        <w:tc>
          <w:tcPr>
            <w:tcW w:w="1105" w:type="pct"/>
            <w:tcBorders>
              <w:tl2br w:val="nil"/>
              <w:tr2bl w:val="nil"/>
            </w:tcBorders>
            <w:vAlign w:val="center"/>
          </w:tcPr>
          <w:p w14:paraId="1FE550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36.4</w:t>
            </w:r>
          </w:p>
        </w:tc>
      </w:tr>
      <w:tr w14:paraId="4FB9CD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3894" w:type="pct"/>
            <w:gridSpan w:val="4"/>
            <w:tcBorders>
              <w:tl2br w:val="nil"/>
              <w:tr2bl w:val="nil"/>
            </w:tcBorders>
            <w:vAlign w:val="center"/>
          </w:tcPr>
          <w:p w14:paraId="13D686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105" w:type="pct"/>
            <w:tcBorders>
              <w:tl2br w:val="nil"/>
              <w:tr2bl w:val="nil"/>
            </w:tcBorders>
            <w:vAlign w:val="center"/>
          </w:tcPr>
          <w:p w14:paraId="443CB3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49.5</w:t>
            </w:r>
          </w:p>
        </w:tc>
      </w:tr>
      <w:tr w14:paraId="61BE56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000" w:type="pct"/>
            <w:gridSpan w:val="5"/>
            <w:tcBorders>
              <w:tl2br w:val="nil"/>
              <w:tr2bl w:val="nil"/>
            </w:tcBorders>
            <w:vAlign w:val="center"/>
          </w:tcPr>
          <w:p w14:paraId="56560A0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21"/>
                <w:szCs w:val="21"/>
                <w:highlight w:val="none"/>
                <w:lang w:val="en-US" w:eastAsia="zh-CN"/>
              </w:rPr>
            </w:pPr>
            <w:r>
              <w:rPr>
                <w:rFonts w:hint="eastAsia"/>
                <w:color w:val="auto"/>
                <w:sz w:val="21"/>
                <w:szCs w:val="21"/>
              </w:rPr>
              <w:t>注：各</w:t>
            </w:r>
            <w:r>
              <w:rPr>
                <w:rFonts w:hint="eastAsia"/>
                <w:color w:val="auto"/>
                <w:sz w:val="21"/>
                <w:szCs w:val="21"/>
                <w:lang w:eastAsia="zh-CN"/>
              </w:rPr>
              <w:t>电积液</w:t>
            </w:r>
            <w:r>
              <w:rPr>
                <w:rFonts w:hint="eastAsia"/>
                <w:color w:val="auto"/>
                <w:sz w:val="21"/>
                <w:szCs w:val="21"/>
              </w:rPr>
              <w:t>槽按照槽体容积的80%考虑；</w:t>
            </w:r>
            <w:r>
              <w:rPr>
                <w:rFonts w:hint="eastAsia"/>
                <w:color w:val="auto"/>
                <w:sz w:val="21"/>
                <w:szCs w:val="21"/>
                <w:lang w:eastAsia="zh-CN"/>
              </w:rPr>
              <w:t>电积液</w:t>
            </w:r>
            <w:r>
              <w:rPr>
                <w:rFonts w:hint="eastAsia"/>
                <w:color w:val="auto"/>
                <w:sz w:val="21"/>
                <w:szCs w:val="21"/>
              </w:rPr>
              <w:t>中CU</w:t>
            </w:r>
            <w:r>
              <w:rPr>
                <w:rFonts w:hint="eastAsia"/>
                <w:color w:val="auto"/>
                <w:sz w:val="21"/>
                <w:szCs w:val="21"/>
                <w:vertAlign w:val="superscript"/>
              </w:rPr>
              <w:t>2+</w:t>
            </w:r>
            <w:r>
              <w:rPr>
                <w:rFonts w:hint="eastAsia"/>
                <w:color w:val="auto"/>
                <w:sz w:val="21"/>
                <w:szCs w:val="21"/>
              </w:rPr>
              <w:t>浓度为45~55g/L，取平均值50g/L，即0.05t/m</w:t>
            </w:r>
            <w:r>
              <w:rPr>
                <w:rFonts w:hint="eastAsia"/>
                <w:color w:val="auto"/>
                <w:sz w:val="21"/>
                <w:szCs w:val="21"/>
                <w:vertAlign w:val="superscript"/>
              </w:rPr>
              <w:t>3</w:t>
            </w:r>
            <w:r>
              <w:rPr>
                <w:rFonts w:hint="eastAsia"/>
                <w:color w:val="auto"/>
                <w:sz w:val="21"/>
                <w:szCs w:val="21"/>
              </w:rPr>
              <w:t>；临界量按照铜及其化合物（以铜离子计）给出。</w:t>
            </w:r>
          </w:p>
        </w:tc>
      </w:tr>
    </w:tbl>
    <w:p w14:paraId="3B152D5A">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因此，</w:t>
      </w:r>
      <w:r>
        <w:rPr>
          <w:rFonts w:hint="eastAsia" w:cs="Times New Roman"/>
          <w:color w:val="auto"/>
          <w:highlight w:val="none"/>
          <w:lang w:eastAsia="zh-CN"/>
        </w:rPr>
        <w:t>本项目</w:t>
      </w:r>
      <w:r>
        <w:rPr>
          <w:rFonts w:hint="default" w:ascii="Times New Roman" w:hAnsi="Times New Roman" w:cs="Times New Roman"/>
          <w:color w:val="auto"/>
          <w:highlight w:val="none"/>
        </w:rPr>
        <w:t>Q值为</w:t>
      </w:r>
      <w:r>
        <w:rPr>
          <w:rFonts w:hint="eastAsia" w:cs="Times New Roman"/>
          <w:color w:val="auto"/>
          <w:highlight w:val="none"/>
          <w:lang w:val="en-US" w:eastAsia="zh-CN"/>
        </w:rPr>
        <w:t>49.5</w:t>
      </w:r>
      <w:r>
        <w:rPr>
          <w:rFonts w:hint="default" w:ascii="Times New Roman" w:hAnsi="Times New Roman" w:cs="Times New Roman"/>
          <w:color w:val="auto"/>
          <w:highlight w:val="none"/>
        </w:rPr>
        <w:t>，10≤Q＜10</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p>
    <w:p w14:paraId="2B91621B">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）行业及生产工艺（M）</w:t>
      </w:r>
    </w:p>
    <w:p w14:paraId="50811CCD">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分析项目所属行业及生产工艺特点，</w:t>
      </w:r>
      <w:r>
        <w:rPr>
          <w:rFonts w:hint="default" w:ascii="Times New Roman" w:hAnsi="Times New Roman" w:cs="Times New Roman"/>
          <w:snapToGrid w:val="0"/>
          <w:color w:val="auto"/>
          <w:kern w:val="0"/>
          <w:szCs w:val="24"/>
          <w:highlight w:val="none"/>
        </w:rPr>
        <w:t>具有多套工艺单元的项目</w:t>
      </w:r>
      <w:r>
        <w:rPr>
          <w:rFonts w:hint="default" w:ascii="Times New Roman" w:hAnsi="Times New Roman" w:cs="Times New Roman"/>
          <w:color w:val="auto"/>
          <w:szCs w:val="24"/>
          <w:highlight w:val="none"/>
        </w:rPr>
        <w:t>，</w:t>
      </w:r>
      <w:r>
        <w:rPr>
          <w:rFonts w:hint="default" w:ascii="Times New Roman" w:hAnsi="Times New Roman" w:cs="Times New Roman"/>
          <w:snapToGrid w:val="0"/>
          <w:color w:val="auto"/>
          <w:kern w:val="0"/>
          <w:szCs w:val="24"/>
          <w:highlight w:val="none"/>
        </w:rPr>
        <w:t>对每套生产工</w:t>
      </w:r>
      <w:r>
        <w:rPr>
          <w:rFonts w:hint="default" w:ascii="Times New Roman" w:hAnsi="Times New Roman" w:cs="Times New Roman"/>
          <w:color w:val="auto"/>
          <w:szCs w:val="24"/>
          <w:highlight w:val="none"/>
        </w:rPr>
        <w:t>艺</w:t>
      </w:r>
      <w:r>
        <w:rPr>
          <w:rFonts w:hint="default" w:ascii="Times New Roman" w:hAnsi="Times New Roman" w:cs="Times New Roman"/>
          <w:snapToGrid w:val="0"/>
          <w:color w:val="auto"/>
          <w:kern w:val="0"/>
          <w:szCs w:val="24"/>
          <w:highlight w:val="none"/>
        </w:rPr>
        <w:t>分别评分并求和</w:t>
      </w:r>
      <w:r>
        <w:rPr>
          <w:rFonts w:hint="default" w:ascii="Times New Roman" w:hAnsi="Times New Roman" w:cs="Times New Roman"/>
          <w:color w:val="auto"/>
          <w:szCs w:val="24"/>
          <w:highlight w:val="none"/>
        </w:rPr>
        <w:t>。将M划分为（1）M＞20；（2）10</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M≤20；</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3）5</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M</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10；</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4）M=5，分</w:t>
      </w:r>
      <w:r>
        <w:rPr>
          <w:rFonts w:hint="default" w:ascii="Times New Roman" w:hAnsi="Times New Roman" w:cs="Times New Roman"/>
          <w:snapToGrid w:val="0"/>
          <w:color w:val="auto"/>
          <w:kern w:val="0"/>
          <w:szCs w:val="24"/>
          <w:highlight w:val="none"/>
        </w:rPr>
        <w:t>别以</w:t>
      </w:r>
      <w:r>
        <w:rPr>
          <w:rFonts w:hint="default" w:ascii="Times New Roman" w:hAnsi="Times New Roman" w:cs="Times New Roman"/>
          <w:color w:val="auto"/>
          <w:szCs w:val="24"/>
          <w:highlight w:val="none"/>
        </w:rPr>
        <w:t>M1、M2、M3</w:t>
      </w:r>
      <w:r>
        <w:rPr>
          <w:rFonts w:hint="default" w:ascii="Times New Roman" w:hAnsi="Times New Roman" w:cs="Times New Roman"/>
          <w:snapToGrid w:val="0"/>
          <w:color w:val="auto"/>
          <w:kern w:val="0"/>
          <w:szCs w:val="24"/>
          <w:highlight w:val="none"/>
        </w:rPr>
        <w:t>和</w:t>
      </w:r>
      <w:r>
        <w:rPr>
          <w:rFonts w:hint="default" w:ascii="Times New Roman" w:hAnsi="Times New Roman" w:cs="Times New Roman"/>
          <w:color w:val="auto"/>
          <w:szCs w:val="24"/>
          <w:highlight w:val="none"/>
        </w:rPr>
        <w:t>M4</w:t>
      </w:r>
      <w:r>
        <w:rPr>
          <w:rFonts w:hint="default" w:ascii="Times New Roman" w:hAnsi="Times New Roman" w:cs="Times New Roman"/>
          <w:snapToGrid w:val="0"/>
          <w:color w:val="auto"/>
          <w:kern w:val="0"/>
          <w:szCs w:val="24"/>
          <w:highlight w:val="none"/>
        </w:rPr>
        <w:t>表示。</w:t>
      </w:r>
    </w:p>
    <w:p w14:paraId="51109E45">
      <w:pPr>
        <w:keepNext w:val="0"/>
        <w:keepLines w:val="0"/>
        <w:pageBreakBefore w:val="0"/>
        <w:widowControl w:val="0"/>
        <w:tabs>
          <w:tab w:val="left" w:pos="0"/>
          <w:tab w:val="left" w:pos="99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表</w:t>
      </w:r>
      <w:r>
        <w:rPr>
          <w:rFonts w:hint="eastAsia" w:cs="Times New Roman"/>
          <w:b/>
          <w:bCs/>
          <w:color w:val="auto"/>
          <w:sz w:val="21"/>
          <w:szCs w:val="21"/>
          <w:highlight w:val="none"/>
          <w:lang w:val="en-US" w:eastAsia="zh-CN" w:bidi="ar"/>
        </w:rPr>
        <w:t>5.8-3</w:t>
      </w:r>
      <w:r>
        <w:rPr>
          <w:rFonts w:hint="default" w:ascii="Times New Roman" w:hAnsi="Times New Roman" w:cs="Times New Roman"/>
          <w:b/>
          <w:bCs/>
          <w:color w:val="auto"/>
          <w:sz w:val="21"/>
          <w:szCs w:val="21"/>
          <w:highlight w:val="none"/>
          <w:lang w:bidi="ar"/>
        </w:rPr>
        <w:t xml:space="preserve">   行业及生产工艺（M）</w:t>
      </w:r>
    </w:p>
    <w:tbl>
      <w:tblPr>
        <w:tblStyle w:val="33"/>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84"/>
        <w:gridCol w:w="5815"/>
        <w:gridCol w:w="1058"/>
      </w:tblGrid>
      <w:tr w14:paraId="651512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tcBorders>
              <w:tl2br w:val="nil"/>
              <w:tr2bl w:val="nil"/>
            </w:tcBorders>
            <w:vAlign w:val="center"/>
          </w:tcPr>
          <w:p w14:paraId="690838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pacing w:val="-2"/>
                <w:kern w:val="0"/>
                <w:sz w:val="21"/>
                <w:szCs w:val="21"/>
                <w:highlight w:val="none"/>
              </w:rPr>
              <w:t>行业</w:t>
            </w:r>
          </w:p>
        </w:tc>
        <w:tc>
          <w:tcPr>
            <w:tcW w:w="3398" w:type="pct"/>
            <w:tcBorders>
              <w:tl2br w:val="nil"/>
              <w:tr2bl w:val="nil"/>
            </w:tcBorders>
            <w:vAlign w:val="center"/>
          </w:tcPr>
          <w:p w14:paraId="19519F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pacing w:val="-2"/>
                <w:kern w:val="0"/>
                <w:sz w:val="21"/>
                <w:szCs w:val="21"/>
                <w:highlight w:val="none"/>
              </w:rPr>
              <w:t>评估依据</w:t>
            </w:r>
          </w:p>
        </w:tc>
        <w:tc>
          <w:tcPr>
            <w:tcW w:w="616" w:type="pct"/>
            <w:tcBorders>
              <w:tl2br w:val="nil"/>
              <w:tr2bl w:val="nil"/>
            </w:tcBorders>
            <w:vAlign w:val="center"/>
          </w:tcPr>
          <w:p w14:paraId="434750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pacing w:val="-1"/>
                <w:kern w:val="0"/>
                <w:sz w:val="21"/>
                <w:szCs w:val="21"/>
                <w:highlight w:val="none"/>
              </w:rPr>
              <w:t>分值</w:t>
            </w:r>
          </w:p>
        </w:tc>
      </w:tr>
      <w:tr w14:paraId="29BE51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vMerge w:val="restart"/>
            <w:tcBorders>
              <w:tl2br w:val="nil"/>
              <w:tr2bl w:val="nil"/>
            </w:tcBorders>
            <w:vAlign w:val="center"/>
          </w:tcPr>
          <w:p w14:paraId="619714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3"/>
                <w:kern w:val="0"/>
                <w:sz w:val="21"/>
                <w:szCs w:val="21"/>
                <w:highlight w:val="none"/>
              </w:rPr>
              <w:t>石化、化工、医药</w:t>
            </w:r>
            <w:r>
              <w:rPr>
                <w:rFonts w:hint="default" w:ascii="Times New Roman" w:hAnsi="Times New Roman" w:cs="Times New Roman"/>
                <w:color w:val="auto"/>
                <w:spacing w:val="-2"/>
                <w:kern w:val="0"/>
                <w:sz w:val="21"/>
                <w:szCs w:val="21"/>
                <w:highlight w:val="none"/>
              </w:rPr>
              <w:t>轻工、化纤、有色</w:t>
            </w:r>
          </w:p>
          <w:p w14:paraId="228F8F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1"/>
                <w:kern w:val="0"/>
                <w:sz w:val="21"/>
                <w:szCs w:val="21"/>
                <w:highlight w:val="none"/>
              </w:rPr>
              <w:t>冶炼等</w:t>
            </w:r>
          </w:p>
        </w:tc>
        <w:tc>
          <w:tcPr>
            <w:tcW w:w="3398" w:type="pct"/>
            <w:tcBorders>
              <w:tl2br w:val="nil"/>
              <w:tr2bl w:val="nil"/>
            </w:tcBorders>
            <w:vAlign w:val="center"/>
          </w:tcPr>
          <w:p w14:paraId="06BA08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3"/>
                <w:kern w:val="0"/>
                <w:sz w:val="21"/>
                <w:szCs w:val="21"/>
                <w:highlight w:val="none"/>
              </w:rPr>
              <w:t>涉及光气及光气化工艺、电解工艺（氯碱）、氯化工艺、硝化工艺</w:t>
            </w:r>
            <w:r>
              <w:rPr>
                <w:rFonts w:hint="default" w:ascii="Times New Roman" w:hAnsi="Times New Roman" w:cs="Times New Roman"/>
                <w:color w:val="auto"/>
                <w:spacing w:val="-2"/>
                <w:kern w:val="0"/>
                <w:sz w:val="21"/>
                <w:szCs w:val="21"/>
                <w:highlight w:val="none"/>
              </w:rPr>
              <w:t>合成氨工艺、裂解（裂化）工艺、氟化工艺、加氢工艺、重氮化工艺、氧化工艺、过氧化工艺、胺基化工艺、磺化工艺、聚合工艺、烷基化工艺、新型煤化工工艺、电石生产工艺、偶氮化工艺</w:t>
            </w:r>
          </w:p>
        </w:tc>
        <w:tc>
          <w:tcPr>
            <w:tcW w:w="616" w:type="pct"/>
            <w:tcBorders>
              <w:tl2br w:val="nil"/>
              <w:tr2bl w:val="nil"/>
            </w:tcBorders>
            <w:vAlign w:val="center"/>
          </w:tcPr>
          <w:p w14:paraId="27BD92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1"/>
                <w:kern w:val="0"/>
                <w:sz w:val="21"/>
                <w:szCs w:val="21"/>
                <w:highlight w:val="none"/>
              </w:rPr>
              <w:t>10/套</w:t>
            </w:r>
          </w:p>
        </w:tc>
      </w:tr>
      <w:tr w14:paraId="38B35B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vMerge w:val="continue"/>
            <w:tcBorders>
              <w:tl2br w:val="nil"/>
              <w:tr2bl w:val="nil"/>
            </w:tcBorders>
            <w:vAlign w:val="center"/>
          </w:tcPr>
          <w:p w14:paraId="1D2C54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3398" w:type="pct"/>
            <w:tcBorders>
              <w:tl2br w:val="nil"/>
              <w:tr2bl w:val="nil"/>
            </w:tcBorders>
            <w:vAlign w:val="center"/>
          </w:tcPr>
          <w:p w14:paraId="130A60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无机酸制酸工艺、焦化工艺</w:t>
            </w:r>
          </w:p>
        </w:tc>
        <w:tc>
          <w:tcPr>
            <w:tcW w:w="616" w:type="pct"/>
            <w:tcBorders>
              <w:tl2br w:val="nil"/>
              <w:tr2bl w:val="nil"/>
            </w:tcBorders>
            <w:vAlign w:val="center"/>
          </w:tcPr>
          <w:p w14:paraId="633D5E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1"/>
                <w:kern w:val="0"/>
                <w:sz w:val="21"/>
                <w:szCs w:val="21"/>
                <w:highlight w:val="none"/>
              </w:rPr>
              <w:t>5/套</w:t>
            </w:r>
          </w:p>
        </w:tc>
      </w:tr>
      <w:tr w14:paraId="719D2A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vMerge w:val="continue"/>
            <w:tcBorders>
              <w:tl2br w:val="nil"/>
              <w:tr2bl w:val="nil"/>
            </w:tcBorders>
            <w:vAlign w:val="center"/>
          </w:tcPr>
          <w:p w14:paraId="2DBA01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3398" w:type="pct"/>
            <w:tcBorders>
              <w:tl2br w:val="nil"/>
              <w:tr2bl w:val="nil"/>
            </w:tcBorders>
            <w:vAlign w:val="center"/>
          </w:tcPr>
          <w:p w14:paraId="2D95FD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3"/>
                <w:kern w:val="0"/>
                <w:sz w:val="21"/>
                <w:szCs w:val="21"/>
                <w:highlight w:val="none"/>
              </w:rPr>
              <w:t>其他高温或高压，且涉及危险物质的工艺过程</w:t>
            </w:r>
            <w:r>
              <w:rPr>
                <w:rFonts w:hint="default" w:ascii="Times New Roman" w:hAnsi="Times New Roman" w:cs="Times New Roman"/>
                <w:color w:val="auto"/>
                <w:spacing w:val="-52"/>
                <w:kern w:val="0"/>
                <w:sz w:val="21"/>
                <w:szCs w:val="21"/>
                <w:highlight w:val="none"/>
              </w:rPr>
              <w:t xml:space="preserve"> </w:t>
            </w:r>
            <w:r>
              <w:rPr>
                <w:rFonts w:hint="default" w:ascii="Times New Roman" w:hAnsi="Times New Roman" w:cs="Times New Roman"/>
                <w:color w:val="auto"/>
                <w:spacing w:val="-3"/>
                <w:kern w:val="0"/>
                <w:position w:val="11"/>
                <w:sz w:val="21"/>
                <w:szCs w:val="21"/>
                <w:highlight w:val="none"/>
              </w:rPr>
              <w:t>a</w:t>
            </w:r>
            <w:r>
              <w:rPr>
                <w:rFonts w:hint="default" w:ascii="Times New Roman" w:hAnsi="Times New Roman" w:cs="Times New Roman"/>
                <w:color w:val="auto"/>
                <w:spacing w:val="-3"/>
                <w:kern w:val="0"/>
                <w:sz w:val="21"/>
                <w:szCs w:val="21"/>
                <w:highlight w:val="none"/>
              </w:rPr>
              <w:t>、危险物质贮存罐区</w:t>
            </w:r>
          </w:p>
        </w:tc>
        <w:tc>
          <w:tcPr>
            <w:tcW w:w="616" w:type="pct"/>
            <w:tcBorders>
              <w:tl2br w:val="nil"/>
              <w:tr2bl w:val="nil"/>
            </w:tcBorders>
            <w:vAlign w:val="center"/>
          </w:tcPr>
          <w:p w14:paraId="02B21D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r>
              <w:rPr>
                <w:rFonts w:hint="default" w:ascii="Times New Roman" w:hAnsi="Times New Roman" w:cs="Times New Roman"/>
                <w:color w:val="auto"/>
                <w:spacing w:val="-56"/>
                <w:kern w:val="0"/>
                <w:sz w:val="21"/>
                <w:szCs w:val="21"/>
                <w:highlight w:val="none"/>
              </w:rPr>
              <w:t>套</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pacing w:val="-3"/>
                <w:kern w:val="0"/>
                <w:sz w:val="21"/>
                <w:szCs w:val="21"/>
                <w:highlight w:val="none"/>
              </w:rPr>
              <w:t>罐</w:t>
            </w:r>
            <w:r>
              <w:rPr>
                <w:rFonts w:hint="default" w:ascii="Times New Roman" w:hAnsi="Times New Roman" w:cs="Times New Roman"/>
                <w:color w:val="auto"/>
                <w:kern w:val="0"/>
                <w:sz w:val="21"/>
                <w:szCs w:val="21"/>
                <w:highlight w:val="none"/>
              </w:rPr>
              <w:t>区）</w:t>
            </w:r>
          </w:p>
        </w:tc>
      </w:tr>
      <w:tr w14:paraId="367D0C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tcBorders>
              <w:tl2br w:val="nil"/>
              <w:tr2bl w:val="nil"/>
            </w:tcBorders>
            <w:vAlign w:val="center"/>
          </w:tcPr>
          <w:p w14:paraId="761293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3"/>
                <w:kern w:val="0"/>
                <w:sz w:val="21"/>
                <w:szCs w:val="21"/>
                <w:highlight w:val="none"/>
              </w:rPr>
              <w:t>管道、港口/码头等</w:t>
            </w:r>
          </w:p>
        </w:tc>
        <w:tc>
          <w:tcPr>
            <w:tcW w:w="3398" w:type="pct"/>
            <w:tcBorders>
              <w:tl2br w:val="nil"/>
              <w:tr2bl w:val="nil"/>
            </w:tcBorders>
            <w:vAlign w:val="center"/>
          </w:tcPr>
          <w:p w14:paraId="53A207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涉及危险物质管道运输项目、港口/码头等</w:t>
            </w:r>
          </w:p>
        </w:tc>
        <w:tc>
          <w:tcPr>
            <w:tcW w:w="616" w:type="pct"/>
            <w:tcBorders>
              <w:tl2br w:val="nil"/>
              <w:tr2bl w:val="nil"/>
            </w:tcBorders>
            <w:vAlign w:val="center"/>
          </w:tcPr>
          <w:p w14:paraId="57AE8A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r>
      <w:tr w14:paraId="51B3AA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tcBorders>
              <w:tl2br w:val="nil"/>
              <w:tr2bl w:val="nil"/>
            </w:tcBorders>
            <w:vAlign w:val="center"/>
          </w:tcPr>
          <w:p w14:paraId="496AE4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石油天然气</w:t>
            </w:r>
          </w:p>
        </w:tc>
        <w:tc>
          <w:tcPr>
            <w:tcW w:w="3398" w:type="pct"/>
            <w:tcBorders>
              <w:tl2br w:val="nil"/>
              <w:tr2bl w:val="nil"/>
            </w:tcBorders>
            <w:vAlign w:val="center"/>
          </w:tcPr>
          <w:p w14:paraId="2C46C1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石</w:t>
            </w:r>
            <w:r>
              <w:rPr>
                <w:rFonts w:hint="default" w:ascii="Times New Roman" w:hAnsi="Times New Roman" w:cs="Times New Roman"/>
                <w:color w:val="auto"/>
                <w:spacing w:val="-3"/>
                <w:kern w:val="0"/>
                <w:sz w:val="21"/>
                <w:szCs w:val="21"/>
                <w:highlight w:val="none"/>
              </w:rPr>
              <w:t>油</w:t>
            </w:r>
            <w:r>
              <w:rPr>
                <w:rFonts w:hint="default" w:ascii="Times New Roman" w:hAnsi="Times New Roman" w:cs="Times New Roman"/>
                <w:color w:val="auto"/>
                <w:spacing w:val="-34"/>
                <w:kern w:val="0"/>
                <w:sz w:val="21"/>
                <w:szCs w:val="21"/>
                <w:highlight w:val="none"/>
              </w:rPr>
              <w:t>、</w:t>
            </w:r>
            <w:r>
              <w:rPr>
                <w:rFonts w:hint="default" w:ascii="Times New Roman" w:hAnsi="Times New Roman" w:cs="Times New Roman"/>
                <w:color w:val="auto"/>
                <w:spacing w:val="-3"/>
                <w:kern w:val="0"/>
                <w:sz w:val="21"/>
                <w:szCs w:val="21"/>
                <w:highlight w:val="none"/>
              </w:rPr>
              <w:t>天</w:t>
            </w:r>
            <w:r>
              <w:rPr>
                <w:rFonts w:hint="default" w:ascii="Times New Roman" w:hAnsi="Times New Roman" w:cs="Times New Roman"/>
                <w:color w:val="auto"/>
                <w:kern w:val="0"/>
                <w:sz w:val="21"/>
                <w:szCs w:val="21"/>
                <w:highlight w:val="none"/>
              </w:rPr>
              <w:t>然</w:t>
            </w:r>
            <w:r>
              <w:rPr>
                <w:rFonts w:hint="default" w:ascii="Times New Roman" w:hAnsi="Times New Roman" w:cs="Times New Roman"/>
                <w:color w:val="auto"/>
                <w:spacing w:val="-3"/>
                <w:kern w:val="0"/>
                <w:sz w:val="21"/>
                <w:szCs w:val="21"/>
                <w:highlight w:val="none"/>
              </w:rPr>
              <w:t>气</w:t>
            </w:r>
            <w:r>
              <w:rPr>
                <w:rFonts w:hint="default" w:ascii="Times New Roman" w:hAnsi="Times New Roman" w:cs="Times New Roman"/>
                <w:color w:val="auto"/>
                <w:spacing w:val="-34"/>
                <w:kern w:val="0"/>
                <w:sz w:val="21"/>
                <w:szCs w:val="21"/>
                <w:highlight w:val="none"/>
              </w:rPr>
              <w:t>、</w:t>
            </w:r>
            <w:r>
              <w:rPr>
                <w:rFonts w:hint="default" w:ascii="Times New Roman" w:hAnsi="Times New Roman" w:cs="Times New Roman"/>
                <w:color w:val="auto"/>
                <w:spacing w:val="-3"/>
                <w:kern w:val="0"/>
                <w:sz w:val="21"/>
                <w:szCs w:val="21"/>
                <w:highlight w:val="none"/>
              </w:rPr>
              <w:t>页</w:t>
            </w:r>
            <w:r>
              <w:rPr>
                <w:rFonts w:hint="default" w:ascii="Times New Roman" w:hAnsi="Times New Roman" w:cs="Times New Roman"/>
                <w:color w:val="auto"/>
                <w:kern w:val="0"/>
                <w:sz w:val="21"/>
                <w:szCs w:val="21"/>
                <w:highlight w:val="none"/>
              </w:rPr>
              <w:t>岩</w:t>
            </w:r>
            <w:r>
              <w:rPr>
                <w:rFonts w:hint="default" w:ascii="Times New Roman" w:hAnsi="Times New Roman" w:cs="Times New Roman"/>
                <w:color w:val="auto"/>
                <w:spacing w:val="-3"/>
                <w:kern w:val="0"/>
                <w:sz w:val="21"/>
                <w:szCs w:val="21"/>
                <w:highlight w:val="none"/>
              </w:rPr>
              <w:t>气</w:t>
            </w:r>
            <w:r>
              <w:rPr>
                <w:rFonts w:hint="default" w:ascii="Times New Roman" w:hAnsi="Times New Roman" w:cs="Times New Roman"/>
                <w:color w:val="auto"/>
                <w:kern w:val="0"/>
                <w:sz w:val="21"/>
                <w:szCs w:val="21"/>
                <w:highlight w:val="none"/>
              </w:rPr>
              <w:t>开</w:t>
            </w:r>
            <w:r>
              <w:rPr>
                <w:rFonts w:hint="default" w:ascii="Times New Roman" w:hAnsi="Times New Roman" w:cs="Times New Roman"/>
                <w:color w:val="auto"/>
                <w:spacing w:val="-36"/>
                <w:kern w:val="0"/>
                <w:sz w:val="21"/>
                <w:szCs w:val="21"/>
                <w:highlight w:val="none"/>
              </w:rPr>
              <w:t>采</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pacing w:val="-3"/>
                <w:kern w:val="0"/>
                <w:sz w:val="21"/>
                <w:szCs w:val="21"/>
                <w:highlight w:val="none"/>
              </w:rPr>
              <w:t>含</w:t>
            </w:r>
            <w:r>
              <w:rPr>
                <w:rFonts w:hint="default" w:ascii="Times New Roman" w:hAnsi="Times New Roman" w:cs="Times New Roman"/>
                <w:color w:val="auto"/>
                <w:kern w:val="0"/>
                <w:sz w:val="21"/>
                <w:szCs w:val="21"/>
                <w:highlight w:val="none"/>
              </w:rPr>
              <w:t>净</w:t>
            </w:r>
            <w:r>
              <w:rPr>
                <w:rFonts w:hint="default" w:ascii="Times New Roman" w:hAnsi="Times New Roman" w:cs="Times New Roman"/>
                <w:color w:val="auto"/>
                <w:spacing w:val="-3"/>
                <w:kern w:val="0"/>
                <w:sz w:val="21"/>
                <w:szCs w:val="21"/>
                <w:highlight w:val="none"/>
              </w:rPr>
              <w:t>化</w:t>
            </w:r>
            <w:r>
              <w:rPr>
                <w:rFonts w:hint="default" w:ascii="Times New Roman" w:hAnsi="Times New Roman" w:cs="Times New Roman"/>
                <w:color w:val="auto"/>
                <w:spacing w:val="-34"/>
                <w:kern w:val="0"/>
                <w:sz w:val="21"/>
                <w:szCs w:val="21"/>
                <w:highlight w:val="none"/>
              </w:rPr>
              <w:t>）</w:t>
            </w:r>
            <w:r>
              <w:rPr>
                <w:rFonts w:hint="default" w:ascii="Times New Roman" w:hAnsi="Times New Roman" w:cs="Times New Roman"/>
                <w:color w:val="auto"/>
                <w:spacing w:val="-36"/>
                <w:kern w:val="0"/>
                <w:sz w:val="21"/>
                <w:szCs w:val="21"/>
                <w:highlight w:val="none"/>
              </w:rPr>
              <w:t>，</w:t>
            </w:r>
            <w:r>
              <w:rPr>
                <w:rFonts w:hint="default" w:ascii="Times New Roman" w:hAnsi="Times New Roman" w:cs="Times New Roman"/>
                <w:color w:val="auto"/>
                <w:kern w:val="0"/>
                <w:sz w:val="21"/>
                <w:szCs w:val="21"/>
                <w:highlight w:val="none"/>
              </w:rPr>
              <w:t>气</w:t>
            </w:r>
            <w:r>
              <w:rPr>
                <w:rFonts w:hint="default" w:ascii="Times New Roman" w:hAnsi="Times New Roman" w:cs="Times New Roman"/>
                <w:color w:val="auto"/>
                <w:spacing w:val="-36"/>
                <w:kern w:val="0"/>
                <w:sz w:val="21"/>
                <w:szCs w:val="21"/>
                <w:highlight w:val="none"/>
              </w:rPr>
              <w:t>库</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pacing w:val="-3"/>
                <w:kern w:val="0"/>
                <w:sz w:val="21"/>
                <w:szCs w:val="21"/>
                <w:highlight w:val="none"/>
              </w:rPr>
              <w:t>不</w:t>
            </w:r>
            <w:r>
              <w:rPr>
                <w:rFonts w:hint="default" w:ascii="Times New Roman" w:hAnsi="Times New Roman" w:cs="Times New Roman"/>
                <w:color w:val="auto"/>
                <w:kern w:val="0"/>
                <w:sz w:val="21"/>
                <w:szCs w:val="21"/>
                <w:highlight w:val="none"/>
              </w:rPr>
              <w:t>含</w:t>
            </w:r>
            <w:r>
              <w:rPr>
                <w:rFonts w:hint="default" w:ascii="Times New Roman" w:hAnsi="Times New Roman" w:cs="Times New Roman"/>
                <w:color w:val="auto"/>
                <w:spacing w:val="-3"/>
                <w:kern w:val="0"/>
                <w:sz w:val="21"/>
                <w:szCs w:val="21"/>
                <w:highlight w:val="none"/>
              </w:rPr>
              <w:t>加</w:t>
            </w:r>
            <w:r>
              <w:rPr>
                <w:rFonts w:hint="default" w:ascii="Times New Roman" w:hAnsi="Times New Roman" w:cs="Times New Roman"/>
                <w:color w:val="auto"/>
                <w:kern w:val="0"/>
                <w:sz w:val="21"/>
                <w:szCs w:val="21"/>
                <w:highlight w:val="none"/>
              </w:rPr>
              <w:t>气站</w:t>
            </w:r>
            <w:r>
              <w:rPr>
                <w:rFonts w:hint="default" w:ascii="Times New Roman" w:hAnsi="Times New Roman" w:cs="Times New Roman"/>
                <w:color w:val="auto"/>
                <w:spacing w:val="-3"/>
                <w:kern w:val="0"/>
                <w:sz w:val="21"/>
                <w:szCs w:val="21"/>
                <w:highlight w:val="none"/>
              </w:rPr>
              <w:t>的</w:t>
            </w:r>
            <w:r>
              <w:rPr>
                <w:rFonts w:hint="default" w:ascii="Times New Roman" w:hAnsi="Times New Roman" w:cs="Times New Roman"/>
                <w:color w:val="auto"/>
                <w:kern w:val="0"/>
                <w:sz w:val="21"/>
                <w:szCs w:val="21"/>
                <w:highlight w:val="none"/>
              </w:rPr>
              <w:t>气</w:t>
            </w:r>
            <w:r>
              <w:rPr>
                <w:rFonts w:hint="default" w:ascii="Times New Roman" w:hAnsi="Times New Roman" w:cs="Times New Roman"/>
                <w:color w:val="auto"/>
                <w:spacing w:val="-3"/>
                <w:kern w:val="0"/>
                <w:sz w:val="21"/>
                <w:szCs w:val="21"/>
                <w:highlight w:val="none"/>
              </w:rPr>
              <w:t>库</w:t>
            </w:r>
            <w:r>
              <w:rPr>
                <w:rFonts w:hint="default" w:ascii="Times New Roman" w:hAnsi="Times New Roman" w:cs="Times New Roman"/>
                <w:color w:val="auto"/>
                <w:kern w:val="0"/>
                <w:sz w:val="21"/>
                <w:szCs w:val="21"/>
                <w:highlight w:val="none"/>
              </w:rPr>
              <w:t>）</w:t>
            </w:r>
          </w:p>
          <w:p w14:paraId="163A42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油库（不含加气站的油库）、油气管线</w:t>
            </w:r>
            <w:r>
              <w:rPr>
                <w:rFonts w:hint="default" w:ascii="Times New Roman" w:hAnsi="Times New Roman" w:cs="Times New Roman"/>
                <w:color w:val="auto"/>
                <w:spacing w:val="-53"/>
                <w:kern w:val="0"/>
                <w:sz w:val="21"/>
                <w:szCs w:val="21"/>
                <w:highlight w:val="none"/>
              </w:rPr>
              <w:t xml:space="preserve"> </w:t>
            </w:r>
            <w:r>
              <w:rPr>
                <w:rFonts w:hint="default" w:ascii="Times New Roman" w:hAnsi="Times New Roman" w:cs="Times New Roman"/>
                <w:color w:val="auto"/>
                <w:spacing w:val="-2"/>
                <w:kern w:val="0"/>
                <w:position w:val="11"/>
                <w:sz w:val="21"/>
                <w:szCs w:val="21"/>
                <w:highlight w:val="none"/>
              </w:rPr>
              <w:t>b</w:t>
            </w:r>
            <w:r>
              <w:rPr>
                <w:rFonts w:hint="default" w:ascii="Times New Roman" w:hAnsi="Times New Roman" w:cs="Times New Roman"/>
                <w:color w:val="auto"/>
                <w:spacing w:val="-2"/>
                <w:kern w:val="0"/>
                <w:sz w:val="21"/>
                <w:szCs w:val="21"/>
                <w:highlight w:val="none"/>
              </w:rPr>
              <w:t>（不含城镇燃气管线）</w:t>
            </w:r>
          </w:p>
        </w:tc>
        <w:tc>
          <w:tcPr>
            <w:tcW w:w="616" w:type="pct"/>
            <w:tcBorders>
              <w:tl2br w:val="nil"/>
              <w:tr2bl w:val="nil"/>
            </w:tcBorders>
            <w:vAlign w:val="center"/>
          </w:tcPr>
          <w:p w14:paraId="11096D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r>
      <w:tr w14:paraId="4641C2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tcBorders>
              <w:tl2br w:val="nil"/>
              <w:tr2bl w:val="nil"/>
            </w:tcBorders>
            <w:vAlign w:val="center"/>
          </w:tcPr>
          <w:p w14:paraId="767AD3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其他</w:t>
            </w:r>
          </w:p>
        </w:tc>
        <w:tc>
          <w:tcPr>
            <w:tcW w:w="3398" w:type="pct"/>
            <w:tcBorders>
              <w:tl2br w:val="nil"/>
              <w:tr2bl w:val="nil"/>
            </w:tcBorders>
            <w:vAlign w:val="center"/>
          </w:tcPr>
          <w:p w14:paraId="319054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涉及危险物质使用、贮存的项目</w:t>
            </w:r>
          </w:p>
        </w:tc>
        <w:tc>
          <w:tcPr>
            <w:tcW w:w="616" w:type="pct"/>
            <w:tcBorders>
              <w:tl2br w:val="nil"/>
              <w:tr2bl w:val="nil"/>
            </w:tcBorders>
            <w:vAlign w:val="center"/>
          </w:tcPr>
          <w:p w14:paraId="701347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r>
      <w:tr w14:paraId="09EC9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000" w:type="pct"/>
            <w:gridSpan w:val="3"/>
            <w:tcBorders>
              <w:tl2br w:val="nil"/>
              <w:tr2bl w:val="nil"/>
            </w:tcBorders>
          </w:tcPr>
          <w:p w14:paraId="1467CF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color w:val="auto"/>
                <w:kern w:val="0"/>
                <w:sz w:val="21"/>
                <w:szCs w:val="21"/>
                <w:highlight w:val="none"/>
              </w:rPr>
              <w:t>a</w:t>
            </w:r>
            <w:r>
              <w:rPr>
                <w:rFonts w:hint="default" w:ascii="Times New Roman" w:hAnsi="Times New Roman" w:cs="Times New Roman"/>
                <w:color w:val="auto"/>
                <w:spacing w:val="-5"/>
                <w:kern w:val="0"/>
                <w:sz w:val="21"/>
                <w:szCs w:val="21"/>
                <w:highlight w:val="none"/>
              </w:rPr>
              <w:t xml:space="preserve"> </w:t>
            </w:r>
            <w:r>
              <w:rPr>
                <w:rFonts w:hint="default" w:ascii="Times New Roman" w:hAnsi="Times New Roman" w:cs="Times New Roman"/>
                <w:color w:val="auto"/>
                <w:spacing w:val="-2"/>
                <w:kern w:val="0"/>
                <w:sz w:val="21"/>
                <w:szCs w:val="21"/>
                <w:highlight w:val="none"/>
              </w:rPr>
              <w:t>高温指工艺温度≥300℃，高压指压力容器的设计压力（</w:t>
            </w:r>
            <w:r>
              <w:rPr>
                <w:rFonts w:hint="default" w:ascii="Times New Roman" w:hAnsi="Times New Roman" w:cs="Times New Roman"/>
                <w:i/>
                <w:color w:val="auto"/>
                <w:spacing w:val="-3"/>
                <w:kern w:val="0"/>
                <w:sz w:val="21"/>
                <w:szCs w:val="21"/>
                <w:highlight w:val="none"/>
              </w:rPr>
              <w:t>P</w:t>
            </w:r>
            <w:r>
              <w:rPr>
                <w:rFonts w:hint="default" w:ascii="Times New Roman" w:hAnsi="Times New Roman" w:cs="Times New Roman"/>
                <w:color w:val="auto"/>
                <w:spacing w:val="-2"/>
                <w:kern w:val="0"/>
                <w:sz w:val="21"/>
                <w:szCs w:val="21"/>
                <w:highlight w:val="none"/>
              </w:rPr>
              <w:t>）≥10.0MPa；</w:t>
            </w:r>
          </w:p>
          <w:p w14:paraId="64DAC2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pacing w:val="-2"/>
                <w:kern w:val="0"/>
                <w:sz w:val="21"/>
                <w:szCs w:val="21"/>
                <w:highlight w:val="none"/>
              </w:rPr>
              <w:t>b 长输管道运输项目应按站场、管线分段进行评价。</w:t>
            </w:r>
          </w:p>
        </w:tc>
      </w:tr>
    </w:tbl>
    <w:p w14:paraId="2A00E886">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eastAsia"/>
          <w:color w:val="auto"/>
          <w:sz w:val="24"/>
          <w:szCs w:val="24"/>
          <w:highlight w:val="none"/>
        </w:rPr>
        <w:t>属于有色金属冶炼行业，项目</w:t>
      </w:r>
      <w:r>
        <w:rPr>
          <w:rFonts w:hint="default" w:ascii="Times New Roman" w:hAnsi="Times New Roman" w:cs="Times New Roman"/>
          <w:color w:val="auto"/>
          <w:sz w:val="24"/>
          <w:szCs w:val="24"/>
          <w:highlight w:val="none"/>
        </w:rPr>
        <w:t>涉及危险物质贮存罐区，M分值为5，以M4表示。</w:t>
      </w:r>
    </w:p>
    <w:p w14:paraId="028E87CD">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w:t>
      </w:r>
      <w:r>
        <w:rPr>
          <w:rFonts w:hint="eastAsia" w:ascii="Times New Roman" w:hAnsi="Times New Roman" w:cs="Times New Roman"/>
          <w:snapToGrid w:val="0"/>
          <w:color w:val="auto"/>
          <w:kern w:val="0"/>
          <w:sz w:val="24"/>
          <w:szCs w:val="24"/>
          <w:highlight w:val="none"/>
          <w:lang w:val="en-US" w:eastAsia="zh-CN"/>
        </w:rPr>
        <w:t>3</w:t>
      </w:r>
      <w:r>
        <w:rPr>
          <w:rFonts w:hint="default" w:ascii="Times New Roman" w:hAnsi="Times New Roman" w:cs="Times New Roman"/>
          <w:snapToGrid w:val="0"/>
          <w:color w:val="auto"/>
          <w:kern w:val="0"/>
          <w:sz w:val="24"/>
          <w:szCs w:val="24"/>
          <w:highlight w:val="none"/>
        </w:rPr>
        <w:t>）危险物质及工艺系统危险性（P）</w:t>
      </w:r>
    </w:p>
    <w:p w14:paraId="70354668">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snapToGrid w:val="0"/>
          <w:color w:val="auto"/>
          <w:sz w:val="24"/>
          <w:szCs w:val="24"/>
          <w:highlight w:val="none"/>
          <w:lang w:bidi="ar"/>
        </w:rPr>
      </w:pPr>
      <w:r>
        <w:rPr>
          <w:rFonts w:hint="default" w:ascii="Times New Roman" w:hAnsi="Times New Roman" w:cs="Times New Roman"/>
          <w:snapToGrid w:val="0"/>
          <w:color w:val="auto"/>
          <w:kern w:val="0"/>
          <w:sz w:val="24"/>
          <w:szCs w:val="24"/>
          <w:highlight w:val="none"/>
        </w:rPr>
        <w:t>建设项目的危险物质及工艺系统危险性等级</w:t>
      </w:r>
      <w:r>
        <w:rPr>
          <w:rFonts w:hint="default" w:ascii="Times New Roman" w:hAnsi="Times New Roman" w:cs="Times New Roman"/>
          <w:snapToGrid w:val="0"/>
          <w:color w:val="auto"/>
          <w:sz w:val="24"/>
          <w:szCs w:val="24"/>
          <w:highlight w:val="none"/>
          <w:lang w:bidi="ar"/>
        </w:rPr>
        <w:t>（P）的判断见下表，分别以P1、P2</w:t>
      </w:r>
      <w:r>
        <w:rPr>
          <w:rFonts w:hint="default" w:ascii="Times New Roman" w:hAnsi="Times New Roman" w:cs="Times New Roman"/>
          <w:snapToGrid w:val="0"/>
          <w:color w:val="auto"/>
          <w:kern w:val="0"/>
          <w:sz w:val="24"/>
          <w:szCs w:val="24"/>
          <w:highlight w:val="none"/>
        </w:rPr>
        <w:t>、</w:t>
      </w:r>
      <w:r>
        <w:rPr>
          <w:rFonts w:hint="default" w:ascii="Times New Roman" w:hAnsi="Times New Roman" w:cs="Times New Roman"/>
          <w:snapToGrid w:val="0"/>
          <w:color w:val="auto"/>
          <w:sz w:val="24"/>
          <w:szCs w:val="24"/>
          <w:highlight w:val="none"/>
          <w:lang w:bidi="ar"/>
        </w:rPr>
        <w:t>P3、P4表示。</w:t>
      </w:r>
    </w:p>
    <w:p w14:paraId="200DD6A3">
      <w:pPr>
        <w:keepNext w:val="0"/>
        <w:keepLines w:val="0"/>
        <w:pageBreakBefore w:val="0"/>
        <w:widowControl w:val="0"/>
        <w:tabs>
          <w:tab w:val="left" w:pos="0"/>
          <w:tab w:val="left" w:pos="99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表</w:t>
      </w:r>
      <w:r>
        <w:rPr>
          <w:rFonts w:hint="eastAsia" w:cs="Times New Roman"/>
          <w:b/>
          <w:color w:val="auto"/>
          <w:sz w:val="21"/>
          <w:szCs w:val="21"/>
          <w:highlight w:val="none"/>
          <w:lang w:val="en-US" w:eastAsia="zh-CN" w:bidi="ar"/>
        </w:rPr>
        <w:t>5.8-4</w:t>
      </w:r>
      <w:r>
        <w:rPr>
          <w:rFonts w:hint="default" w:ascii="Times New Roman" w:hAnsi="Times New Roman" w:cs="Times New Roman"/>
          <w:b/>
          <w:color w:val="auto"/>
          <w:sz w:val="21"/>
          <w:szCs w:val="21"/>
          <w:highlight w:val="none"/>
          <w:lang w:bidi="ar"/>
        </w:rPr>
        <w:t xml:space="preserve">    危险物质及工艺系统危险性等级判断（P）</w:t>
      </w:r>
    </w:p>
    <w:tbl>
      <w:tblPr>
        <w:tblStyle w:val="3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1604"/>
        <w:gridCol w:w="1604"/>
        <w:gridCol w:w="1604"/>
        <w:gridCol w:w="1614"/>
      </w:tblGrid>
      <w:tr w14:paraId="29DB4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trPr>
        <w:tc>
          <w:tcPr>
            <w:tcW w:w="1337" w:type="pct"/>
            <w:vMerge w:val="restart"/>
            <w:tcBorders>
              <w:tl2br w:val="nil"/>
              <w:tr2bl w:val="nil"/>
            </w:tcBorders>
            <w:vAlign w:val="center"/>
          </w:tcPr>
          <w:p w14:paraId="0DB70A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危险物质数量与临界量比值（Q）</w:t>
            </w:r>
          </w:p>
        </w:tc>
        <w:tc>
          <w:tcPr>
            <w:tcW w:w="3662" w:type="pct"/>
            <w:gridSpan w:val="4"/>
            <w:tcBorders>
              <w:tl2br w:val="nil"/>
              <w:tr2bl w:val="nil"/>
            </w:tcBorders>
            <w:vAlign w:val="center"/>
          </w:tcPr>
          <w:p w14:paraId="14050D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行业及生产工艺（M）</w:t>
            </w:r>
          </w:p>
        </w:tc>
      </w:tr>
      <w:tr w14:paraId="5CE2A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trPr>
        <w:tc>
          <w:tcPr>
            <w:tcW w:w="1337" w:type="pct"/>
            <w:vMerge w:val="continue"/>
            <w:tcBorders>
              <w:tl2br w:val="nil"/>
              <w:tr2bl w:val="nil"/>
            </w:tcBorders>
            <w:vAlign w:val="center"/>
          </w:tcPr>
          <w:p w14:paraId="012980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p>
        </w:tc>
        <w:tc>
          <w:tcPr>
            <w:tcW w:w="914" w:type="pct"/>
            <w:tcBorders>
              <w:tl2br w:val="nil"/>
              <w:tr2bl w:val="nil"/>
            </w:tcBorders>
            <w:vAlign w:val="center"/>
          </w:tcPr>
          <w:p w14:paraId="135D88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M1</w:t>
            </w:r>
          </w:p>
        </w:tc>
        <w:tc>
          <w:tcPr>
            <w:tcW w:w="914" w:type="pct"/>
            <w:tcBorders>
              <w:tl2br w:val="nil"/>
              <w:tr2bl w:val="nil"/>
            </w:tcBorders>
            <w:vAlign w:val="center"/>
          </w:tcPr>
          <w:p w14:paraId="5C513C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M2</w:t>
            </w:r>
          </w:p>
        </w:tc>
        <w:tc>
          <w:tcPr>
            <w:tcW w:w="914" w:type="pct"/>
            <w:tcBorders>
              <w:tl2br w:val="nil"/>
              <w:tr2bl w:val="nil"/>
            </w:tcBorders>
            <w:vAlign w:val="center"/>
          </w:tcPr>
          <w:p w14:paraId="43FFEF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M3</w:t>
            </w:r>
          </w:p>
        </w:tc>
        <w:tc>
          <w:tcPr>
            <w:tcW w:w="917" w:type="pct"/>
            <w:tcBorders>
              <w:tl2br w:val="nil"/>
              <w:tr2bl w:val="nil"/>
            </w:tcBorders>
            <w:vAlign w:val="center"/>
          </w:tcPr>
          <w:p w14:paraId="1B9DC3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M4</w:t>
            </w:r>
          </w:p>
        </w:tc>
      </w:tr>
      <w:tr w14:paraId="02FD7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37" w:type="pct"/>
            <w:tcBorders>
              <w:tl2br w:val="nil"/>
              <w:tr2bl w:val="nil"/>
            </w:tcBorders>
            <w:vAlign w:val="center"/>
          </w:tcPr>
          <w:p w14:paraId="666681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Q≥100</w:t>
            </w:r>
          </w:p>
        </w:tc>
        <w:tc>
          <w:tcPr>
            <w:tcW w:w="914" w:type="pct"/>
            <w:tcBorders>
              <w:tl2br w:val="nil"/>
              <w:tr2bl w:val="nil"/>
            </w:tcBorders>
            <w:vAlign w:val="center"/>
          </w:tcPr>
          <w:p w14:paraId="099D5C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P1</w:t>
            </w:r>
          </w:p>
        </w:tc>
        <w:tc>
          <w:tcPr>
            <w:tcW w:w="914" w:type="pct"/>
            <w:tcBorders>
              <w:tl2br w:val="nil"/>
              <w:tr2bl w:val="nil"/>
            </w:tcBorders>
            <w:vAlign w:val="center"/>
          </w:tcPr>
          <w:p w14:paraId="060C78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P1</w:t>
            </w:r>
          </w:p>
        </w:tc>
        <w:tc>
          <w:tcPr>
            <w:tcW w:w="914" w:type="pct"/>
            <w:tcBorders>
              <w:tl2br w:val="nil"/>
              <w:tr2bl w:val="nil"/>
            </w:tcBorders>
            <w:shd w:val="clear" w:color="auto" w:fill="auto"/>
            <w:vAlign w:val="center"/>
          </w:tcPr>
          <w:p w14:paraId="73F47F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P2</w:t>
            </w:r>
          </w:p>
        </w:tc>
        <w:tc>
          <w:tcPr>
            <w:tcW w:w="917" w:type="pct"/>
            <w:tcBorders>
              <w:tl2br w:val="nil"/>
              <w:tr2bl w:val="nil"/>
            </w:tcBorders>
            <w:vAlign w:val="center"/>
          </w:tcPr>
          <w:p w14:paraId="123046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P3</w:t>
            </w:r>
          </w:p>
        </w:tc>
      </w:tr>
      <w:tr w14:paraId="14DDD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37" w:type="pct"/>
            <w:tcBorders>
              <w:tl2br w:val="nil"/>
              <w:tr2bl w:val="nil"/>
            </w:tcBorders>
            <w:shd w:val="clear" w:color="auto" w:fill="auto"/>
            <w:vAlign w:val="center"/>
          </w:tcPr>
          <w:p w14:paraId="2191BB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10≤Q</w:t>
            </w:r>
            <w:r>
              <w:rPr>
                <w:rFonts w:hint="default" w:ascii="Times New Roman" w:hAnsi="Times New Roman" w:cs="Times New Roman"/>
                <w:color w:val="auto"/>
                <w:sz w:val="21"/>
                <w:szCs w:val="21"/>
                <w:highlight w:val="none"/>
                <w:lang w:eastAsia="zh-CN" w:bidi="ar"/>
              </w:rPr>
              <w:t>&lt;</w:t>
            </w:r>
            <w:r>
              <w:rPr>
                <w:rFonts w:hint="default" w:ascii="Times New Roman" w:hAnsi="Times New Roman" w:cs="Times New Roman"/>
                <w:color w:val="auto"/>
                <w:sz w:val="21"/>
                <w:szCs w:val="21"/>
                <w:highlight w:val="none"/>
                <w:lang w:bidi="ar"/>
              </w:rPr>
              <w:t>100</w:t>
            </w:r>
          </w:p>
        </w:tc>
        <w:tc>
          <w:tcPr>
            <w:tcW w:w="914" w:type="pct"/>
            <w:tcBorders>
              <w:tl2br w:val="nil"/>
              <w:tr2bl w:val="nil"/>
            </w:tcBorders>
            <w:shd w:val="clear" w:color="auto" w:fill="auto"/>
            <w:vAlign w:val="center"/>
          </w:tcPr>
          <w:p w14:paraId="6E64BE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P1</w:t>
            </w:r>
          </w:p>
        </w:tc>
        <w:tc>
          <w:tcPr>
            <w:tcW w:w="914" w:type="pct"/>
            <w:tcBorders>
              <w:tl2br w:val="nil"/>
              <w:tr2bl w:val="nil"/>
            </w:tcBorders>
            <w:shd w:val="clear" w:color="auto" w:fill="auto"/>
            <w:vAlign w:val="center"/>
          </w:tcPr>
          <w:p w14:paraId="2E62A4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P2</w:t>
            </w:r>
          </w:p>
        </w:tc>
        <w:tc>
          <w:tcPr>
            <w:tcW w:w="914" w:type="pct"/>
            <w:tcBorders>
              <w:tl2br w:val="nil"/>
              <w:tr2bl w:val="nil"/>
            </w:tcBorders>
            <w:shd w:val="clear" w:color="auto" w:fill="auto"/>
            <w:vAlign w:val="center"/>
          </w:tcPr>
          <w:p w14:paraId="21AC7F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P3</w:t>
            </w:r>
          </w:p>
        </w:tc>
        <w:tc>
          <w:tcPr>
            <w:tcW w:w="917" w:type="pct"/>
            <w:tcBorders>
              <w:tl2br w:val="nil"/>
              <w:tr2bl w:val="nil"/>
            </w:tcBorders>
            <w:shd w:val="clear" w:color="auto" w:fill="D7D7D7" w:themeFill="background1" w:themeFillShade="D8"/>
            <w:vAlign w:val="center"/>
          </w:tcPr>
          <w:p w14:paraId="2CB376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P4</w:t>
            </w:r>
          </w:p>
        </w:tc>
      </w:tr>
      <w:tr w14:paraId="371AE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7" w:type="pct"/>
            <w:tcBorders>
              <w:tl2br w:val="nil"/>
              <w:tr2bl w:val="nil"/>
            </w:tcBorders>
            <w:vAlign w:val="center"/>
          </w:tcPr>
          <w:p w14:paraId="6D5C6B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bidi="ar"/>
              </w:rPr>
              <w:t>1≤Q</w:t>
            </w:r>
            <w:r>
              <w:rPr>
                <w:rFonts w:hint="default" w:ascii="Times New Roman" w:hAnsi="Times New Roman" w:cs="Times New Roman"/>
                <w:bCs/>
                <w:color w:val="auto"/>
                <w:sz w:val="21"/>
                <w:szCs w:val="21"/>
                <w:highlight w:val="none"/>
                <w:lang w:eastAsia="zh-CN" w:bidi="ar"/>
              </w:rPr>
              <w:t>&lt;</w:t>
            </w:r>
            <w:r>
              <w:rPr>
                <w:rFonts w:hint="default" w:ascii="Times New Roman" w:hAnsi="Times New Roman" w:cs="Times New Roman"/>
                <w:bCs/>
                <w:color w:val="auto"/>
                <w:sz w:val="21"/>
                <w:szCs w:val="21"/>
                <w:highlight w:val="none"/>
                <w:lang w:bidi="ar"/>
              </w:rPr>
              <w:t>10</w:t>
            </w:r>
          </w:p>
        </w:tc>
        <w:tc>
          <w:tcPr>
            <w:tcW w:w="914" w:type="pct"/>
            <w:tcBorders>
              <w:tl2br w:val="nil"/>
              <w:tr2bl w:val="nil"/>
            </w:tcBorders>
            <w:vAlign w:val="center"/>
          </w:tcPr>
          <w:p w14:paraId="2F7736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P2</w:t>
            </w:r>
          </w:p>
        </w:tc>
        <w:tc>
          <w:tcPr>
            <w:tcW w:w="914" w:type="pct"/>
            <w:tcBorders>
              <w:tl2br w:val="nil"/>
              <w:tr2bl w:val="nil"/>
            </w:tcBorders>
            <w:vAlign w:val="center"/>
          </w:tcPr>
          <w:p w14:paraId="59757B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P3</w:t>
            </w:r>
          </w:p>
        </w:tc>
        <w:tc>
          <w:tcPr>
            <w:tcW w:w="914" w:type="pct"/>
            <w:tcBorders>
              <w:tl2br w:val="nil"/>
              <w:tr2bl w:val="nil"/>
            </w:tcBorders>
            <w:shd w:val="clear" w:color="auto" w:fill="auto"/>
            <w:vAlign w:val="center"/>
          </w:tcPr>
          <w:p w14:paraId="48FE2E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P4</w:t>
            </w:r>
          </w:p>
        </w:tc>
        <w:tc>
          <w:tcPr>
            <w:tcW w:w="917" w:type="pct"/>
            <w:tcBorders>
              <w:tl2br w:val="nil"/>
              <w:tr2bl w:val="nil"/>
            </w:tcBorders>
            <w:vAlign w:val="center"/>
          </w:tcPr>
          <w:p w14:paraId="575AE3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P4</w:t>
            </w:r>
          </w:p>
        </w:tc>
      </w:tr>
    </w:tbl>
    <w:p w14:paraId="6416E096">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本项</w:t>
      </w:r>
      <w:r>
        <w:rPr>
          <w:rFonts w:hint="default" w:ascii="Times New Roman" w:hAnsi="Times New Roman" w:cs="Times New Roman"/>
          <w:snapToGrid w:val="0"/>
          <w:color w:val="auto"/>
          <w:kern w:val="0"/>
          <w:sz w:val="24"/>
          <w:szCs w:val="24"/>
          <w:highlight w:val="none"/>
        </w:rPr>
        <w:t>目</w:t>
      </w:r>
      <w:r>
        <w:rPr>
          <w:rFonts w:hint="default" w:ascii="Times New Roman" w:hAnsi="Times New Roman" w:cs="Times New Roman"/>
          <w:color w:val="auto"/>
          <w:sz w:val="24"/>
          <w:szCs w:val="24"/>
          <w:highlight w:val="none"/>
          <w:lang w:bidi="ar"/>
        </w:rPr>
        <w:t>10≤Q</w:t>
      </w:r>
      <w:r>
        <w:rPr>
          <w:rFonts w:hint="default" w:ascii="Times New Roman" w:hAnsi="Times New Roman" w:cs="Times New Roman"/>
          <w:color w:val="auto"/>
          <w:sz w:val="24"/>
          <w:szCs w:val="24"/>
          <w:highlight w:val="none"/>
          <w:lang w:eastAsia="zh-CN" w:bidi="ar"/>
        </w:rPr>
        <w:t>&lt;</w:t>
      </w:r>
      <w:r>
        <w:rPr>
          <w:rFonts w:hint="default" w:ascii="Times New Roman" w:hAnsi="Times New Roman" w:cs="Times New Roman"/>
          <w:color w:val="auto"/>
          <w:sz w:val="24"/>
          <w:szCs w:val="24"/>
          <w:highlight w:val="none"/>
          <w:lang w:bidi="ar"/>
        </w:rPr>
        <w:t>100</w:t>
      </w:r>
      <w:r>
        <w:rPr>
          <w:rFonts w:hint="default" w:ascii="Times New Roman" w:hAnsi="Times New Roman" w:cs="Times New Roman"/>
          <w:snapToGrid w:val="0"/>
          <w:color w:val="auto"/>
          <w:kern w:val="0"/>
          <w:sz w:val="24"/>
          <w:szCs w:val="24"/>
          <w:highlight w:val="none"/>
        </w:rPr>
        <w:t>，M4，危</w:t>
      </w:r>
      <w:r>
        <w:rPr>
          <w:rFonts w:hint="default" w:ascii="Times New Roman" w:hAnsi="Times New Roman" w:cs="Times New Roman"/>
          <w:snapToGrid w:val="0"/>
          <w:color w:val="auto"/>
          <w:kern w:val="0"/>
          <w:szCs w:val="24"/>
          <w:highlight w:val="none"/>
        </w:rPr>
        <w:t>险物质及工艺系统危险性确定为P4。</w:t>
      </w:r>
    </w:p>
    <w:p w14:paraId="580F0EB1">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w:t>
      </w:r>
      <w:r>
        <w:rPr>
          <w:rFonts w:hint="eastAsia" w:ascii="Times New Roman" w:hAnsi="Times New Roman" w:cs="Times New Roman"/>
          <w:snapToGrid w:val="0"/>
          <w:color w:val="auto"/>
          <w:kern w:val="0"/>
          <w:szCs w:val="24"/>
          <w:highlight w:val="none"/>
          <w:lang w:val="en-US" w:eastAsia="zh-CN"/>
        </w:rPr>
        <w:t>4</w:t>
      </w:r>
      <w:r>
        <w:rPr>
          <w:rFonts w:hint="default" w:ascii="Times New Roman" w:hAnsi="Times New Roman" w:cs="Times New Roman"/>
          <w:snapToGrid w:val="0"/>
          <w:color w:val="auto"/>
          <w:kern w:val="0"/>
          <w:szCs w:val="24"/>
          <w:highlight w:val="none"/>
        </w:rPr>
        <w:t>）E的分级确定</w:t>
      </w:r>
    </w:p>
    <w:p w14:paraId="212E4306">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①大气环境</w:t>
      </w:r>
    </w:p>
    <w:p w14:paraId="74FD2D7D">
      <w:pPr>
        <w:pStyle w:val="243"/>
        <w:spacing w:line="360" w:lineRule="auto"/>
        <w:ind w:firstLine="480"/>
        <w:rPr>
          <w:rFonts w:hint="default" w:ascii="Times New Roman" w:hAnsi="Times New Roman" w:eastAsia="宋体" w:cs="Times New Roman"/>
          <w:caps w:val="0"/>
          <w:smallCaps w:val="0"/>
          <w:color w:val="auto"/>
          <w:sz w:val="24"/>
          <w:szCs w:val="24"/>
        </w:rPr>
      </w:pPr>
      <w:r>
        <w:rPr>
          <w:rFonts w:hint="default" w:ascii="Times New Roman" w:hAnsi="Times New Roman" w:eastAsia="宋体" w:cs="Times New Roman"/>
          <w:caps w:val="0"/>
          <w:smallCaps w:val="0"/>
          <w:color w:val="auto"/>
          <w:sz w:val="24"/>
          <w:szCs w:val="24"/>
        </w:rPr>
        <w:t>大气环境敏感程度（E）等级判定见下表。</w:t>
      </w:r>
    </w:p>
    <w:p w14:paraId="35323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表</w:t>
      </w:r>
      <w:r>
        <w:rPr>
          <w:rFonts w:hint="eastAsia" w:ascii="Times New Roman" w:hAnsi="Times New Roman" w:eastAsia="宋体" w:cs="Times New Roman"/>
          <w:b/>
          <w:bCs/>
          <w:caps w:val="0"/>
          <w:smallCaps w:val="0"/>
          <w:color w:val="auto"/>
          <w:sz w:val="21"/>
          <w:szCs w:val="21"/>
          <w:lang w:val="en-US" w:eastAsia="zh-CN"/>
        </w:rPr>
        <w:t>5.8-5</w:t>
      </w:r>
      <w:r>
        <w:rPr>
          <w:rFonts w:hint="default" w:ascii="Times New Roman" w:hAnsi="Times New Roman" w:eastAsia="宋体" w:cs="Times New Roman"/>
          <w:b/>
          <w:bCs/>
          <w:caps w:val="0"/>
          <w:smallCaps w:val="0"/>
          <w:color w:val="auto"/>
          <w:sz w:val="21"/>
          <w:szCs w:val="21"/>
        </w:rPr>
        <w:t xml:space="preserve">    大气环境敏感程度分级（E）</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7165"/>
      </w:tblGrid>
      <w:tr w14:paraId="0C77A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17" w:type="pct"/>
            <w:tcBorders>
              <w:tl2br w:val="nil"/>
              <w:tr2bl w:val="nil"/>
            </w:tcBorders>
            <w:noWrap w:val="0"/>
            <w:vAlign w:val="center"/>
          </w:tcPr>
          <w:p w14:paraId="7E0315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敏感程度类型</w:t>
            </w:r>
          </w:p>
        </w:tc>
        <w:tc>
          <w:tcPr>
            <w:tcW w:w="4082" w:type="pct"/>
            <w:tcBorders>
              <w:tl2br w:val="nil"/>
              <w:tr2bl w:val="nil"/>
            </w:tcBorders>
            <w:noWrap w:val="0"/>
            <w:vAlign w:val="center"/>
          </w:tcPr>
          <w:p w14:paraId="44C7A8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大气环境风险受体情况</w:t>
            </w:r>
          </w:p>
        </w:tc>
      </w:tr>
      <w:tr w14:paraId="029DE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7" w:type="pct"/>
            <w:tcBorders>
              <w:tl2br w:val="nil"/>
              <w:tr2bl w:val="nil"/>
            </w:tcBorders>
            <w:noWrap w:val="0"/>
            <w:vAlign w:val="center"/>
          </w:tcPr>
          <w:p w14:paraId="01BF8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4082" w:type="pct"/>
            <w:tcBorders>
              <w:tl2br w:val="nil"/>
              <w:tr2bl w:val="nil"/>
            </w:tcBorders>
            <w:noWrap w:val="0"/>
            <w:vAlign w:val="center"/>
          </w:tcPr>
          <w:p w14:paraId="5AB60A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企业周边5km范围内居住区、医疗卫生机构、文化教育机构、科研单位、行政机关、企事业单位、商场、公园等人口总数5万人以上，或企业周边500m范围内人口总数1000人以上；油气、化学品输送管线管段周边200m范围内，每千米管段人口数大于200人</w:t>
            </w:r>
          </w:p>
        </w:tc>
      </w:tr>
      <w:tr w14:paraId="10B52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7" w:type="pct"/>
            <w:tcBorders>
              <w:tl2br w:val="nil"/>
              <w:tr2bl w:val="nil"/>
            </w:tcBorders>
            <w:noWrap w:val="0"/>
            <w:vAlign w:val="center"/>
          </w:tcPr>
          <w:p w14:paraId="4F36C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2</w:t>
            </w:r>
          </w:p>
        </w:tc>
        <w:tc>
          <w:tcPr>
            <w:tcW w:w="4082" w:type="pct"/>
            <w:tcBorders>
              <w:tl2br w:val="nil"/>
              <w:tr2bl w:val="nil"/>
            </w:tcBorders>
            <w:noWrap w:val="0"/>
            <w:vAlign w:val="center"/>
          </w:tcPr>
          <w:p w14:paraId="43FABA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企业周边5km范围内居住区、医疗卫生机构、文化教育机构、科研单位、行政机关、企事业单位、商场、公园等人口总数1万人以上，5万人以下，或企业周边500m范围内人口总数500人以上，1000人以下；油气、化学品输送管线管段周边200m范围内，每千米管段人口数大于100人，小于200人</w:t>
            </w:r>
          </w:p>
        </w:tc>
      </w:tr>
      <w:tr w14:paraId="608D8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7" w:type="pct"/>
            <w:tcBorders>
              <w:tl2br w:val="nil"/>
              <w:tr2bl w:val="nil"/>
            </w:tcBorders>
            <w:noWrap w:val="0"/>
            <w:vAlign w:val="center"/>
          </w:tcPr>
          <w:p w14:paraId="61FD35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3</w:t>
            </w:r>
          </w:p>
        </w:tc>
        <w:tc>
          <w:tcPr>
            <w:tcW w:w="4082" w:type="pct"/>
            <w:tcBorders>
              <w:tl2br w:val="nil"/>
              <w:tr2bl w:val="nil"/>
            </w:tcBorders>
            <w:noWrap w:val="0"/>
            <w:vAlign w:val="center"/>
          </w:tcPr>
          <w:p w14:paraId="17E77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14:paraId="4CD7F70F">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本项目的事故情形涉及危险物质泄漏，危险物质向环境转移的途径为大气扩散对大气环境的影响。根据统计，本项目周边5km范围内居住区、医疗卫生、文化教育、科研、行政办公等机构人口总数为</w:t>
      </w:r>
      <w:r>
        <w:rPr>
          <w:rFonts w:hint="default" w:ascii="Times New Roman" w:hAnsi="Times New Roman" w:cs="Times New Roman"/>
          <w:snapToGrid w:val="0"/>
          <w:color w:val="auto"/>
          <w:kern w:val="0"/>
          <w:szCs w:val="24"/>
          <w:highlight w:val="none"/>
          <w:lang w:val="en-US" w:eastAsia="zh-CN"/>
        </w:rPr>
        <w:t>383</w:t>
      </w:r>
      <w:r>
        <w:rPr>
          <w:rFonts w:hint="default" w:ascii="Times New Roman" w:hAnsi="Times New Roman" w:cs="Times New Roman"/>
          <w:snapToGrid w:val="0"/>
          <w:color w:val="auto"/>
          <w:kern w:val="0"/>
          <w:szCs w:val="24"/>
          <w:highlight w:val="none"/>
        </w:rPr>
        <w:t>人，</w:t>
      </w:r>
      <w:r>
        <w:rPr>
          <w:rFonts w:hint="default" w:ascii="Times New Roman" w:hAnsi="Times New Roman" w:cs="Times New Roman"/>
          <w:snapToGrid w:val="0"/>
          <w:color w:val="auto"/>
          <w:kern w:val="0"/>
          <w:szCs w:val="24"/>
          <w:highlight w:val="none"/>
          <w:lang w:val="en-US" w:eastAsia="zh-CN"/>
        </w:rPr>
        <w:t>小</w:t>
      </w:r>
      <w:r>
        <w:rPr>
          <w:rFonts w:hint="default" w:ascii="Times New Roman" w:hAnsi="Times New Roman" w:cs="Times New Roman"/>
          <w:snapToGrid w:val="0"/>
          <w:color w:val="auto"/>
          <w:kern w:val="0"/>
          <w:szCs w:val="24"/>
          <w:highlight w:val="none"/>
        </w:rPr>
        <w:t>于1万人，且周边500m范围内人口总数为</w:t>
      </w:r>
      <w:r>
        <w:rPr>
          <w:rFonts w:hint="default" w:ascii="Times New Roman" w:hAnsi="Times New Roman" w:cs="Times New Roman"/>
          <w:snapToGrid w:val="0"/>
          <w:color w:val="auto"/>
          <w:kern w:val="0"/>
          <w:szCs w:val="24"/>
          <w:highlight w:val="none"/>
          <w:lang w:val="en-US" w:eastAsia="zh-CN"/>
        </w:rPr>
        <w:t>30</w:t>
      </w:r>
      <w:r>
        <w:rPr>
          <w:rFonts w:hint="default" w:ascii="Times New Roman" w:hAnsi="Times New Roman" w:cs="Times New Roman"/>
          <w:snapToGrid w:val="0"/>
          <w:color w:val="auto"/>
          <w:kern w:val="0"/>
          <w:szCs w:val="24"/>
          <w:highlight w:val="none"/>
        </w:rPr>
        <w:t>人，</w:t>
      </w:r>
      <w:r>
        <w:rPr>
          <w:rFonts w:hint="default" w:ascii="Times New Roman" w:hAnsi="Times New Roman" w:cs="Times New Roman"/>
          <w:snapToGrid w:val="0"/>
          <w:color w:val="auto"/>
          <w:kern w:val="0"/>
          <w:szCs w:val="24"/>
          <w:highlight w:val="none"/>
          <w:lang w:val="en-US" w:eastAsia="zh-CN"/>
        </w:rPr>
        <w:t>小于</w:t>
      </w:r>
      <w:r>
        <w:rPr>
          <w:rFonts w:hint="default" w:ascii="Times New Roman" w:hAnsi="Times New Roman" w:cs="Times New Roman"/>
          <w:snapToGrid w:val="0"/>
          <w:color w:val="auto"/>
          <w:kern w:val="0"/>
          <w:szCs w:val="24"/>
          <w:highlight w:val="none"/>
        </w:rPr>
        <w:t>500人，确定大气环境敏感性为E</w:t>
      </w:r>
      <w:r>
        <w:rPr>
          <w:rFonts w:hint="default" w:ascii="Times New Roman" w:hAnsi="Times New Roman" w:cs="Times New Roman"/>
          <w:snapToGrid w:val="0"/>
          <w:color w:val="auto"/>
          <w:kern w:val="0"/>
          <w:szCs w:val="24"/>
          <w:highlight w:val="none"/>
          <w:lang w:val="en-US" w:eastAsia="zh-CN"/>
        </w:rPr>
        <w:t>3</w:t>
      </w:r>
      <w:r>
        <w:rPr>
          <w:rFonts w:hint="default" w:ascii="Times New Roman" w:hAnsi="Times New Roman" w:cs="Times New Roman"/>
          <w:snapToGrid w:val="0"/>
          <w:color w:val="auto"/>
          <w:kern w:val="0"/>
          <w:szCs w:val="24"/>
          <w:highlight w:val="none"/>
        </w:rPr>
        <w:t>。</w:t>
      </w:r>
    </w:p>
    <w:p w14:paraId="0656008C">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②地表水环境</w:t>
      </w:r>
    </w:p>
    <w:p w14:paraId="4ACCD114">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本项目的事故情形涉及危险物质</w:t>
      </w:r>
      <w:r>
        <w:rPr>
          <w:rFonts w:hint="default" w:ascii="Times New Roman" w:hAnsi="Times New Roman" w:cs="Times New Roman"/>
          <w:snapToGrid w:val="0"/>
          <w:color w:val="auto"/>
          <w:kern w:val="0"/>
          <w:szCs w:val="24"/>
          <w:highlight w:val="none"/>
          <w:lang w:val="en-US" w:eastAsia="zh-CN"/>
        </w:rPr>
        <w:t>硫酸</w:t>
      </w:r>
      <w:r>
        <w:rPr>
          <w:rFonts w:hint="default" w:ascii="Times New Roman" w:hAnsi="Times New Roman" w:cs="Times New Roman"/>
          <w:snapToGrid w:val="0"/>
          <w:color w:val="auto"/>
          <w:kern w:val="0"/>
          <w:szCs w:val="24"/>
          <w:highlight w:val="none"/>
        </w:rPr>
        <w:t>、</w:t>
      </w:r>
      <w:r>
        <w:rPr>
          <w:rFonts w:hint="eastAsia" w:cs="Times New Roman"/>
          <w:snapToGrid w:val="0"/>
          <w:color w:val="auto"/>
          <w:kern w:val="0"/>
          <w:szCs w:val="24"/>
          <w:highlight w:val="none"/>
          <w:lang w:val="en-US" w:eastAsia="zh-CN"/>
        </w:rPr>
        <w:t>电积液及废机油</w:t>
      </w:r>
      <w:r>
        <w:rPr>
          <w:rFonts w:hint="default" w:ascii="Times New Roman" w:hAnsi="Times New Roman" w:cs="Times New Roman"/>
          <w:snapToGrid w:val="0"/>
          <w:color w:val="auto"/>
          <w:kern w:val="0"/>
          <w:szCs w:val="24"/>
          <w:highlight w:val="none"/>
        </w:rPr>
        <w:t>泄漏，向环境转移的途径为地表水扩散对地表水环境的影响。本项目与周边水体无水力联系。</w:t>
      </w:r>
    </w:p>
    <w:p w14:paraId="18854859">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本项目发生事故时，危险物质泄漏量较小，完全可通过建设单位的水体污染防控体系进行收集、处理，基本不会对水体产生影响，也不涉及地表水环境风险受体/敏感保护目标。</w:t>
      </w:r>
    </w:p>
    <w:p w14:paraId="1A41FB06">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③地下水环境</w:t>
      </w:r>
    </w:p>
    <w:p w14:paraId="48E9EF1B">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项目区周围无集中式饮用水水源准</w:t>
      </w:r>
      <w:r>
        <w:rPr>
          <w:rFonts w:hint="eastAsia" w:cs="Times New Roman"/>
          <w:snapToGrid w:val="0"/>
          <w:color w:val="auto"/>
          <w:kern w:val="0"/>
          <w:szCs w:val="24"/>
          <w:highlight w:val="none"/>
          <w:lang w:eastAsia="zh-CN"/>
        </w:rPr>
        <w:t>保护</w:t>
      </w:r>
      <w:r>
        <w:rPr>
          <w:rFonts w:hint="default" w:ascii="Times New Roman" w:hAnsi="Times New Roman" w:cs="Times New Roman"/>
          <w:snapToGrid w:val="0"/>
          <w:color w:val="auto"/>
          <w:kern w:val="0"/>
          <w:szCs w:val="24"/>
          <w:highlight w:val="none"/>
        </w:rPr>
        <w:t>区及以外的补径流区、未划定准保护区的集中式饮用水</w:t>
      </w:r>
      <w:r>
        <w:rPr>
          <w:rFonts w:hint="eastAsia" w:cs="Times New Roman"/>
          <w:snapToGrid w:val="0"/>
          <w:color w:val="auto"/>
          <w:kern w:val="0"/>
          <w:szCs w:val="24"/>
          <w:highlight w:val="none"/>
          <w:lang w:eastAsia="zh-CN"/>
        </w:rPr>
        <w:t>水源</w:t>
      </w:r>
      <w:r>
        <w:rPr>
          <w:rFonts w:hint="default" w:ascii="Times New Roman" w:hAnsi="Times New Roman" w:cs="Times New Roman"/>
          <w:snapToGrid w:val="0"/>
          <w:color w:val="auto"/>
          <w:kern w:val="0"/>
          <w:szCs w:val="24"/>
          <w:highlight w:val="none"/>
        </w:rPr>
        <w:t>保护区以外的补给径流区、分散式饮用水水源地、热水、矿泉水、温泉等特殊地下水资源保护区及以外的分布区，根据附录D中表2.5-3判定地下水功能敏感性为不敏感（G</w:t>
      </w:r>
      <w:r>
        <w:rPr>
          <w:rFonts w:hint="default" w:ascii="Times New Roman" w:hAnsi="Times New Roman" w:cs="Times New Roman"/>
          <w:snapToGrid w:val="0"/>
          <w:color w:val="auto"/>
          <w:kern w:val="0"/>
          <w:szCs w:val="24"/>
          <w:highlight w:val="none"/>
          <w:vertAlign w:val="subscript"/>
        </w:rPr>
        <w:t>3</w:t>
      </w:r>
      <w:r>
        <w:rPr>
          <w:rFonts w:hint="default" w:ascii="Times New Roman" w:hAnsi="Times New Roman" w:cs="Times New Roman"/>
          <w:snapToGrid w:val="0"/>
          <w:color w:val="auto"/>
          <w:kern w:val="0"/>
          <w:szCs w:val="24"/>
          <w:highlight w:val="none"/>
        </w:rPr>
        <w:t>）。项目所在区域包气带防污性能分级为D</w:t>
      </w:r>
      <w:r>
        <w:rPr>
          <w:rFonts w:hint="eastAsia" w:cs="Times New Roman"/>
          <w:snapToGrid w:val="0"/>
          <w:color w:val="auto"/>
          <w:kern w:val="0"/>
          <w:szCs w:val="24"/>
          <w:highlight w:val="none"/>
          <w:vertAlign w:val="subscript"/>
          <w:lang w:val="en-US" w:eastAsia="zh-CN"/>
        </w:rPr>
        <w:t>1</w:t>
      </w:r>
      <w:r>
        <w:rPr>
          <w:rFonts w:hint="default" w:ascii="Times New Roman" w:hAnsi="Times New Roman" w:cs="Times New Roman"/>
          <w:snapToGrid w:val="0"/>
          <w:color w:val="auto"/>
          <w:kern w:val="0"/>
          <w:szCs w:val="24"/>
          <w:highlight w:val="none"/>
        </w:rPr>
        <w:t>。</w:t>
      </w:r>
    </w:p>
    <w:p w14:paraId="2F800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表</w:t>
      </w:r>
      <w:r>
        <w:rPr>
          <w:rFonts w:hint="eastAsia" w:ascii="Times New Roman" w:hAnsi="Times New Roman" w:eastAsia="宋体" w:cs="Times New Roman"/>
          <w:b/>
          <w:bCs/>
          <w:caps w:val="0"/>
          <w:smallCaps w:val="0"/>
          <w:color w:val="auto"/>
          <w:sz w:val="21"/>
          <w:szCs w:val="21"/>
          <w:lang w:val="en-US" w:eastAsia="zh-CN"/>
        </w:rPr>
        <w:t>5.8-6</w:t>
      </w:r>
      <w:r>
        <w:rPr>
          <w:rFonts w:hint="default" w:ascii="Times New Roman" w:hAnsi="Times New Roman" w:eastAsia="宋体" w:cs="Times New Roman"/>
          <w:b/>
          <w:bCs/>
          <w:caps w:val="0"/>
          <w:smallCaps w:val="0"/>
          <w:color w:val="auto"/>
          <w:sz w:val="21"/>
          <w:szCs w:val="21"/>
        </w:rPr>
        <w:t xml:space="preserve">  地下水功能敏感性分区（G）</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7265"/>
      </w:tblGrid>
      <w:tr w14:paraId="62CC9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60" w:type="pct"/>
            <w:tcBorders>
              <w:tl2br w:val="nil"/>
              <w:tr2bl w:val="nil"/>
            </w:tcBorders>
            <w:noWrap w:val="0"/>
            <w:vAlign w:val="center"/>
          </w:tcPr>
          <w:p w14:paraId="6B35F1D4">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敏感性</w:t>
            </w:r>
          </w:p>
        </w:tc>
        <w:tc>
          <w:tcPr>
            <w:tcW w:w="4139" w:type="pct"/>
            <w:tcBorders>
              <w:tl2br w:val="nil"/>
              <w:tr2bl w:val="nil"/>
            </w:tcBorders>
            <w:noWrap w:val="0"/>
            <w:vAlign w:val="center"/>
          </w:tcPr>
          <w:p w14:paraId="474CA187">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地下水环境敏感特征</w:t>
            </w:r>
          </w:p>
        </w:tc>
      </w:tr>
      <w:tr w14:paraId="2CCA0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60" w:type="pct"/>
            <w:tcBorders>
              <w:tl2br w:val="nil"/>
              <w:tr2bl w:val="nil"/>
            </w:tcBorders>
            <w:noWrap w:val="0"/>
            <w:vAlign w:val="center"/>
          </w:tcPr>
          <w:p w14:paraId="7AD4F72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敏感G</w:t>
            </w:r>
            <w:r>
              <w:rPr>
                <w:rFonts w:hint="default" w:ascii="Times New Roman" w:hAnsi="Times New Roman" w:eastAsia="宋体" w:cs="Times New Roman"/>
                <w:caps w:val="0"/>
                <w:smallCaps w:val="0"/>
                <w:color w:val="auto"/>
                <w:sz w:val="21"/>
                <w:szCs w:val="21"/>
                <w:vertAlign w:val="subscript"/>
              </w:rPr>
              <w:t>1</w:t>
            </w:r>
          </w:p>
        </w:tc>
        <w:tc>
          <w:tcPr>
            <w:tcW w:w="4139" w:type="pct"/>
            <w:tcBorders>
              <w:tl2br w:val="nil"/>
              <w:tr2bl w:val="nil"/>
            </w:tcBorders>
            <w:noWrap w:val="0"/>
            <w:vAlign w:val="center"/>
          </w:tcPr>
          <w:p w14:paraId="03200B60">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08345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60" w:type="pct"/>
            <w:tcBorders>
              <w:tl2br w:val="nil"/>
              <w:tr2bl w:val="nil"/>
            </w:tcBorders>
            <w:noWrap w:val="0"/>
            <w:vAlign w:val="center"/>
          </w:tcPr>
          <w:p w14:paraId="23E0EAF8">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较敏感G</w:t>
            </w:r>
            <w:r>
              <w:rPr>
                <w:rFonts w:hint="default" w:ascii="Times New Roman" w:hAnsi="Times New Roman" w:eastAsia="宋体" w:cs="Times New Roman"/>
                <w:caps w:val="0"/>
                <w:smallCaps w:val="0"/>
                <w:color w:val="auto"/>
                <w:sz w:val="21"/>
                <w:szCs w:val="21"/>
                <w:vertAlign w:val="subscript"/>
              </w:rPr>
              <w:t>2</w:t>
            </w:r>
          </w:p>
        </w:tc>
        <w:tc>
          <w:tcPr>
            <w:tcW w:w="4139" w:type="pct"/>
            <w:tcBorders>
              <w:tl2br w:val="nil"/>
              <w:tr2bl w:val="nil"/>
            </w:tcBorders>
            <w:noWrap w:val="0"/>
            <w:vAlign w:val="center"/>
          </w:tcPr>
          <w:p w14:paraId="24F00B6F">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default" w:ascii="Times New Roman" w:hAnsi="Times New Roman" w:eastAsia="宋体" w:cs="Times New Roman"/>
                <w:caps w:val="0"/>
                <w:smallCaps w:val="0"/>
                <w:color w:val="auto"/>
                <w:sz w:val="21"/>
                <w:szCs w:val="21"/>
                <w:vertAlign w:val="superscript"/>
              </w:rPr>
              <w:t>a</w:t>
            </w:r>
          </w:p>
        </w:tc>
      </w:tr>
      <w:tr w14:paraId="7B56C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60" w:type="pct"/>
            <w:tcBorders>
              <w:tl2br w:val="nil"/>
              <w:tr2bl w:val="nil"/>
            </w:tcBorders>
            <w:noWrap w:val="0"/>
            <w:vAlign w:val="center"/>
          </w:tcPr>
          <w:p w14:paraId="50C1E76D">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低敏感G</w:t>
            </w:r>
            <w:r>
              <w:rPr>
                <w:rFonts w:hint="default" w:ascii="Times New Roman" w:hAnsi="Times New Roman" w:eastAsia="宋体" w:cs="Times New Roman"/>
                <w:caps w:val="0"/>
                <w:smallCaps w:val="0"/>
                <w:color w:val="auto"/>
                <w:sz w:val="21"/>
                <w:szCs w:val="21"/>
                <w:vertAlign w:val="subscript"/>
              </w:rPr>
              <w:t>3</w:t>
            </w:r>
          </w:p>
        </w:tc>
        <w:tc>
          <w:tcPr>
            <w:tcW w:w="4139" w:type="pct"/>
            <w:tcBorders>
              <w:tl2br w:val="nil"/>
              <w:tr2bl w:val="nil"/>
            </w:tcBorders>
            <w:noWrap w:val="0"/>
            <w:vAlign w:val="center"/>
          </w:tcPr>
          <w:p w14:paraId="1F83E7A3">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上述地区之外的其他地区</w:t>
            </w:r>
          </w:p>
        </w:tc>
      </w:tr>
      <w:tr w14:paraId="67B20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gridSpan w:val="2"/>
            <w:tcBorders>
              <w:tl2br w:val="nil"/>
              <w:tr2bl w:val="nil"/>
            </w:tcBorders>
            <w:noWrap w:val="0"/>
            <w:vAlign w:val="center"/>
          </w:tcPr>
          <w:p w14:paraId="4E638F72">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a“环境敏感区”是指《建设项目环境影响评价分类管理名录》中所界定的涉及地下水的环境敏感区</w:t>
            </w:r>
          </w:p>
        </w:tc>
      </w:tr>
    </w:tbl>
    <w:p w14:paraId="2EA32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表</w:t>
      </w:r>
      <w:r>
        <w:rPr>
          <w:rFonts w:hint="eastAsia" w:ascii="Times New Roman" w:hAnsi="Times New Roman" w:eastAsia="宋体" w:cs="Times New Roman"/>
          <w:b/>
          <w:bCs/>
          <w:caps w:val="0"/>
          <w:smallCaps w:val="0"/>
          <w:color w:val="auto"/>
          <w:sz w:val="21"/>
          <w:szCs w:val="21"/>
          <w:lang w:val="en-US" w:eastAsia="zh-CN"/>
        </w:rPr>
        <w:t>5.8-7</w:t>
      </w:r>
      <w:r>
        <w:rPr>
          <w:rFonts w:hint="default" w:ascii="Times New Roman" w:hAnsi="Times New Roman" w:eastAsia="宋体" w:cs="Times New Roman"/>
          <w:b/>
          <w:bCs/>
          <w:caps w:val="0"/>
          <w:smallCaps w:val="0"/>
          <w:color w:val="auto"/>
          <w:sz w:val="21"/>
          <w:szCs w:val="21"/>
        </w:rPr>
        <w:t xml:space="preserve"> 包气带防污性能分级</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7765"/>
      </w:tblGrid>
      <w:tr w14:paraId="19CA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5" w:type="pct"/>
            <w:tcBorders>
              <w:tl2br w:val="nil"/>
              <w:tr2bl w:val="nil"/>
            </w:tcBorders>
            <w:noWrap w:val="0"/>
            <w:vAlign w:val="center"/>
          </w:tcPr>
          <w:p w14:paraId="48BF499D">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分级</w:t>
            </w:r>
          </w:p>
        </w:tc>
        <w:tc>
          <w:tcPr>
            <w:tcW w:w="4424" w:type="pct"/>
            <w:tcBorders>
              <w:tl2br w:val="nil"/>
              <w:tr2bl w:val="nil"/>
            </w:tcBorders>
            <w:noWrap w:val="0"/>
            <w:vAlign w:val="center"/>
          </w:tcPr>
          <w:p w14:paraId="6815D899">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包气带岩土的渗透性能</w:t>
            </w:r>
          </w:p>
        </w:tc>
      </w:tr>
      <w:tr w14:paraId="2BB4D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5" w:type="pct"/>
            <w:tcBorders>
              <w:tl2br w:val="nil"/>
              <w:tr2bl w:val="nil"/>
            </w:tcBorders>
            <w:noWrap w:val="0"/>
            <w:vAlign w:val="center"/>
          </w:tcPr>
          <w:p w14:paraId="6CDD822D">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3</w:t>
            </w:r>
          </w:p>
        </w:tc>
        <w:tc>
          <w:tcPr>
            <w:tcW w:w="4424" w:type="pct"/>
            <w:tcBorders>
              <w:tl2br w:val="nil"/>
              <w:tr2bl w:val="nil"/>
            </w:tcBorders>
            <w:noWrap w:val="0"/>
            <w:vAlign w:val="center"/>
          </w:tcPr>
          <w:p w14:paraId="4F519B01">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M</w:t>
            </w:r>
            <w:r>
              <w:rPr>
                <w:rFonts w:hint="default" w:ascii="Times New Roman" w:hAnsi="Times New Roman" w:eastAsia="宋体" w:cs="Times New Roman"/>
                <w:caps w:val="0"/>
                <w:smallCaps w:val="0"/>
                <w:color w:val="auto"/>
                <w:sz w:val="21"/>
                <w:szCs w:val="21"/>
                <w:vertAlign w:val="subscript"/>
              </w:rPr>
              <w:t>b</w:t>
            </w:r>
            <w:r>
              <w:rPr>
                <w:rFonts w:hint="default" w:ascii="Times New Roman" w:hAnsi="Times New Roman" w:eastAsia="宋体" w:cs="Times New Roman"/>
                <w:caps w:val="0"/>
                <w:smallCaps w:val="0"/>
                <w:color w:val="auto"/>
                <w:sz w:val="21"/>
                <w:szCs w:val="21"/>
              </w:rPr>
              <w:t>≥1.0m，K≤1.0×10</w:t>
            </w:r>
            <w:r>
              <w:rPr>
                <w:rFonts w:hint="eastAsia" w:ascii="Times New Roman" w:hAnsi="Times New Roman" w:eastAsia="宋体" w:cs="Times New Roman"/>
                <w:caps w:val="0"/>
                <w:smallCaps w:val="0"/>
                <w:color w:val="auto"/>
                <w:sz w:val="21"/>
                <w:szCs w:val="21"/>
                <w:vertAlign w:val="superscript"/>
                <w:lang w:val="en-US" w:eastAsia="zh-CN"/>
              </w:rPr>
              <w:t>-</w:t>
            </w:r>
            <w:r>
              <w:rPr>
                <w:rFonts w:hint="default" w:ascii="Times New Roman" w:hAnsi="Times New Roman" w:eastAsia="宋体" w:cs="Times New Roman"/>
                <w:caps w:val="0"/>
                <w:smallCaps w:val="0"/>
                <w:color w:val="auto"/>
                <w:sz w:val="21"/>
                <w:szCs w:val="21"/>
                <w:vertAlign w:val="superscript"/>
              </w:rPr>
              <w:t>6</w:t>
            </w:r>
            <w:r>
              <w:rPr>
                <w:rFonts w:hint="default" w:ascii="Times New Roman" w:hAnsi="Times New Roman" w:eastAsia="宋体" w:cs="Times New Roman"/>
                <w:caps w:val="0"/>
                <w:smallCaps w:val="0"/>
                <w:color w:val="auto"/>
                <w:sz w:val="21"/>
                <w:szCs w:val="21"/>
              </w:rPr>
              <w:t>cm/s，且分布连续、稳定</w:t>
            </w:r>
          </w:p>
        </w:tc>
      </w:tr>
      <w:tr w14:paraId="195D6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5" w:type="pct"/>
            <w:tcBorders>
              <w:tl2br w:val="nil"/>
              <w:tr2bl w:val="nil"/>
            </w:tcBorders>
            <w:noWrap w:val="0"/>
            <w:vAlign w:val="center"/>
          </w:tcPr>
          <w:p w14:paraId="0DCD4D5E">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2</w:t>
            </w:r>
          </w:p>
        </w:tc>
        <w:tc>
          <w:tcPr>
            <w:tcW w:w="4424" w:type="pct"/>
            <w:tcBorders>
              <w:tl2br w:val="nil"/>
              <w:tr2bl w:val="nil"/>
            </w:tcBorders>
            <w:noWrap w:val="0"/>
            <w:vAlign w:val="center"/>
          </w:tcPr>
          <w:p w14:paraId="5AAE738B">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0.5m≤M</w:t>
            </w:r>
            <w:r>
              <w:rPr>
                <w:rFonts w:hint="default" w:ascii="Times New Roman" w:hAnsi="Times New Roman" w:eastAsia="宋体" w:cs="Times New Roman"/>
                <w:caps w:val="0"/>
                <w:smallCaps w:val="0"/>
                <w:color w:val="auto"/>
                <w:sz w:val="21"/>
                <w:szCs w:val="21"/>
                <w:vertAlign w:val="subscript"/>
              </w:rPr>
              <w:t>b</w:t>
            </w:r>
            <w:r>
              <w:rPr>
                <w:rFonts w:hint="default" w:ascii="Times New Roman" w:hAnsi="Times New Roman" w:eastAsia="宋体" w:cs="Times New Roman"/>
                <w:caps w:val="0"/>
                <w:smallCaps w:val="0"/>
                <w:color w:val="auto"/>
                <w:sz w:val="21"/>
                <w:szCs w:val="21"/>
              </w:rPr>
              <w:t>&lt;1.0m，K≤1.0×10</w:t>
            </w:r>
            <w:r>
              <w:rPr>
                <w:rFonts w:hint="eastAsia" w:ascii="Times New Roman" w:hAnsi="Times New Roman" w:eastAsia="宋体" w:cs="Times New Roman"/>
                <w:caps w:val="0"/>
                <w:smallCaps w:val="0"/>
                <w:color w:val="auto"/>
                <w:sz w:val="21"/>
                <w:szCs w:val="21"/>
                <w:vertAlign w:val="superscript"/>
                <w:lang w:val="en-US" w:eastAsia="zh-CN"/>
              </w:rPr>
              <w:t>-</w:t>
            </w:r>
            <w:r>
              <w:rPr>
                <w:rFonts w:hint="default" w:ascii="Times New Roman" w:hAnsi="Times New Roman" w:eastAsia="宋体" w:cs="Times New Roman"/>
                <w:caps w:val="0"/>
                <w:smallCaps w:val="0"/>
                <w:color w:val="auto"/>
                <w:sz w:val="21"/>
                <w:szCs w:val="21"/>
                <w:vertAlign w:val="superscript"/>
              </w:rPr>
              <w:t>66</w:t>
            </w:r>
            <w:r>
              <w:rPr>
                <w:rFonts w:hint="default" w:ascii="Times New Roman" w:hAnsi="Times New Roman" w:eastAsia="宋体" w:cs="Times New Roman"/>
                <w:caps w:val="0"/>
                <w:smallCaps w:val="0"/>
                <w:color w:val="auto"/>
                <w:sz w:val="21"/>
                <w:szCs w:val="21"/>
              </w:rPr>
              <w:t>cm/s，且分布连续、稳定</w:t>
            </w:r>
          </w:p>
          <w:p w14:paraId="66F1116A">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M</w:t>
            </w:r>
            <w:r>
              <w:rPr>
                <w:rFonts w:hint="default" w:ascii="Times New Roman" w:hAnsi="Times New Roman" w:eastAsia="宋体" w:cs="Times New Roman"/>
                <w:caps w:val="0"/>
                <w:smallCaps w:val="0"/>
                <w:color w:val="auto"/>
                <w:sz w:val="21"/>
                <w:szCs w:val="21"/>
                <w:vertAlign w:val="subscript"/>
              </w:rPr>
              <w:t>b</w:t>
            </w:r>
            <w:r>
              <w:rPr>
                <w:rFonts w:hint="default" w:ascii="Times New Roman" w:hAnsi="Times New Roman" w:eastAsia="宋体" w:cs="Times New Roman"/>
                <w:caps w:val="0"/>
                <w:smallCaps w:val="0"/>
                <w:color w:val="auto"/>
                <w:sz w:val="21"/>
                <w:szCs w:val="21"/>
              </w:rPr>
              <w:t>≥1.0m，1.0×10</w:t>
            </w:r>
            <w:r>
              <w:rPr>
                <w:rFonts w:hint="eastAsia" w:ascii="Times New Roman" w:hAnsi="Times New Roman" w:eastAsia="宋体" w:cs="Times New Roman"/>
                <w:caps w:val="0"/>
                <w:smallCaps w:val="0"/>
                <w:color w:val="auto"/>
                <w:sz w:val="21"/>
                <w:szCs w:val="21"/>
                <w:vertAlign w:val="superscript"/>
                <w:lang w:val="en-US" w:eastAsia="zh-CN"/>
              </w:rPr>
              <w:t>-</w:t>
            </w:r>
            <w:r>
              <w:rPr>
                <w:rFonts w:hint="default" w:ascii="Times New Roman" w:hAnsi="Times New Roman" w:eastAsia="宋体" w:cs="Times New Roman"/>
                <w:caps w:val="0"/>
                <w:smallCaps w:val="0"/>
                <w:color w:val="auto"/>
                <w:sz w:val="21"/>
                <w:szCs w:val="21"/>
                <w:vertAlign w:val="superscript"/>
              </w:rPr>
              <w:t>66</w:t>
            </w:r>
            <w:r>
              <w:rPr>
                <w:rFonts w:hint="default" w:ascii="Times New Roman" w:hAnsi="Times New Roman" w:eastAsia="宋体" w:cs="Times New Roman"/>
                <w:caps w:val="0"/>
                <w:smallCaps w:val="0"/>
                <w:color w:val="auto"/>
                <w:sz w:val="21"/>
                <w:szCs w:val="21"/>
              </w:rPr>
              <w:t>cm/s＜K≤1.0×10</w:t>
            </w:r>
            <w:r>
              <w:rPr>
                <w:rFonts w:hint="eastAsia" w:ascii="Times New Roman" w:hAnsi="Times New Roman" w:eastAsia="宋体" w:cs="Times New Roman"/>
                <w:caps w:val="0"/>
                <w:smallCaps w:val="0"/>
                <w:color w:val="auto"/>
                <w:sz w:val="21"/>
                <w:szCs w:val="21"/>
                <w:vertAlign w:val="superscript"/>
                <w:lang w:val="en-US" w:eastAsia="zh-CN"/>
              </w:rPr>
              <w:t>-</w:t>
            </w:r>
            <w:r>
              <w:rPr>
                <w:rFonts w:hint="default" w:ascii="Times New Roman" w:hAnsi="Times New Roman" w:eastAsia="宋体" w:cs="Times New Roman"/>
                <w:caps w:val="0"/>
                <w:smallCaps w:val="0"/>
                <w:color w:val="auto"/>
                <w:sz w:val="21"/>
                <w:szCs w:val="21"/>
                <w:vertAlign w:val="superscript"/>
              </w:rPr>
              <w:t>4</w:t>
            </w:r>
            <w:r>
              <w:rPr>
                <w:rFonts w:hint="default" w:ascii="Times New Roman" w:hAnsi="Times New Roman" w:eastAsia="宋体" w:cs="Times New Roman"/>
                <w:caps w:val="0"/>
                <w:smallCaps w:val="0"/>
                <w:color w:val="auto"/>
                <w:sz w:val="21"/>
                <w:szCs w:val="21"/>
              </w:rPr>
              <w:t>cm/s，且分布连续、稳定</w:t>
            </w:r>
          </w:p>
        </w:tc>
      </w:tr>
      <w:tr w14:paraId="38B3E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5" w:type="pct"/>
            <w:tcBorders>
              <w:tl2br w:val="nil"/>
              <w:tr2bl w:val="nil"/>
            </w:tcBorders>
            <w:noWrap w:val="0"/>
            <w:vAlign w:val="center"/>
          </w:tcPr>
          <w:p w14:paraId="6C20A679">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1</w:t>
            </w:r>
          </w:p>
        </w:tc>
        <w:tc>
          <w:tcPr>
            <w:tcW w:w="4424" w:type="pct"/>
            <w:tcBorders>
              <w:tl2br w:val="nil"/>
              <w:tr2bl w:val="nil"/>
            </w:tcBorders>
            <w:noWrap w:val="0"/>
            <w:vAlign w:val="center"/>
          </w:tcPr>
          <w:p w14:paraId="299C16BF">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岩（土）层不满足上述“D</w:t>
            </w:r>
            <w:r>
              <w:rPr>
                <w:rFonts w:hint="default" w:ascii="Times New Roman" w:hAnsi="Times New Roman" w:eastAsia="宋体" w:cs="Times New Roman"/>
                <w:caps w:val="0"/>
                <w:smallCaps w:val="0"/>
                <w:color w:val="auto"/>
                <w:sz w:val="21"/>
                <w:szCs w:val="21"/>
                <w:vertAlign w:val="subscript"/>
              </w:rPr>
              <w:t>2</w:t>
            </w:r>
            <w:r>
              <w:rPr>
                <w:rFonts w:hint="default" w:ascii="Times New Roman" w:hAnsi="Times New Roman" w:eastAsia="宋体" w:cs="Times New Roman"/>
                <w:caps w:val="0"/>
                <w:smallCaps w:val="0"/>
                <w:color w:val="auto"/>
                <w:sz w:val="21"/>
                <w:szCs w:val="21"/>
              </w:rPr>
              <w:t>”和“D</w:t>
            </w:r>
            <w:r>
              <w:rPr>
                <w:rFonts w:hint="default" w:ascii="Times New Roman" w:hAnsi="Times New Roman" w:eastAsia="宋体" w:cs="Times New Roman"/>
                <w:caps w:val="0"/>
                <w:smallCaps w:val="0"/>
                <w:color w:val="auto"/>
                <w:sz w:val="21"/>
                <w:szCs w:val="21"/>
                <w:vertAlign w:val="subscript"/>
              </w:rPr>
              <w:t>3</w:t>
            </w:r>
            <w:r>
              <w:rPr>
                <w:rFonts w:hint="default" w:ascii="Times New Roman" w:hAnsi="Times New Roman" w:eastAsia="宋体" w:cs="Times New Roman"/>
                <w:caps w:val="0"/>
                <w:smallCaps w:val="0"/>
                <w:color w:val="auto"/>
                <w:sz w:val="21"/>
                <w:szCs w:val="21"/>
              </w:rPr>
              <w:t>”条件</w:t>
            </w:r>
          </w:p>
        </w:tc>
      </w:tr>
      <w:tr w14:paraId="399B5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gridSpan w:val="2"/>
            <w:tcBorders>
              <w:tl2br w:val="nil"/>
              <w:tr2bl w:val="nil"/>
            </w:tcBorders>
            <w:noWrap w:val="0"/>
            <w:vAlign w:val="center"/>
          </w:tcPr>
          <w:p w14:paraId="6EE91078">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M</w:t>
            </w:r>
            <w:r>
              <w:rPr>
                <w:rFonts w:hint="default" w:ascii="Times New Roman" w:hAnsi="Times New Roman" w:eastAsia="宋体" w:cs="Times New Roman"/>
                <w:caps w:val="0"/>
                <w:smallCaps w:val="0"/>
                <w:color w:val="auto"/>
                <w:sz w:val="21"/>
                <w:szCs w:val="21"/>
                <w:vertAlign w:val="subscript"/>
              </w:rPr>
              <w:t>b</w:t>
            </w:r>
            <w:r>
              <w:rPr>
                <w:rFonts w:hint="default" w:ascii="Times New Roman" w:hAnsi="Times New Roman" w:eastAsia="宋体" w:cs="Times New Roman"/>
                <w:caps w:val="0"/>
                <w:smallCaps w:val="0"/>
                <w:color w:val="auto"/>
                <w:sz w:val="21"/>
                <w:szCs w:val="21"/>
              </w:rPr>
              <w:t>：岩土层单层厚度。</w:t>
            </w:r>
          </w:p>
          <w:p w14:paraId="5F28FEB4">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K：渗透系数</w:t>
            </w:r>
          </w:p>
        </w:tc>
      </w:tr>
    </w:tbl>
    <w:p w14:paraId="20E8A6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表</w:t>
      </w:r>
      <w:r>
        <w:rPr>
          <w:rFonts w:hint="eastAsia" w:ascii="Times New Roman" w:hAnsi="Times New Roman" w:eastAsia="宋体" w:cs="Times New Roman"/>
          <w:b/>
          <w:bCs/>
          <w:caps w:val="0"/>
          <w:smallCaps w:val="0"/>
          <w:color w:val="auto"/>
          <w:sz w:val="21"/>
          <w:szCs w:val="21"/>
          <w:lang w:val="en-US" w:eastAsia="zh-CN"/>
        </w:rPr>
        <w:t>5.8-8</w:t>
      </w:r>
      <w:r>
        <w:rPr>
          <w:rFonts w:hint="default" w:ascii="Times New Roman" w:hAnsi="Times New Roman" w:eastAsia="宋体" w:cs="Times New Roman"/>
          <w:b/>
          <w:bCs/>
          <w:caps w:val="0"/>
          <w:smallCaps w:val="0"/>
          <w:color w:val="auto"/>
          <w:sz w:val="21"/>
          <w:szCs w:val="21"/>
        </w:rPr>
        <w:t xml:space="preserve">  地下水环境敏感程度分级（E）</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2192"/>
        <w:gridCol w:w="2192"/>
        <w:gridCol w:w="2198"/>
      </w:tblGrid>
      <w:tr w14:paraId="4CC7D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noWrap w:val="0"/>
            <w:vAlign w:val="center"/>
          </w:tcPr>
          <w:p w14:paraId="67B059CB">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环境敏感目标</w:t>
            </w:r>
          </w:p>
        </w:tc>
        <w:tc>
          <w:tcPr>
            <w:tcW w:w="3750" w:type="pct"/>
            <w:gridSpan w:val="3"/>
            <w:tcBorders>
              <w:tl2br w:val="nil"/>
              <w:tr2bl w:val="nil"/>
            </w:tcBorders>
            <w:noWrap w:val="0"/>
            <w:vAlign w:val="center"/>
          </w:tcPr>
          <w:p w14:paraId="3A1CFC23">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地下水功能敏感性</w:t>
            </w:r>
          </w:p>
        </w:tc>
      </w:tr>
      <w:tr w14:paraId="3A525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noWrap w:val="0"/>
            <w:vAlign w:val="center"/>
          </w:tcPr>
          <w:p w14:paraId="0995BDE9">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p>
        </w:tc>
        <w:tc>
          <w:tcPr>
            <w:tcW w:w="1249" w:type="pct"/>
            <w:tcBorders>
              <w:tl2br w:val="nil"/>
              <w:tr2bl w:val="nil"/>
            </w:tcBorders>
            <w:noWrap w:val="0"/>
            <w:vAlign w:val="center"/>
          </w:tcPr>
          <w:p w14:paraId="101F024E">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G</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1AC982A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G</w:t>
            </w:r>
            <w:r>
              <w:rPr>
                <w:rFonts w:hint="default" w:ascii="Times New Roman" w:hAnsi="Times New Roman" w:eastAsia="宋体" w:cs="Times New Roman"/>
                <w:caps w:val="0"/>
                <w:smallCaps w:val="0"/>
                <w:color w:val="auto"/>
                <w:sz w:val="21"/>
                <w:szCs w:val="21"/>
                <w:vertAlign w:val="subscript"/>
              </w:rPr>
              <w:t>2</w:t>
            </w:r>
          </w:p>
        </w:tc>
        <w:tc>
          <w:tcPr>
            <w:tcW w:w="1250" w:type="pct"/>
            <w:tcBorders>
              <w:tl2br w:val="nil"/>
              <w:tr2bl w:val="nil"/>
            </w:tcBorders>
            <w:noWrap w:val="0"/>
            <w:vAlign w:val="center"/>
          </w:tcPr>
          <w:p w14:paraId="54E1B04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G</w:t>
            </w:r>
            <w:r>
              <w:rPr>
                <w:rFonts w:hint="default" w:ascii="Times New Roman" w:hAnsi="Times New Roman" w:eastAsia="宋体" w:cs="Times New Roman"/>
                <w:caps w:val="0"/>
                <w:smallCaps w:val="0"/>
                <w:color w:val="auto"/>
                <w:sz w:val="21"/>
                <w:szCs w:val="21"/>
                <w:vertAlign w:val="subscript"/>
              </w:rPr>
              <w:t>3</w:t>
            </w:r>
          </w:p>
        </w:tc>
      </w:tr>
      <w:tr w14:paraId="6D643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52B499B7">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1A3F35D3">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4E7D90DB">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1250" w:type="pct"/>
            <w:tcBorders>
              <w:tl2br w:val="nil"/>
              <w:tr2bl w:val="nil"/>
            </w:tcBorders>
            <w:noWrap w:val="0"/>
            <w:vAlign w:val="center"/>
          </w:tcPr>
          <w:p w14:paraId="3799F59D">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2</w:t>
            </w:r>
          </w:p>
        </w:tc>
      </w:tr>
      <w:tr w14:paraId="3197E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301866A8">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2</w:t>
            </w:r>
          </w:p>
        </w:tc>
        <w:tc>
          <w:tcPr>
            <w:tcW w:w="1249" w:type="pct"/>
            <w:tcBorders>
              <w:tl2br w:val="nil"/>
              <w:tr2bl w:val="nil"/>
            </w:tcBorders>
            <w:noWrap w:val="0"/>
            <w:vAlign w:val="center"/>
          </w:tcPr>
          <w:p w14:paraId="48A321E7">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0369F9B3">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2</w:t>
            </w:r>
          </w:p>
        </w:tc>
        <w:tc>
          <w:tcPr>
            <w:tcW w:w="1250" w:type="pct"/>
            <w:tcBorders>
              <w:tl2br w:val="nil"/>
              <w:tr2bl w:val="nil"/>
            </w:tcBorders>
            <w:noWrap w:val="0"/>
            <w:vAlign w:val="center"/>
          </w:tcPr>
          <w:p w14:paraId="0054489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3</w:t>
            </w:r>
          </w:p>
        </w:tc>
      </w:tr>
      <w:tr w14:paraId="17A99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4EF09BE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3</w:t>
            </w:r>
          </w:p>
        </w:tc>
        <w:tc>
          <w:tcPr>
            <w:tcW w:w="1249" w:type="pct"/>
            <w:tcBorders>
              <w:tl2br w:val="nil"/>
              <w:tr2bl w:val="nil"/>
            </w:tcBorders>
            <w:noWrap w:val="0"/>
            <w:vAlign w:val="center"/>
          </w:tcPr>
          <w:p w14:paraId="44D46276">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4926F270">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2</w:t>
            </w:r>
          </w:p>
        </w:tc>
        <w:tc>
          <w:tcPr>
            <w:tcW w:w="1250" w:type="pct"/>
            <w:tcBorders>
              <w:tl2br w:val="nil"/>
              <w:tr2bl w:val="nil"/>
            </w:tcBorders>
            <w:noWrap w:val="0"/>
            <w:vAlign w:val="center"/>
          </w:tcPr>
          <w:p w14:paraId="53ACA0F0">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3</w:t>
            </w:r>
          </w:p>
        </w:tc>
      </w:tr>
    </w:tbl>
    <w:p w14:paraId="1DDBF9DA">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根据导则附录D中表D.5中的规定，项目区的地下水敏感程度为环境低度敏感区E</w:t>
      </w:r>
      <w:r>
        <w:rPr>
          <w:rFonts w:hint="eastAsia" w:cs="Times New Roman"/>
          <w:snapToGrid w:val="0"/>
          <w:color w:val="auto"/>
          <w:kern w:val="0"/>
          <w:szCs w:val="24"/>
          <w:highlight w:val="none"/>
          <w:lang w:val="en-US" w:eastAsia="zh-CN"/>
        </w:rPr>
        <w:t>2</w:t>
      </w:r>
      <w:r>
        <w:rPr>
          <w:rFonts w:hint="default" w:ascii="Times New Roman" w:hAnsi="Times New Roman" w:cs="Times New Roman"/>
          <w:snapToGrid w:val="0"/>
          <w:color w:val="auto"/>
          <w:kern w:val="0"/>
          <w:szCs w:val="24"/>
          <w:highlight w:val="none"/>
        </w:rPr>
        <w:t>。</w:t>
      </w:r>
    </w:p>
    <w:p w14:paraId="18566DF9">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w:t>
      </w:r>
      <w:r>
        <w:rPr>
          <w:rFonts w:hint="eastAsia" w:ascii="Times New Roman" w:hAnsi="Times New Roman" w:cs="Times New Roman"/>
          <w:snapToGrid w:val="0"/>
          <w:color w:val="auto"/>
          <w:kern w:val="0"/>
          <w:szCs w:val="24"/>
          <w:highlight w:val="none"/>
          <w:lang w:val="en-US" w:eastAsia="zh-CN"/>
        </w:rPr>
        <w:t>5</w:t>
      </w:r>
      <w:r>
        <w:rPr>
          <w:rFonts w:hint="default" w:ascii="Times New Roman" w:hAnsi="Times New Roman" w:cs="Times New Roman"/>
          <w:snapToGrid w:val="0"/>
          <w:color w:val="auto"/>
          <w:kern w:val="0"/>
          <w:szCs w:val="24"/>
          <w:highlight w:val="none"/>
        </w:rPr>
        <w:t>）建设项目环境风险潜势判断</w:t>
      </w:r>
    </w:p>
    <w:p w14:paraId="7E32870C">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根据《建设项目环境风险评价技术导则》（HJ169-2018），建设项目环境风险潜势划分见下表。</w:t>
      </w:r>
    </w:p>
    <w:p w14:paraId="51397FDA">
      <w:pPr>
        <w:keepNext w:val="0"/>
        <w:keepLines w:val="0"/>
        <w:pageBreakBefore w:val="0"/>
        <w:widowControl w:val="0"/>
        <w:tabs>
          <w:tab w:val="left" w:pos="0"/>
          <w:tab w:val="left" w:pos="99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表</w:t>
      </w:r>
      <w:r>
        <w:rPr>
          <w:rFonts w:hint="eastAsia" w:cs="Times New Roman"/>
          <w:b/>
          <w:color w:val="auto"/>
          <w:sz w:val="21"/>
          <w:szCs w:val="21"/>
          <w:highlight w:val="none"/>
          <w:lang w:val="en-US" w:eastAsia="zh-CN" w:bidi="ar"/>
        </w:rPr>
        <w:t>5.8-9</w:t>
      </w:r>
      <w:r>
        <w:rPr>
          <w:rFonts w:hint="default" w:ascii="Times New Roman" w:hAnsi="Times New Roman" w:cs="Times New Roman"/>
          <w:b/>
          <w:color w:val="auto"/>
          <w:sz w:val="21"/>
          <w:szCs w:val="21"/>
          <w:highlight w:val="none"/>
          <w:lang w:bidi="ar"/>
        </w:rPr>
        <w:t xml:space="preserve">   建设项目环境风险潜势划分</w:t>
      </w:r>
    </w:p>
    <w:tbl>
      <w:tblPr>
        <w:tblStyle w:val="3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1605"/>
        <w:gridCol w:w="1602"/>
        <w:gridCol w:w="1607"/>
        <w:gridCol w:w="1612"/>
      </w:tblGrid>
      <w:tr w14:paraId="1B1F4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1337" w:type="pct"/>
            <w:vMerge w:val="restart"/>
            <w:tcBorders>
              <w:tl2br w:val="nil"/>
              <w:tr2bl w:val="nil"/>
            </w:tcBorders>
            <w:vAlign w:val="center"/>
          </w:tcPr>
          <w:p w14:paraId="784DE6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环境敏感程度（E）</w:t>
            </w:r>
          </w:p>
        </w:tc>
        <w:tc>
          <w:tcPr>
            <w:tcW w:w="3662" w:type="pct"/>
            <w:gridSpan w:val="4"/>
            <w:tcBorders>
              <w:tl2br w:val="nil"/>
              <w:tr2bl w:val="nil"/>
            </w:tcBorders>
            <w:vAlign w:val="center"/>
          </w:tcPr>
          <w:p w14:paraId="7826F8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危险物质及工艺系统危险性（P）</w:t>
            </w:r>
          </w:p>
        </w:tc>
      </w:tr>
      <w:tr w14:paraId="4D4F5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1337" w:type="pct"/>
            <w:vMerge w:val="continue"/>
            <w:tcBorders>
              <w:tl2br w:val="nil"/>
              <w:tr2bl w:val="nil"/>
            </w:tcBorders>
            <w:vAlign w:val="center"/>
          </w:tcPr>
          <w:p w14:paraId="224FBE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bCs/>
                <w:color w:val="auto"/>
                <w:sz w:val="21"/>
                <w:szCs w:val="21"/>
                <w:highlight w:val="none"/>
              </w:rPr>
            </w:pPr>
          </w:p>
        </w:tc>
        <w:tc>
          <w:tcPr>
            <w:tcW w:w="915" w:type="pct"/>
            <w:tcBorders>
              <w:tl2br w:val="nil"/>
              <w:tr2bl w:val="nil"/>
            </w:tcBorders>
            <w:vAlign w:val="center"/>
          </w:tcPr>
          <w:p w14:paraId="5B5FD3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极高危害（P1）</w:t>
            </w:r>
          </w:p>
        </w:tc>
        <w:tc>
          <w:tcPr>
            <w:tcW w:w="913" w:type="pct"/>
            <w:tcBorders>
              <w:tl2br w:val="nil"/>
              <w:tr2bl w:val="nil"/>
            </w:tcBorders>
            <w:vAlign w:val="center"/>
          </w:tcPr>
          <w:p w14:paraId="214DAF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高度危害（P2）</w:t>
            </w:r>
          </w:p>
        </w:tc>
        <w:tc>
          <w:tcPr>
            <w:tcW w:w="916" w:type="pct"/>
            <w:tcBorders>
              <w:tl2br w:val="nil"/>
              <w:tr2bl w:val="nil"/>
            </w:tcBorders>
            <w:vAlign w:val="center"/>
          </w:tcPr>
          <w:p w14:paraId="00E727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中度危害（P3）</w:t>
            </w:r>
          </w:p>
        </w:tc>
        <w:tc>
          <w:tcPr>
            <w:tcW w:w="916" w:type="pct"/>
            <w:tcBorders>
              <w:tl2br w:val="nil"/>
              <w:tr2bl w:val="nil"/>
            </w:tcBorders>
            <w:vAlign w:val="center"/>
          </w:tcPr>
          <w:p w14:paraId="57D3A3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轻度危害（P4）</w:t>
            </w:r>
          </w:p>
        </w:tc>
      </w:tr>
      <w:tr w14:paraId="11998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37" w:type="pct"/>
            <w:tcBorders>
              <w:tl2br w:val="nil"/>
              <w:tr2bl w:val="nil"/>
            </w:tcBorders>
            <w:vAlign w:val="center"/>
          </w:tcPr>
          <w:p w14:paraId="13436C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环境高度敏感区（E1）</w:t>
            </w:r>
          </w:p>
        </w:tc>
        <w:tc>
          <w:tcPr>
            <w:tcW w:w="915" w:type="pct"/>
            <w:tcBorders>
              <w:tl2br w:val="nil"/>
              <w:tr2bl w:val="nil"/>
            </w:tcBorders>
            <w:vAlign w:val="center"/>
          </w:tcPr>
          <w:p w14:paraId="74D551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IV</w:t>
            </w:r>
            <w:r>
              <w:rPr>
                <w:rFonts w:hint="default" w:ascii="Times New Roman" w:hAnsi="Times New Roman" w:cs="Times New Roman"/>
                <w:color w:val="auto"/>
                <w:sz w:val="21"/>
                <w:szCs w:val="21"/>
                <w:highlight w:val="none"/>
                <w:vertAlign w:val="superscript"/>
                <w:lang w:bidi="ar"/>
              </w:rPr>
              <w:t>+</w:t>
            </w:r>
          </w:p>
        </w:tc>
        <w:tc>
          <w:tcPr>
            <w:tcW w:w="913" w:type="pct"/>
            <w:tcBorders>
              <w:tl2br w:val="nil"/>
              <w:tr2bl w:val="nil"/>
            </w:tcBorders>
            <w:vAlign w:val="center"/>
          </w:tcPr>
          <w:p w14:paraId="703F5A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IV</w:t>
            </w:r>
          </w:p>
        </w:tc>
        <w:tc>
          <w:tcPr>
            <w:tcW w:w="916" w:type="pct"/>
            <w:tcBorders>
              <w:tl2br w:val="nil"/>
              <w:tr2bl w:val="nil"/>
            </w:tcBorders>
            <w:vAlign w:val="center"/>
          </w:tcPr>
          <w:p w14:paraId="4CFE47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6" w:type="pct"/>
            <w:tcBorders>
              <w:tl2br w:val="nil"/>
              <w:tr2bl w:val="nil"/>
            </w:tcBorders>
            <w:vAlign w:val="center"/>
          </w:tcPr>
          <w:p w14:paraId="627753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eastAsia" w:cs="Times New Roman"/>
                <w:color w:val="auto"/>
                <w:sz w:val="21"/>
                <w:szCs w:val="21"/>
                <w:highlight w:val="none"/>
                <w:lang w:eastAsia="zh-CN" w:bidi="ar"/>
              </w:rPr>
              <w:t>Ⅲ</w:t>
            </w:r>
          </w:p>
        </w:tc>
      </w:tr>
      <w:tr w14:paraId="4F2AA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37" w:type="pct"/>
            <w:tcBorders>
              <w:tl2br w:val="nil"/>
              <w:tr2bl w:val="nil"/>
            </w:tcBorders>
            <w:vAlign w:val="center"/>
          </w:tcPr>
          <w:p w14:paraId="0762FB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环境中度敏感区（E2）</w:t>
            </w:r>
          </w:p>
        </w:tc>
        <w:tc>
          <w:tcPr>
            <w:tcW w:w="915" w:type="pct"/>
            <w:tcBorders>
              <w:tl2br w:val="nil"/>
              <w:tr2bl w:val="nil"/>
            </w:tcBorders>
            <w:vAlign w:val="center"/>
          </w:tcPr>
          <w:p w14:paraId="2DD482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IV</w:t>
            </w:r>
          </w:p>
        </w:tc>
        <w:tc>
          <w:tcPr>
            <w:tcW w:w="913" w:type="pct"/>
            <w:tcBorders>
              <w:tl2br w:val="nil"/>
              <w:tr2bl w:val="nil"/>
            </w:tcBorders>
            <w:vAlign w:val="center"/>
          </w:tcPr>
          <w:p w14:paraId="5A0963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6" w:type="pct"/>
            <w:tcBorders>
              <w:tl2br w:val="nil"/>
              <w:tr2bl w:val="nil"/>
            </w:tcBorders>
            <w:vAlign w:val="center"/>
          </w:tcPr>
          <w:p w14:paraId="7E4791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6" w:type="pct"/>
            <w:tcBorders>
              <w:tl2br w:val="nil"/>
              <w:tr2bl w:val="nil"/>
            </w:tcBorders>
            <w:vAlign w:val="center"/>
          </w:tcPr>
          <w:p w14:paraId="51A5AF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bidi="ar"/>
              </w:rPr>
              <w:t>II</w:t>
            </w:r>
          </w:p>
        </w:tc>
      </w:tr>
      <w:tr w14:paraId="61CE2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37" w:type="pct"/>
            <w:tcBorders>
              <w:tl2br w:val="nil"/>
              <w:tr2bl w:val="nil"/>
            </w:tcBorders>
            <w:vAlign w:val="center"/>
          </w:tcPr>
          <w:p w14:paraId="05CCEA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环境低度敏感区（E3）</w:t>
            </w:r>
          </w:p>
        </w:tc>
        <w:tc>
          <w:tcPr>
            <w:tcW w:w="915" w:type="pct"/>
            <w:tcBorders>
              <w:tl2br w:val="nil"/>
              <w:tr2bl w:val="nil"/>
            </w:tcBorders>
            <w:vAlign w:val="center"/>
          </w:tcPr>
          <w:p w14:paraId="6CB097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3" w:type="pct"/>
            <w:tcBorders>
              <w:tl2br w:val="nil"/>
              <w:tr2bl w:val="nil"/>
            </w:tcBorders>
            <w:vAlign w:val="center"/>
          </w:tcPr>
          <w:p w14:paraId="1A1D42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6" w:type="pct"/>
            <w:tcBorders>
              <w:tl2br w:val="nil"/>
              <w:tr2bl w:val="nil"/>
            </w:tcBorders>
            <w:vAlign w:val="center"/>
          </w:tcPr>
          <w:p w14:paraId="27AD1D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II</w:t>
            </w:r>
          </w:p>
        </w:tc>
        <w:tc>
          <w:tcPr>
            <w:tcW w:w="916" w:type="pct"/>
            <w:tcBorders>
              <w:tl2br w:val="nil"/>
              <w:tr2bl w:val="nil"/>
            </w:tcBorders>
            <w:vAlign w:val="center"/>
          </w:tcPr>
          <w:p w14:paraId="39FCAC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Cs/>
                <w:color w:val="auto"/>
                <w:sz w:val="21"/>
                <w:szCs w:val="21"/>
                <w:highlight w:val="none"/>
                <w:lang w:bidi="ar"/>
              </w:rPr>
              <w:t>I</w:t>
            </w:r>
          </w:p>
        </w:tc>
      </w:tr>
      <w:tr w14:paraId="130E2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000" w:type="pct"/>
            <w:gridSpan w:val="5"/>
            <w:tcBorders>
              <w:tl2br w:val="nil"/>
              <w:tr2bl w:val="nil"/>
            </w:tcBorders>
            <w:vAlign w:val="center"/>
          </w:tcPr>
          <w:p w14:paraId="6ADB46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bidi="ar"/>
              </w:rPr>
              <w:t>注：</w:t>
            </w:r>
            <w:r>
              <w:rPr>
                <w:rFonts w:hint="eastAsia" w:cs="Times New Roman"/>
                <w:color w:val="auto"/>
                <w:sz w:val="21"/>
                <w:szCs w:val="21"/>
                <w:highlight w:val="none"/>
                <w:lang w:eastAsia="zh-CN" w:bidi="ar"/>
              </w:rPr>
              <w:t>Ⅳ</w:t>
            </w:r>
            <w:r>
              <w:rPr>
                <w:rFonts w:hint="default" w:ascii="Times New Roman" w:hAnsi="Times New Roman" w:cs="Times New Roman"/>
                <w:color w:val="auto"/>
                <w:sz w:val="21"/>
                <w:szCs w:val="21"/>
                <w:highlight w:val="none"/>
                <w:vertAlign w:val="superscript"/>
                <w:lang w:bidi="ar"/>
              </w:rPr>
              <w:t xml:space="preserve">+ </w:t>
            </w:r>
            <w:r>
              <w:rPr>
                <w:rFonts w:hint="default" w:ascii="Times New Roman" w:hAnsi="Times New Roman" w:cs="Times New Roman"/>
                <w:color w:val="auto"/>
                <w:sz w:val="21"/>
                <w:szCs w:val="21"/>
                <w:highlight w:val="none"/>
                <w:lang w:bidi="ar"/>
              </w:rPr>
              <w:t>为极高环境风险</w:t>
            </w:r>
          </w:p>
        </w:tc>
      </w:tr>
    </w:tbl>
    <w:p w14:paraId="7F86656D">
      <w:pPr>
        <w:pageBreakBefore w:val="0"/>
        <w:widowControl/>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snapToGrid w:val="0"/>
          <w:color w:val="auto"/>
          <w:kern w:val="0"/>
          <w:szCs w:val="24"/>
          <w:highlight w:val="none"/>
          <w:lang w:val="en-US" w:eastAsia="zh-CN"/>
        </w:rPr>
      </w:pPr>
      <w:bookmarkStart w:id="288" w:name="_Toc2673300"/>
      <w:r>
        <w:rPr>
          <w:rFonts w:hint="eastAsia" w:ascii="Times New Roman" w:hAnsi="Times New Roman" w:eastAsia="宋体" w:cs="Times New Roman"/>
          <w:snapToGrid w:val="0"/>
          <w:color w:val="auto"/>
          <w:kern w:val="0"/>
          <w:szCs w:val="24"/>
          <w:highlight w:val="none"/>
          <w:lang w:val="en-US" w:eastAsia="zh-CN"/>
        </w:rPr>
        <w:t>（6）风险评价等级</w:t>
      </w:r>
      <w:bookmarkEnd w:id="288"/>
    </w:p>
    <w:p w14:paraId="10CFE9CC">
      <w:pPr>
        <w:spacing w:before="0" w:after="0"/>
        <w:ind w:firstLine="480" w:firstLineChars="200"/>
        <w:rPr>
          <w:rFonts w:ascii="Times New Roman" w:hAnsi="Times New Roman" w:eastAsia="宋体" w:cs="Times New Roman"/>
          <w:color w:val="auto"/>
          <w:kern w:val="2"/>
          <w:szCs w:val="22"/>
        </w:rPr>
      </w:pPr>
      <w:r>
        <w:rPr>
          <w:rFonts w:ascii="Times New Roman" w:hAnsi="Times New Roman" w:eastAsia="宋体" w:cs="Times New Roman"/>
          <w:color w:val="auto"/>
          <w:kern w:val="2"/>
          <w:szCs w:val="22"/>
        </w:rPr>
        <w:t>《建设项目环境风险评价技术导则》(HJ/T169-20</w:t>
      </w:r>
      <w:r>
        <w:rPr>
          <w:rFonts w:hint="eastAsia" w:ascii="Times New Roman" w:hAnsi="Times New Roman" w:eastAsia="宋体" w:cs="Times New Roman"/>
          <w:color w:val="auto"/>
          <w:kern w:val="2"/>
          <w:szCs w:val="22"/>
        </w:rPr>
        <w:t>18</w:t>
      </w:r>
      <w:r>
        <w:rPr>
          <w:rFonts w:ascii="Times New Roman" w:hAnsi="Times New Roman" w:eastAsia="宋体" w:cs="Times New Roman"/>
          <w:color w:val="auto"/>
          <w:kern w:val="2"/>
          <w:szCs w:val="22"/>
        </w:rPr>
        <w:t>)中</w:t>
      </w:r>
      <w:r>
        <w:rPr>
          <w:rFonts w:hint="eastAsia" w:ascii="Times New Roman" w:hAnsi="Times New Roman" w:eastAsia="宋体" w:cs="Times New Roman"/>
          <w:color w:val="auto"/>
          <w:kern w:val="2"/>
          <w:szCs w:val="22"/>
        </w:rPr>
        <w:t>环境风险评价工作</w:t>
      </w:r>
      <w:r>
        <w:rPr>
          <w:rFonts w:ascii="Times New Roman" w:hAnsi="Times New Roman" w:eastAsia="宋体" w:cs="Times New Roman"/>
          <w:color w:val="auto"/>
          <w:kern w:val="2"/>
          <w:szCs w:val="22"/>
        </w:rPr>
        <w:t>等级划分依据见表</w:t>
      </w:r>
      <w:r>
        <w:rPr>
          <w:rFonts w:hint="eastAsia" w:ascii="Times New Roman" w:hAnsi="Times New Roman" w:eastAsia="宋体" w:cs="Times New Roman"/>
          <w:color w:val="auto"/>
          <w:kern w:val="2"/>
          <w:szCs w:val="22"/>
          <w:lang w:val="en-US" w:eastAsia="zh-CN"/>
        </w:rPr>
        <w:t>5.8-10</w:t>
      </w:r>
      <w:r>
        <w:rPr>
          <w:rFonts w:ascii="Times New Roman" w:hAnsi="Times New Roman" w:eastAsia="宋体" w:cs="Times New Roman"/>
          <w:color w:val="auto"/>
          <w:kern w:val="2"/>
          <w:szCs w:val="22"/>
        </w:rPr>
        <w:t>。</w:t>
      </w:r>
    </w:p>
    <w:p w14:paraId="7B348648">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eastAsia" w:ascii="Times New Roman" w:hAnsi="Times New Roman" w:eastAsia="宋体" w:cs="Times New Roman"/>
          <w:b/>
          <w:color w:val="auto"/>
          <w:kern w:val="0"/>
          <w:sz w:val="21"/>
          <w:szCs w:val="21"/>
          <w:lang w:val="en-US" w:eastAsia="zh-CN" w:bidi="ar-SA"/>
        </w:rPr>
      </w:pPr>
      <w:r>
        <w:rPr>
          <w:rFonts w:ascii="Times New Roman" w:hAnsi="Times New Roman" w:eastAsia="宋体" w:cs="Times New Roman"/>
          <w:b/>
          <w:color w:val="auto"/>
          <w:kern w:val="0"/>
          <w:sz w:val="21"/>
          <w:szCs w:val="21"/>
          <w:lang w:val="en-US" w:eastAsia="zh-CN" w:bidi="ar-SA"/>
        </w:rPr>
        <w:t xml:space="preserve"> 表</w:t>
      </w:r>
      <w:r>
        <w:rPr>
          <w:rFonts w:hint="eastAsia" w:ascii="Times New Roman" w:hAnsi="Times New Roman" w:eastAsia="宋体" w:cs="Times New Roman"/>
          <w:b/>
          <w:color w:val="auto"/>
          <w:kern w:val="0"/>
          <w:sz w:val="21"/>
          <w:szCs w:val="21"/>
          <w:lang w:val="en-US" w:eastAsia="zh-CN" w:bidi="ar-SA"/>
        </w:rPr>
        <w:t>5.8-10</w:t>
      </w:r>
      <w:r>
        <w:rPr>
          <w:rFonts w:ascii="Times New Roman" w:hAnsi="Times New Roman" w:eastAsia="宋体" w:cs="Times New Roman"/>
          <w:b/>
          <w:color w:val="auto"/>
          <w:kern w:val="0"/>
          <w:sz w:val="21"/>
          <w:szCs w:val="21"/>
          <w:lang w:val="en-US" w:eastAsia="zh-CN" w:bidi="ar-SA"/>
        </w:rPr>
        <w:t xml:space="preserve">    </w:t>
      </w:r>
      <w:r>
        <w:rPr>
          <w:rFonts w:hint="eastAsia" w:ascii="Times New Roman" w:hAnsi="Times New Roman" w:eastAsia="宋体" w:cs="Times New Roman"/>
          <w:b/>
          <w:color w:val="auto"/>
          <w:kern w:val="0"/>
          <w:sz w:val="21"/>
          <w:szCs w:val="21"/>
          <w:lang w:val="en-US" w:eastAsia="zh-CN" w:bidi="ar-SA"/>
        </w:rPr>
        <w:t>环境风险</w:t>
      </w:r>
      <w:r>
        <w:rPr>
          <w:rFonts w:ascii="Times New Roman" w:hAnsi="Times New Roman" w:eastAsia="宋体" w:cs="Times New Roman"/>
          <w:b/>
          <w:color w:val="auto"/>
          <w:kern w:val="0"/>
          <w:sz w:val="21"/>
          <w:szCs w:val="21"/>
          <w:lang w:val="en-US" w:eastAsia="zh-CN" w:bidi="ar-SA"/>
        </w:rPr>
        <w:t>评价工作</w:t>
      </w:r>
      <w:r>
        <w:rPr>
          <w:rFonts w:hint="eastAsia" w:ascii="Times New Roman" w:hAnsi="Times New Roman" w:eastAsia="宋体" w:cs="Times New Roman"/>
          <w:b/>
          <w:color w:val="auto"/>
          <w:kern w:val="0"/>
          <w:sz w:val="21"/>
          <w:szCs w:val="21"/>
          <w:lang w:val="en-US" w:eastAsia="zh-CN" w:bidi="ar-SA"/>
        </w:rPr>
        <w:t>等级划分表</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1537"/>
        <w:gridCol w:w="1839"/>
        <w:gridCol w:w="1839"/>
        <w:gridCol w:w="1721"/>
      </w:tblGrid>
      <w:tr w14:paraId="5278B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7" w:type="pct"/>
            <w:tcBorders>
              <w:tl2br w:val="nil"/>
              <w:tr2bl w:val="nil"/>
            </w:tcBorders>
            <w:vAlign w:val="center"/>
          </w:tcPr>
          <w:p w14:paraId="2255EC5A">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环境风险潜势</w:t>
            </w:r>
          </w:p>
        </w:tc>
        <w:tc>
          <w:tcPr>
            <w:tcW w:w="876" w:type="pct"/>
            <w:tcBorders>
              <w:tl2br w:val="nil"/>
              <w:tr2bl w:val="nil"/>
            </w:tcBorders>
            <w:vAlign w:val="center"/>
          </w:tcPr>
          <w:p w14:paraId="271441D8">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 xml:space="preserve"> </w:t>
            </w:r>
            <w:r>
              <w:rPr>
                <w:rFonts w:hint="eastAsia" w:cs="Times New Roman"/>
                <w:color w:val="auto"/>
                <w:kern w:val="2"/>
                <w:sz w:val="21"/>
                <w:szCs w:val="21"/>
                <w:lang w:eastAsia="zh-CN"/>
              </w:rPr>
              <w:t>Ⅳ</w:t>
            </w:r>
            <w:r>
              <w:rPr>
                <w:rFonts w:ascii="Times New Roman" w:hAnsi="Times New Roman" w:eastAsia="宋体" w:cs="Times New Roman"/>
                <w:color w:val="auto"/>
                <w:kern w:val="2"/>
                <w:sz w:val="21"/>
                <w:szCs w:val="21"/>
              </w:rPr>
              <w:t>、</w:t>
            </w:r>
            <w:r>
              <w:rPr>
                <w:rFonts w:hint="eastAsia" w:cs="Times New Roman"/>
                <w:color w:val="auto"/>
                <w:kern w:val="2"/>
                <w:sz w:val="21"/>
                <w:szCs w:val="21"/>
                <w:lang w:eastAsia="zh-CN"/>
              </w:rPr>
              <w:t>Ⅳ</w:t>
            </w:r>
            <w:r>
              <w:rPr>
                <w:rFonts w:hint="eastAsia" w:ascii="Times New Roman" w:hAnsi="Times New Roman" w:eastAsia="宋体" w:cs="Times New Roman"/>
                <w:color w:val="auto"/>
                <w:kern w:val="2"/>
                <w:sz w:val="21"/>
                <w:szCs w:val="21"/>
                <w:vertAlign w:val="superscript"/>
              </w:rPr>
              <w:t>+</w:t>
            </w:r>
          </w:p>
        </w:tc>
        <w:tc>
          <w:tcPr>
            <w:tcW w:w="1048" w:type="pct"/>
            <w:tcBorders>
              <w:tl2br w:val="nil"/>
              <w:tr2bl w:val="nil"/>
            </w:tcBorders>
            <w:vAlign w:val="center"/>
          </w:tcPr>
          <w:p w14:paraId="67BA8D15">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ascii="Times New Roman" w:hAnsi="Times New Roman" w:eastAsia="宋体" w:cs="Times New Roman"/>
                <w:color w:val="auto"/>
                <w:kern w:val="2"/>
                <w:sz w:val="21"/>
                <w:szCs w:val="21"/>
              </w:rPr>
            </w:pPr>
            <w:r>
              <w:rPr>
                <w:rFonts w:hint="eastAsia" w:ascii="Times New Roman" w:cs="Times New Roman"/>
                <w:color w:val="auto"/>
                <w:kern w:val="2"/>
                <w:sz w:val="21"/>
                <w:szCs w:val="21"/>
                <w:lang w:eastAsia="zh-CN"/>
              </w:rPr>
              <w:t>Ⅲ</w:t>
            </w:r>
            <w:r>
              <w:rPr>
                <w:rFonts w:ascii="Times New Roman" w:hAnsi="Times New Roman" w:eastAsia="宋体" w:cs="Times New Roman"/>
                <w:color w:val="auto"/>
                <w:kern w:val="2"/>
                <w:sz w:val="21"/>
                <w:szCs w:val="21"/>
              </w:rPr>
              <w:t xml:space="preserve">  </w:t>
            </w:r>
          </w:p>
        </w:tc>
        <w:tc>
          <w:tcPr>
            <w:tcW w:w="1048" w:type="pct"/>
            <w:tcBorders>
              <w:tl2br w:val="nil"/>
              <w:tr2bl w:val="nil"/>
            </w:tcBorders>
            <w:vAlign w:val="center"/>
          </w:tcPr>
          <w:p w14:paraId="54A2D46B">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 xml:space="preserve">Ⅱ </w:t>
            </w:r>
          </w:p>
        </w:tc>
        <w:tc>
          <w:tcPr>
            <w:tcW w:w="979" w:type="pct"/>
            <w:tcBorders>
              <w:tl2br w:val="nil"/>
              <w:tr2bl w:val="nil"/>
            </w:tcBorders>
            <w:vAlign w:val="center"/>
          </w:tcPr>
          <w:p w14:paraId="47BFD527">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 xml:space="preserve"> I</w:t>
            </w:r>
          </w:p>
        </w:tc>
      </w:tr>
      <w:tr w14:paraId="28324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7" w:type="pct"/>
            <w:tcBorders>
              <w:tl2br w:val="nil"/>
              <w:tr2bl w:val="nil"/>
            </w:tcBorders>
            <w:vAlign w:val="center"/>
          </w:tcPr>
          <w:p w14:paraId="7002852B">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评价工作等级</w:t>
            </w:r>
          </w:p>
        </w:tc>
        <w:tc>
          <w:tcPr>
            <w:tcW w:w="876" w:type="pct"/>
            <w:tcBorders>
              <w:tl2br w:val="nil"/>
              <w:tr2bl w:val="nil"/>
            </w:tcBorders>
            <w:vAlign w:val="center"/>
          </w:tcPr>
          <w:p w14:paraId="40A9F867">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w:t>
            </w:r>
          </w:p>
        </w:tc>
        <w:tc>
          <w:tcPr>
            <w:tcW w:w="1048" w:type="pct"/>
            <w:tcBorders>
              <w:tl2br w:val="nil"/>
              <w:tr2bl w:val="nil"/>
            </w:tcBorders>
            <w:vAlign w:val="center"/>
          </w:tcPr>
          <w:p w14:paraId="0B32921C">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二</w:t>
            </w:r>
          </w:p>
        </w:tc>
        <w:tc>
          <w:tcPr>
            <w:tcW w:w="1048" w:type="pct"/>
            <w:tcBorders>
              <w:tl2br w:val="nil"/>
              <w:tr2bl w:val="nil"/>
            </w:tcBorders>
            <w:vAlign w:val="center"/>
          </w:tcPr>
          <w:p w14:paraId="7A096303">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三</w:t>
            </w:r>
          </w:p>
        </w:tc>
        <w:tc>
          <w:tcPr>
            <w:tcW w:w="979" w:type="pct"/>
            <w:tcBorders>
              <w:tl2br w:val="nil"/>
              <w:tr2bl w:val="nil"/>
            </w:tcBorders>
            <w:vAlign w:val="center"/>
          </w:tcPr>
          <w:p w14:paraId="4BA4E28C">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简单分析</w:t>
            </w:r>
            <w:r>
              <w:rPr>
                <w:rFonts w:hint="eastAsia" w:ascii="Times New Roman" w:hAnsi="Times New Roman" w:eastAsia="宋体" w:cs="Times New Roman"/>
                <w:color w:val="auto"/>
                <w:kern w:val="2"/>
                <w:sz w:val="21"/>
                <w:szCs w:val="21"/>
                <w:vertAlign w:val="superscript"/>
              </w:rPr>
              <w:t>a</w:t>
            </w:r>
          </w:p>
        </w:tc>
      </w:tr>
      <w:tr w14:paraId="68F74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000" w:type="pct"/>
            <w:gridSpan w:val="5"/>
            <w:tcBorders>
              <w:tl2br w:val="nil"/>
              <w:tr2bl w:val="nil"/>
            </w:tcBorders>
            <w:vAlign w:val="center"/>
          </w:tcPr>
          <w:p w14:paraId="0E8A73ED">
            <w:pPr>
              <w:keepNext w:val="0"/>
              <w:keepLines w:val="0"/>
              <w:pageBreakBefore w:val="0"/>
              <w:widowControl w:val="0"/>
              <w:kinsoku/>
              <w:wordWrap/>
              <w:overflowPunct/>
              <w:topLinePunct w:val="0"/>
              <w:autoSpaceDE/>
              <w:autoSpaceDN/>
              <w:bidi w:val="0"/>
              <w:adjustRightInd/>
              <w:spacing w:after="0" w:line="240" w:lineRule="auto"/>
              <w:ind w:firstLine="0" w:firstLineChars="0"/>
              <w:textAlignment w:val="auto"/>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vertAlign w:val="superscript"/>
              </w:rPr>
              <w:t>a</w:t>
            </w:r>
            <w:r>
              <w:rPr>
                <w:rFonts w:hint="eastAsia" w:ascii="Times New Roman" w:hAnsi="Times New Roman" w:eastAsia="宋体" w:cs="Times New Roman"/>
                <w:color w:val="auto"/>
                <w:kern w:val="2"/>
                <w:sz w:val="21"/>
                <w:szCs w:val="21"/>
              </w:rPr>
              <w:t>是相对于详细评价工作内容而言，在描述危险物质、环境影响途径、环境危险后果、风险防范措施等方面给出定性的说明。</w:t>
            </w:r>
          </w:p>
        </w:tc>
      </w:tr>
    </w:tbl>
    <w:p w14:paraId="5834785A">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snapToGrid w:val="0"/>
          <w:color w:val="auto"/>
          <w:szCs w:val="24"/>
          <w:highlight w:val="none"/>
          <w:lang w:bidi="ar"/>
        </w:rPr>
      </w:pPr>
      <w:r>
        <w:rPr>
          <w:rFonts w:hint="eastAsia"/>
          <w:color w:val="auto"/>
          <w:lang w:eastAsia="zh-CN"/>
        </w:rPr>
        <w:t>本项目大气</w:t>
      </w:r>
      <w:r>
        <w:rPr>
          <w:rFonts w:hint="eastAsia"/>
          <w:color w:val="auto"/>
          <w:lang w:val="en-US" w:eastAsia="zh-CN"/>
        </w:rPr>
        <w:t>环境风险</w:t>
      </w:r>
      <w:r>
        <w:rPr>
          <w:rFonts w:hint="eastAsia"/>
          <w:color w:val="auto"/>
          <w:sz w:val="24"/>
          <w:szCs w:val="24"/>
          <w:lang w:val="en-US" w:eastAsia="zh-CN"/>
        </w:rPr>
        <w:t>潜势为</w:t>
      </w:r>
      <w:r>
        <w:rPr>
          <w:rFonts w:hint="default" w:ascii="Times New Roman" w:hAnsi="Times New Roman" w:cs="Times New Roman"/>
          <w:bCs/>
          <w:color w:val="auto"/>
          <w:sz w:val="24"/>
          <w:szCs w:val="24"/>
          <w:highlight w:val="none"/>
          <w:lang w:bidi="ar"/>
        </w:rPr>
        <w:t>I</w:t>
      </w:r>
      <w:r>
        <w:rPr>
          <w:rFonts w:hint="eastAsia"/>
          <w:color w:val="auto"/>
          <w:sz w:val="24"/>
          <w:szCs w:val="24"/>
        </w:rPr>
        <w:t>，</w:t>
      </w:r>
      <w:r>
        <w:rPr>
          <w:rFonts w:hint="eastAsia"/>
          <w:color w:val="auto"/>
          <w:lang w:eastAsia="zh-CN"/>
        </w:rPr>
        <w:t>大气</w:t>
      </w:r>
      <w:r>
        <w:rPr>
          <w:rFonts w:hint="eastAsia"/>
          <w:color w:val="auto"/>
        </w:rPr>
        <w:t>环境风险评价等级为</w:t>
      </w:r>
      <w:r>
        <w:rPr>
          <w:rFonts w:hint="eastAsia"/>
          <w:color w:val="auto"/>
          <w:lang w:val="en-US" w:eastAsia="zh-CN"/>
        </w:rPr>
        <w:t>简单分析</w:t>
      </w:r>
      <w:r>
        <w:rPr>
          <w:rFonts w:hint="eastAsia"/>
          <w:color w:val="auto"/>
          <w:lang w:eastAsia="zh-CN"/>
        </w:rPr>
        <w:t>，地下水环境风险潜势为Ⅱ，地下水环境风险评价等级为三级</w:t>
      </w:r>
      <w:r>
        <w:rPr>
          <w:rFonts w:ascii="Times New Roman" w:hAnsi="Times New Roman" w:eastAsia="宋体" w:cs="Times New Roman"/>
          <w:color w:val="auto"/>
          <w:kern w:val="2"/>
          <w:szCs w:val="22"/>
        </w:rPr>
        <w:t>。</w:t>
      </w:r>
    </w:p>
    <w:p w14:paraId="41B86E44">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5.8.</w:t>
      </w:r>
      <w:r>
        <w:rPr>
          <w:rFonts w:hint="eastAsia" w:cs="Times New Roman"/>
          <w:color w:val="auto"/>
          <w:highlight w:val="none"/>
          <w:lang w:val="en-US" w:eastAsia="zh-CN"/>
        </w:rPr>
        <w:t>3</w:t>
      </w:r>
      <w:r>
        <w:rPr>
          <w:rFonts w:hint="default" w:ascii="Times New Roman" w:hAnsi="Times New Roman" w:cs="Times New Roman"/>
          <w:color w:val="auto"/>
          <w:highlight w:val="none"/>
        </w:rPr>
        <w:t>环境风险识别</w:t>
      </w:r>
      <w:bookmarkEnd w:id="287"/>
    </w:p>
    <w:p w14:paraId="164E7FC7">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（1）危险物质识别</w:t>
      </w:r>
    </w:p>
    <w:p w14:paraId="3F34F73A">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通过对主要原辅材料、中间产品、最终产品、生产过程排放的“三废”污染物及火灾、爆炸伴生或次生危险物质分析，本项目涉及的主要危险物质为硫酸、</w:t>
      </w:r>
      <w:r>
        <w:rPr>
          <w:rFonts w:hint="eastAsia" w:ascii="Times New Roman" w:hAnsi="Times New Roman" w:cs="Times New Roman"/>
          <w:color w:val="auto"/>
          <w:highlight w:val="none"/>
          <w:lang w:val="en-US" w:eastAsia="zh-CN"/>
        </w:rPr>
        <w:t>废机油</w:t>
      </w:r>
      <w:r>
        <w:rPr>
          <w:rFonts w:hint="eastAsia" w:cs="Times New Roman"/>
          <w:color w:val="auto"/>
          <w:highlight w:val="none"/>
          <w:lang w:val="en-US" w:eastAsia="zh-CN"/>
        </w:rPr>
        <w:t>及电积液</w:t>
      </w:r>
      <w:r>
        <w:rPr>
          <w:rFonts w:hint="eastAsia" w:ascii="Times New Roman" w:hAnsi="Times New Roman" w:cs="Times New Roman"/>
          <w:color w:val="auto"/>
          <w:highlight w:val="none"/>
          <w:lang w:val="en-US" w:eastAsia="zh-CN"/>
        </w:rPr>
        <w:t>等物质</w:t>
      </w:r>
      <w:r>
        <w:rPr>
          <w:rFonts w:hint="default" w:ascii="Times New Roman" w:hAnsi="Times New Roman" w:cs="Times New Roman"/>
          <w:color w:val="auto"/>
          <w:highlight w:val="none"/>
        </w:rPr>
        <w:t>。</w:t>
      </w:r>
    </w:p>
    <w:bookmarkEnd w:id="284"/>
    <w:p w14:paraId="6C225E57">
      <w:pPr>
        <w:pStyle w:val="2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bookmarkStart w:id="289" w:name="_Hlk149949102"/>
      <w:bookmarkStart w:id="290" w:name="_Toc33007204"/>
      <w:bookmarkStart w:id="291" w:name="_Toc1120415"/>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5.8-</w:t>
      </w:r>
      <w:r>
        <w:rPr>
          <w:rFonts w:hint="eastAsia" w:ascii="Times New Roman" w:eastAsia="宋体" w:cs="Times New Roman"/>
          <w:b/>
          <w:color w:val="auto"/>
          <w:sz w:val="21"/>
          <w:szCs w:val="21"/>
          <w:highlight w:val="none"/>
          <w:lang w:val="en-US" w:eastAsia="zh-CN"/>
        </w:rPr>
        <w:t>11</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硫酸理化性质及危险特性</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2351"/>
        <w:gridCol w:w="281"/>
        <w:gridCol w:w="404"/>
        <w:gridCol w:w="515"/>
        <w:gridCol w:w="1377"/>
        <w:gridCol w:w="839"/>
        <w:gridCol w:w="2581"/>
      </w:tblGrid>
      <w:tr w14:paraId="3E098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restart"/>
            <w:tcBorders>
              <w:tl2br w:val="nil"/>
              <w:tr2bl w:val="nil"/>
            </w:tcBorders>
            <w:noWrap w:val="0"/>
            <w:vAlign w:val="center"/>
          </w:tcPr>
          <w:p w14:paraId="340AEB1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标识</w:t>
            </w:r>
          </w:p>
        </w:tc>
        <w:tc>
          <w:tcPr>
            <w:tcW w:w="2022" w:type="pct"/>
            <w:gridSpan w:val="4"/>
            <w:tcBorders>
              <w:tl2br w:val="nil"/>
              <w:tr2bl w:val="nil"/>
            </w:tcBorders>
            <w:noWrap w:val="0"/>
            <w:vAlign w:val="top"/>
          </w:tcPr>
          <w:p w14:paraId="435EE2F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中文名：硫酸</w:t>
            </w:r>
          </w:p>
        </w:tc>
        <w:tc>
          <w:tcPr>
            <w:tcW w:w="2731" w:type="pct"/>
            <w:gridSpan w:val="3"/>
            <w:tcBorders>
              <w:tl2br w:val="nil"/>
              <w:tr2bl w:val="nil"/>
            </w:tcBorders>
            <w:noWrap w:val="0"/>
            <w:vAlign w:val="top"/>
          </w:tcPr>
          <w:p w14:paraId="60D327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英文名：sulfuricacid</w:t>
            </w:r>
          </w:p>
        </w:tc>
      </w:tr>
      <w:tr w14:paraId="38F4A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1E31BB1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29" w:type="pct"/>
            <w:gridSpan w:val="3"/>
            <w:tcBorders>
              <w:tl2br w:val="nil"/>
              <w:tr2bl w:val="nil"/>
            </w:tcBorders>
            <w:noWrap w:val="0"/>
            <w:vAlign w:val="top"/>
          </w:tcPr>
          <w:p w14:paraId="498B17F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分子式：H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4</w:t>
            </w:r>
          </w:p>
        </w:tc>
        <w:tc>
          <w:tcPr>
            <w:tcW w:w="1555" w:type="pct"/>
            <w:gridSpan w:val="3"/>
            <w:tcBorders>
              <w:tl2br w:val="nil"/>
              <w:tr2bl w:val="nil"/>
            </w:tcBorders>
            <w:noWrap w:val="0"/>
            <w:vAlign w:val="top"/>
          </w:tcPr>
          <w:p w14:paraId="7C18346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分子量：98.08</w:t>
            </w:r>
          </w:p>
        </w:tc>
        <w:tc>
          <w:tcPr>
            <w:tcW w:w="1469" w:type="pct"/>
            <w:tcBorders>
              <w:tl2br w:val="nil"/>
              <w:tr2bl w:val="nil"/>
            </w:tcBorders>
            <w:noWrap w:val="0"/>
            <w:vAlign w:val="top"/>
          </w:tcPr>
          <w:p w14:paraId="4C02542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CAS号：7664－93－9</w:t>
            </w:r>
          </w:p>
        </w:tc>
      </w:tr>
      <w:tr w14:paraId="0DF85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0FD7143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754" w:type="pct"/>
            <w:gridSpan w:val="7"/>
            <w:tcBorders>
              <w:tl2br w:val="nil"/>
              <w:tr2bl w:val="nil"/>
            </w:tcBorders>
            <w:noWrap w:val="0"/>
            <w:vAlign w:val="top"/>
          </w:tcPr>
          <w:p w14:paraId="0404355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危规号：81007</w:t>
            </w:r>
          </w:p>
        </w:tc>
      </w:tr>
      <w:tr w14:paraId="595BA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restart"/>
            <w:tcBorders>
              <w:tl2br w:val="nil"/>
              <w:tr2bl w:val="nil"/>
            </w:tcBorders>
            <w:noWrap w:val="0"/>
            <w:vAlign w:val="center"/>
          </w:tcPr>
          <w:p w14:paraId="0D6EE96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理化性质</w:t>
            </w:r>
          </w:p>
        </w:tc>
        <w:tc>
          <w:tcPr>
            <w:tcW w:w="4754" w:type="pct"/>
            <w:gridSpan w:val="7"/>
            <w:tcBorders>
              <w:tl2br w:val="nil"/>
              <w:tr2bl w:val="nil"/>
            </w:tcBorders>
            <w:noWrap w:val="0"/>
            <w:vAlign w:val="top"/>
          </w:tcPr>
          <w:p w14:paraId="4832A1F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性状：纯品为无色透明油状液体，无臭。</w:t>
            </w:r>
          </w:p>
        </w:tc>
      </w:tr>
      <w:tr w14:paraId="78FF1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391180C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754" w:type="pct"/>
            <w:gridSpan w:val="7"/>
            <w:tcBorders>
              <w:tl2br w:val="nil"/>
              <w:tr2bl w:val="nil"/>
            </w:tcBorders>
            <w:noWrap w:val="0"/>
            <w:vAlign w:val="top"/>
          </w:tcPr>
          <w:p w14:paraId="22CFF9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溶解性：与水混溶。</w:t>
            </w:r>
          </w:p>
        </w:tc>
      </w:tr>
      <w:tr w14:paraId="30925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1DDCE6F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9" w:type="pct"/>
            <w:gridSpan w:val="2"/>
            <w:tcBorders>
              <w:tl2br w:val="nil"/>
              <w:tr2bl w:val="nil"/>
            </w:tcBorders>
            <w:noWrap w:val="0"/>
            <w:vAlign w:val="top"/>
          </w:tcPr>
          <w:p w14:paraId="18A178C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熔点（℃）：10.5</w:t>
            </w:r>
          </w:p>
        </w:tc>
        <w:tc>
          <w:tcPr>
            <w:tcW w:w="1307" w:type="pct"/>
            <w:gridSpan w:val="3"/>
            <w:tcBorders>
              <w:tl2br w:val="nil"/>
              <w:tr2bl w:val="nil"/>
            </w:tcBorders>
            <w:noWrap w:val="0"/>
            <w:vAlign w:val="top"/>
          </w:tcPr>
          <w:p w14:paraId="389DFFA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沸点（℃）：330.0</w:t>
            </w:r>
          </w:p>
        </w:tc>
        <w:tc>
          <w:tcPr>
            <w:tcW w:w="1946" w:type="pct"/>
            <w:gridSpan w:val="2"/>
            <w:tcBorders>
              <w:tl2br w:val="nil"/>
              <w:tr2bl w:val="nil"/>
            </w:tcBorders>
            <w:noWrap w:val="0"/>
            <w:vAlign w:val="top"/>
          </w:tcPr>
          <w:p w14:paraId="5F5B7FC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相对密度（水＝1）：1.83</w:t>
            </w:r>
          </w:p>
        </w:tc>
      </w:tr>
      <w:tr w14:paraId="30FD2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73E369E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9" w:type="pct"/>
            <w:gridSpan w:val="2"/>
            <w:tcBorders>
              <w:tl2br w:val="nil"/>
              <w:tr2bl w:val="nil"/>
            </w:tcBorders>
            <w:noWrap w:val="0"/>
            <w:vAlign w:val="top"/>
          </w:tcPr>
          <w:p w14:paraId="29449D3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临界温度（℃）：</w:t>
            </w:r>
          </w:p>
        </w:tc>
        <w:tc>
          <w:tcPr>
            <w:tcW w:w="1307" w:type="pct"/>
            <w:gridSpan w:val="3"/>
            <w:tcBorders>
              <w:tl2br w:val="nil"/>
              <w:tr2bl w:val="nil"/>
            </w:tcBorders>
            <w:noWrap w:val="0"/>
            <w:vAlign w:val="top"/>
          </w:tcPr>
          <w:p w14:paraId="47D50D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临界压力（MPa）：</w:t>
            </w:r>
          </w:p>
        </w:tc>
        <w:tc>
          <w:tcPr>
            <w:tcW w:w="1946" w:type="pct"/>
            <w:gridSpan w:val="2"/>
            <w:tcBorders>
              <w:tl2br w:val="nil"/>
              <w:tr2bl w:val="nil"/>
            </w:tcBorders>
            <w:noWrap w:val="0"/>
            <w:vAlign w:val="top"/>
          </w:tcPr>
          <w:p w14:paraId="0E35E50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相对密度（空气＝1）：3.4</w:t>
            </w:r>
          </w:p>
        </w:tc>
      </w:tr>
      <w:tr w14:paraId="06B4B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40E3096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9" w:type="pct"/>
            <w:gridSpan w:val="2"/>
            <w:tcBorders>
              <w:tl2br w:val="nil"/>
              <w:tr2bl w:val="nil"/>
            </w:tcBorders>
            <w:noWrap w:val="0"/>
            <w:vAlign w:val="top"/>
          </w:tcPr>
          <w:p w14:paraId="5E8B87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燃烧热（</w:t>
            </w:r>
            <w:r>
              <w:rPr>
                <w:rFonts w:hint="eastAsia" w:cs="Times New Roman"/>
                <w:color w:val="auto"/>
                <w:sz w:val="21"/>
                <w:szCs w:val="21"/>
                <w:highlight w:val="none"/>
                <w:lang w:val="en-US" w:eastAsia="zh-CN"/>
              </w:rPr>
              <w:t>k</w:t>
            </w:r>
            <w:r>
              <w:rPr>
                <w:rFonts w:hint="default" w:ascii="Times New Roman" w:hAnsi="Times New Roman" w:eastAsia="宋体" w:cs="Times New Roman"/>
                <w:color w:val="auto"/>
                <w:sz w:val="21"/>
                <w:szCs w:val="21"/>
                <w:highlight w:val="none"/>
              </w:rPr>
              <w:t>J/mol）：无意义</w:t>
            </w:r>
          </w:p>
        </w:tc>
        <w:tc>
          <w:tcPr>
            <w:tcW w:w="1307" w:type="pct"/>
            <w:gridSpan w:val="3"/>
            <w:tcBorders>
              <w:tl2br w:val="nil"/>
              <w:tr2bl w:val="nil"/>
            </w:tcBorders>
            <w:noWrap w:val="0"/>
            <w:vAlign w:val="top"/>
          </w:tcPr>
          <w:p w14:paraId="4DEFFBD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最小点火能（</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J）：</w:t>
            </w:r>
          </w:p>
        </w:tc>
        <w:tc>
          <w:tcPr>
            <w:tcW w:w="1946" w:type="pct"/>
            <w:gridSpan w:val="2"/>
            <w:tcBorders>
              <w:tl2br w:val="nil"/>
              <w:tr2bl w:val="nil"/>
            </w:tcBorders>
            <w:noWrap w:val="0"/>
            <w:vAlign w:val="top"/>
          </w:tcPr>
          <w:p w14:paraId="3D26FDF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饱和蒸汽压（</w:t>
            </w:r>
            <w:r>
              <w:rPr>
                <w:rFonts w:hint="eastAsia" w:cs="Times New Roman"/>
                <w:color w:val="auto"/>
                <w:sz w:val="21"/>
                <w:szCs w:val="21"/>
                <w:highlight w:val="none"/>
                <w:lang w:val="en-US" w:eastAsia="zh-CN"/>
              </w:rPr>
              <w:t>k</w:t>
            </w:r>
            <w:r>
              <w:rPr>
                <w:rFonts w:hint="default" w:ascii="Times New Roman" w:hAnsi="Times New Roman" w:eastAsia="宋体" w:cs="Times New Roman"/>
                <w:color w:val="auto"/>
                <w:sz w:val="21"/>
                <w:szCs w:val="21"/>
                <w:highlight w:val="none"/>
              </w:rPr>
              <w:t>Pa）：0.13（145.8℃）</w:t>
            </w:r>
          </w:p>
        </w:tc>
      </w:tr>
      <w:tr w14:paraId="19218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restart"/>
            <w:tcBorders>
              <w:tl2br w:val="nil"/>
              <w:tr2bl w:val="nil"/>
            </w:tcBorders>
            <w:noWrap w:val="0"/>
            <w:vAlign w:val="center"/>
          </w:tcPr>
          <w:p w14:paraId="23A8D9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燃烧爆炸危险性</w:t>
            </w:r>
          </w:p>
        </w:tc>
        <w:tc>
          <w:tcPr>
            <w:tcW w:w="1339" w:type="pct"/>
            <w:tcBorders>
              <w:tl2br w:val="nil"/>
              <w:tr2bl w:val="nil"/>
            </w:tcBorders>
            <w:noWrap w:val="0"/>
            <w:vAlign w:val="top"/>
          </w:tcPr>
          <w:p w14:paraId="567DE5A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燃烧性：不燃</w:t>
            </w:r>
          </w:p>
        </w:tc>
        <w:tc>
          <w:tcPr>
            <w:tcW w:w="3415" w:type="pct"/>
            <w:gridSpan w:val="6"/>
            <w:tcBorders>
              <w:tl2br w:val="nil"/>
              <w:tr2bl w:val="nil"/>
            </w:tcBorders>
            <w:noWrap w:val="0"/>
            <w:vAlign w:val="top"/>
          </w:tcPr>
          <w:p w14:paraId="30F83BB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燃烧分解产物：氧化硫。</w:t>
            </w:r>
          </w:p>
        </w:tc>
      </w:tr>
      <w:tr w14:paraId="616D7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67F4326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9" w:type="pct"/>
            <w:tcBorders>
              <w:tl2br w:val="nil"/>
              <w:tr2bl w:val="nil"/>
            </w:tcBorders>
            <w:noWrap w:val="0"/>
            <w:vAlign w:val="top"/>
          </w:tcPr>
          <w:p w14:paraId="46E43F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闪点（℃）：无意义</w:t>
            </w:r>
          </w:p>
        </w:tc>
        <w:tc>
          <w:tcPr>
            <w:tcW w:w="3415" w:type="pct"/>
            <w:gridSpan w:val="6"/>
            <w:tcBorders>
              <w:tl2br w:val="nil"/>
              <w:tr2bl w:val="nil"/>
            </w:tcBorders>
            <w:noWrap w:val="0"/>
            <w:vAlign w:val="top"/>
          </w:tcPr>
          <w:p w14:paraId="37B8EE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聚合危害：不聚合</w:t>
            </w:r>
          </w:p>
        </w:tc>
      </w:tr>
      <w:tr w14:paraId="545E8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39C430D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9" w:type="pct"/>
            <w:tcBorders>
              <w:tl2br w:val="nil"/>
              <w:tr2bl w:val="nil"/>
            </w:tcBorders>
            <w:noWrap w:val="0"/>
            <w:vAlign w:val="top"/>
          </w:tcPr>
          <w:p w14:paraId="5CA70B1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爆炸下限（％）：无意义</w:t>
            </w:r>
          </w:p>
        </w:tc>
        <w:tc>
          <w:tcPr>
            <w:tcW w:w="3415" w:type="pct"/>
            <w:gridSpan w:val="6"/>
            <w:tcBorders>
              <w:tl2br w:val="nil"/>
              <w:tr2bl w:val="nil"/>
            </w:tcBorders>
            <w:noWrap w:val="0"/>
            <w:vAlign w:val="top"/>
          </w:tcPr>
          <w:p w14:paraId="71F068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稳定性：稳定</w:t>
            </w:r>
          </w:p>
        </w:tc>
      </w:tr>
      <w:tr w14:paraId="01691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67BD551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9" w:type="pct"/>
            <w:tcBorders>
              <w:tl2br w:val="nil"/>
              <w:tr2bl w:val="nil"/>
            </w:tcBorders>
            <w:noWrap w:val="0"/>
            <w:vAlign w:val="top"/>
          </w:tcPr>
          <w:p w14:paraId="72B5B6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爆炸上限（％）：无意义</w:t>
            </w:r>
          </w:p>
        </w:tc>
        <w:tc>
          <w:tcPr>
            <w:tcW w:w="3415" w:type="pct"/>
            <w:gridSpan w:val="6"/>
            <w:tcBorders>
              <w:tl2br w:val="nil"/>
              <w:tr2bl w:val="nil"/>
            </w:tcBorders>
            <w:noWrap w:val="0"/>
            <w:vAlign w:val="top"/>
          </w:tcPr>
          <w:p w14:paraId="28FC88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最大爆炸压力（MPa）：无意义</w:t>
            </w:r>
          </w:p>
        </w:tc>
      </w:tr>
      <w:tr w14:paraId="5DC9B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49BCAE2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9" w:type="pct"/>
            <w:tcBorders>
              <w:tl2br w:val="nil"/>
              <w:tr2bl w:val="nil"/>
            </w:tcBorders>
            <w:noWrap w:val="0"/>
            <w:vAlign w:val="top"/>
          </w:tcPr>
          <w:p w14:paraId="263BF8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引燃温度（℃）：无意义</w:t>
            </w:r>
          </w:p>
        </w:tc>
        <w:tc>
          <w:tcPr>
            <w:tcW w:w="3415" w:type="pct"/>
            <w:gridSpan w:val="6"/>
            <w:tcBorders>
              <w:tl2br w:val="nil"/>
              <w:tr2bl w:val="nil"/>
            </w:tcBorders>
            <w:noWrap w:val="0"/>
            <w:vAlign w:val="top"/>
          </w:tcPr>
          <w:p w14:paraId="2C8B3DE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禁忌物：碱类、碱金属、水、强还原剂、易燃或可燃物。</w:t>
            </w:r>
          </w:p>
        </w:tc>
      </w:tr>
      <w:tr w14:paraId="5CBCD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6CB9D52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754" w:type="pct"/>
            <w:gridSpan w:val="7"/>
            <w:tcBorders>
              <w:tl2br w:val="nil"/>
              <w:tr2bl w:val="nil"/>
            </w:tcBorders>
            <w:noWrap w:val="0"/>
            <w:vAlign w:val="top"/>
          </w:tcPr>
          <w:p w14:paraId="76C99C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危险特性：遇水大量放热，可发生沸溅。与易燃物（如苯）和可燃物（如糖、纤维素等）接触会发生剧烈反应，甚至引起燃烧。遇电石、高氯酸盐、</w:t>
            </w:r>
            <w:r>
              <w:rPr>
                <w:rFonts w:hint="default" w:ascii="Times New Roman" w:hAnsi="Times New Roman" w:eastAsia="宋体" w:cs="Times New Roman"/>
                <w:color w:val="auto"/>
                <w:sz w:val="21"/>
                <w:szCs w:val="21"/>
                <w:highlight w:val="none"/>
                <w:lang w:eastAsia="zh-CN"/>
              </w:rPr>
              <w:t>磷酸</w:t>
            </w:r>
            <w:r>
              <w:rPr>
                <w:rFonts w:hint="default" w:ascii="Times New Roman" w:hAnsi="Times New Roman" w:eastAsia="宋体" w:cs="Times New Roman"/>
                <w:color w:val="auto"/>
                <w:sz w:val="21"/>
                <w:szCs w:val="21"/>
                <w:highlight w:val="none"/>
              </w:rPr>
              <w:t>盐、硝酸盐、苦味酸盐、金属粉末等猛烈反应，发生爆炸或燃烧。有强烈的腐蚀性和吸水性。</w:t>
            </w:r>
          </w:p>
        </w:tc>
      </w:tr>
      <w:tr w14:paraId="68718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44BB3D3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754" w:type="pct"/>
            <w:gridSpan w:val="7"/>
            <w:tcBorders>
              <w:tl2br w:val="nil"/>
              <w:tr2bl w:val="nil"/>
            </w:tcBorders>
            <w:noWrap w:val="0"/>
            <w:vAlign w:val="top"/>
          </w:tcPr>
          <w:p w14:paraId="180104C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灭火方法：消防人员必须穿全身耐酸碱消防服。灭火剂：干粉、二氧化碳、砂土。避免水流冲击物品，以免遇水会放出大量热量发生喷溅而灼伤皮肤。</w:t>
            </w:r>
          </w:p>
        </w:tc>
      </w:tr>
      <w:tr w14:paraId="23826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14ADF9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w:t>
            </w:r>
          </w:p>
        </w:tc>
        <w:tc>
          <w:tcPr>
            <w:tcW w:w="4754" w:type="pct"/>
            <w:gridSpan w:val="7"/>
            <w:tcBorders>
              <w:tl2br w:val="nil"/>
              <w:tr2bl w:val="nil"/>
            </w:tcBorders>
            <w:noWrap w:val="0"/>
            <w:vAlign w:val="top"/>
          </w:tcPr>
          <w:p w14:paraId="59DCDB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接触限值：中国MAC（mg/m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）2前苏联MAC（mg/m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）1</w:t>
            </w:r>
          </w:p>
          <w:p w14:paraId="078B440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美国TVL－TWAACGIH1mg/m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美国TLV－STELACGIH3mg/m</w:t>
            </w:r>
            <w:r>
              <w:rPr>
                <w:rFonts w:hint="default" w:ascii="Times New Roman" w:hAnsi="Times New Roman" w:eastAsia="宋体" w:cs="Times New Roman"/>
                <w:color w:val="auto"/>
                <w:sz w:val="21"/>
                <w:szCs w:val="21"/>
                <w:highlight w:val="none"/>
                <w:vertAlign w:val="superscript"/>
              </w:rPr>
              <w:t>3</w:t>
            </w:r>
          </w:p>
          <w:p w14:paraId="1F61722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2140mg/kg（大鼠经口）</w:t>
            </w:r>
          </w:p>
          <w:p w14:paraId="30E161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510mg/m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，2小时（大鼠吸入）；320mg/m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，2小时（小鼠吸入）</w:t>
            </w:r>
          </w:p>
        </w:tc>
      </w:tr>
      <w:tr w14:paraId="4F369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3E20B14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对人体危害</w:t>
            </w:r>
          </w:p>
        </w:tc>
        <w:tc>
          <w:tcPr>
            <w:tcW w:w="4754" w:type="pct"/>
            <w:gridSpan w:val="7"/>
            <w:tcBorders>
              <w:tl2br w:val="nil"/>
              <w:tr2bl w:val="nil"/>
            </w:tcBorders>
            <w:noWrap w:val="0"/>
            <w:vAlign w:val="top"/>
          </w:tcPr>
          <w:p w14:paraId="2C8F00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侵入途径：吸入、食入。</w:t>
            </w:r>
          </w:p>
          <w:p w14:paraId="2B28DD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健康危害：对皮肤、</w:t>
            </w:r>
            <w:r>
              <w:rPr>
                <w:rFonts w:hint="default" w:ascii="Times New Roman" w:hAnsi="Times New Roman" w:eastAsia="宋体" w:cs="Times New Roman"/>
                <w:color w:val="auto"/>
                <w:sz w:val="21"/>
                <w:szCs w:val="21"/>
                <w:highlight w:val="none"/>
                <w:lang w:eastAsia="zh-CN"/>
              </w:rPr>
              <w:t>黏膜</w:t>
            </w:r>
            <w:r>
              <w:rPr>
                <w:rFonts w:hint="default" w:ascii="Times New Roman" w:hAnsi="Times New Roman" w:eastAsia="宋体" w:cs="Times New Roman"/>
                <w:color w:val="auto"/>
                <w:sz w:val="21"/>
                <w:szCs w:val="21"/>
                <w:highlight w:val="none"/>
              </w:rPr>
              <w:t>等组织有强烈的刺激和腐蚀作用。蒸气或雾可引起结膜炎、结膜水肿、角膜混浊，以致失明；引起呼吸道刺激，重者发生呼吸困难和肺水肿；高浓度引起喉痉挛或声门水肿而窒息死亡。口服后引起消化道灼伤以致溃疡形成；严重者可能有胃穿孔、腹膜炎、肾损害、休克等。皮肤灼伤轻者出现红斑，重者形成溃疡，愈合</w:t>
            </w:r>
            <w:r>
              <w:rPr>
                <w:rFonts w:hint="default" w:ascii="Times New Roman" w:hAnsi="Times New Roman" w:eastAsia="宋体" w:cs="Times New Roman"/>
                <w:color w:val="auto"/>
                <w:sz w:val="21"/>
                <w:szCs w:val="21"/>
                <w:highlight w:val="none"/>
                <w:lang w:eastAsia="zh-CN"/>
              </w:rPr>
              <w:t>瘢痕</w:t>
            </w:r>
            <w:r>
              <w:rPr>
                <w:rFonts w:hint="default" w:ascii="Times New Roman" w:hAnsi="Times New Roman" w:eastAsia="宋体" w:cs="Times New Roman"/>
                <w:color w:val="auto"/>
                <w:sz w:val="21"/>
                <w:szCs w:val="21"/>
                <w:highlight w:val="none"/>
              </w:rPr>
              <w:t>收缩影响功能。溅入眼内可造成灼伤，甚至角膜穿孔、全眼炎以至失明。慢性影响：牙齿酸蚀症、慢性支气管炎、肺气肿和肺硬化。</w:t>
            </w:r>
          </w:p>
        </w:tc>
      </w:tr>
      <w:tr w14:paraId="4B7D9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68171C0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急救</w:t>
            </w:r>
          </w:p>
        </w:tc>
        <w:tc>
          <w:tcPr>
            <w:tcW w:w="4754" w:type="pct"/>
            <w:gridSpan w:val="7"/>
            <w:tcBorders>
              <w:tl2br w:val="nil"/>
              <w:tr2bl w:val="nil"/>
            </w:tcBorders>
            <w:noWrap w:val="0"/>
            <w:vAlign w:val="top"/>
          </w:tcPr>
          <w:p w14:paraId="264D1CD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皮肤接触：立即</w:t>
            </w:r>
            <w:r>
              <w:rPr>
                <w:rFonts w:hint="eastAsia" w:cs="Times New Roman"/>
                <w:color w:val="auto"/>
                <w:sz w:val="21"/>
                <w:szCs w:val="21"/>
                <w:highlight w:val="none"/>
                <w:lang w:eastAsia="zh-CN"/>
              </w:rPr>
              <w:t>脱除</w:t>
            </w:r>
            <w:r>
              <w:rPr>
                <w:rFonts w:hint="default" w:ascii="Times New Roman" w:hAnsi="Times New Roman" w:eastAsia="宋体" w:cs="Times New Roman"/>
                <w:color w:val="auto"/>
                <w:sz w:val="21"/>
                <w:szCs w:val="21"/>
                <w:highlight w:val="none"/>
              </w:rPr>
              <w:t>被污染的衣着。用大量流动清水冲洗，至少15分钟。就医。</w:t>
            </w:r>
          </w:p>
          <w:p w14:paraId="14C730A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眼睛接触：立即提起眼睑，用大量流动清水或生理盐水彻底冲洗至少15分钟。就医。</w:t>
            </w:r>
          </w:p>
          <w:p w14:paraId="1513C7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吸入：迅速脱离现场至空气新鲜处，保持呼吸道通畅。如呼吸困难，给输氧。如呼吸停止，立即进行人工呼吸。就医。</w:t>
            </w:r>
          </w:p>
          <w:p w14:paraId="344476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食入：误服者用水漱口，给饮牛奶或蛋清。就医。</w:t>
            </w:r>
          </w:p>
        </w:tc>
      </w:tr>
      <w:tr w14:paraId="448AF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2A21351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防护</w:t>
            </w:r>
          </w:p>
        </w:tc>
        <w:tc>
          <w:tcPr>
            <w:tcW w:w="4754" w:type="pct"/>
            <w:gridSpan w:val="7"/>
            <w:tcBorders>
              <w:tl2br w:val="nil"/>
              <w:tr2bl w:val="nil"/>
            </w:tcBorders>
            <w:noWrap w:val="0"/>
            <w:vAlign w:val="top"/>
          </w:tcPr>
          <w:p w14:paraId="43AE8F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工程防护：密闭操作，注意通风。尽可能机械化、自动化。提供安全淋浴和洗眼设备。</w:t>
            </w:r>
          </w:p>
          <w:p w14:paraId="2A94E02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个人防护：可能接触其烟雾时，佩戴自吸过滤式防毒面具（全面罩）或空气呼吸器。紧急事态抢救或撤离时，建议佩戴氧气呼吸器；穿橡胶耐酸碱服；戴橡胶耐酸碱手套。工作现场严禁吸烟、进食和饮水。工作毕，淋浴更衣。单独存放被毒物污染的衣服，洗后备用。保持良好的卫生习惯。</w:t>
            </w:r>
          </w:p>
        </w:tc>
      </w:tr>
      <w:tr w14:paraId="7E4EE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57814B9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泄漏处理</w:t>
            </w:r>
          </w:p>
        </w:tc>
        <w:tc>
          <w:tcPr>
            <w:tcW w:w="4754" w:type="pct"/>
            <w:gridSpan w:val="7"/>
            <w:tcBorders>
              <w:tl2br w:val="nil"/>
              <w:tr2bl w:val="nil"/>
            </w:tcBorders>
            <w:noWrap w:val="0"/>
            <w:vAlign w:val="top"/>
          </w:tcPr>
          <w:p w14:paraId="3013FFF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迅速撤离泄漏污染区人员至安全区，并进行隔离，严格限制出入。建议应急处理人员戴自给正压式呼吸器，穿防酸碱工作服。不要直接接触泄漏物。尽可能切断泄漏源。防止进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14:paraId="5303F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12D6F8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贮运</w:t>
            </w:r>
          </w:p>
        </w:tc>
        <w:tc>
          <w:tcPr>
            <w:tcW w:w="4754" w:type="pct"/>
            <w:gridSpan w:val="7"/>
            <w:tcBorders>
              <w:tl2br w:val="nil"/>
              <w:tr2bl w:val="nil"/>
            </w:tcBorders>
            <w:noWrap w:val="0"/>
            <w:vAlign w:val="top"/>
          </w:tcPr>
          <w:p w14:paraId="55EC7FE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包装标志：20UN编号：1830包装分类：Ⅰ包装方法：螺纹口或磨砂口玻璃瓶外木板箱；耐酸坛、陶瓷罐外木板箱或半花格箱。</w:t>
            </w:r>
          </w:p>
          <w:p w14:paraId="350271D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储运条件：储存于阴凉、干燥，通风良好的仓间。应与易燃或可燃物、碱类、金属粉末等分开存放。不可混储混运。搬运要轻装轻卸，防止包装及容器损坏。分装和搬运作业要注意个人防护。</w:t>
            </w:r>
          </w:p>
        </w:tc>
      </w:tr>
    </w:tbl>
    <w:p w14:paraId="1AB869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5.8-</w:t>
      </w:r>
      <w:r>
        <w:rPr>
          <w:rFonts w:hint="eastAsia" w:cs="Times New Roman"/>
          <w:b/>
          <w:color w:val="auto"/>
          <w:sz w:val="21"/>
          <w:szCs w:val="21"/>
          <w:highlight w:val="none"/>
          <w:lang w:val="en-US" w:eastAsia="zh-CN"/>
        </w:rPr>
        <w:t xml:space="preserve">12 </w:t>
      </w:r>
      <w:r>
        <w:rPr>
          <w:rFonts w:hint="eastAsia" w:ascii="Times New Roman" w:hAnsi="Times New Roman" w:eastAsia="宋体" w:cs="Times New Roman"/>
          <w:b/>
          <w:color w:val="auto"/>
          <w:sz w:val="21"/>
          <w:szCs w:val="21"/>
          <w:highlight w:val="none"/>
          <w:lang w:val="en-US" w:eastAsia="zh-CN"/>
        </w:rPr>
        <w:t>机油</w:t>
      </w:r>
      <w:r>
        <w:rPr>
          <w:rFonts w:hint="default" w:ascii="Times New Roman" w:hAnsi="Times New Roman" w:eastAsia="宋体" w:cs="Times New Roman"/>
          <w:b/>
          <w:color w:val="auto"/>
          <w:sz w:val="21"/>
          <w:szCs w:val="21"/>
          <w:highlight w:val="none"/>
        </w:rPr>
        <w:t>的理化性质及危险特性</w:t>
      </w:r>
    </w:p>
    <w:tbl>
      <w:tblPr>
        <w:tblStyle w:val="3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3005"/>
        <w:gridCol w:w="4148"/>
      </w:tblGrid>
      <w:tr w14:paraId="7F888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0166C7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化学品名称</w:t>
            </w:r>
          </w:p>
        </w:tc>
        <w:tc>
          <w:tcPr>
            <w:tcW w:w="1756" w:type="pct"/>
            <w:tcBorders>
              <w:tl2br w:val="nil"/>
              <w:tr2bl w:val="nil"/>
            </w:tcBorders>
            <w:noWrap w:val="0"/>
            <w:tcMar>
              <w:left w:w="0" w:type="dxa"/>
              <w:right w:w="0" w:type="dxa"/>
            </w:tcMar>
            <w:vAlign w:val="center"/>
          </w:tcPr>
          <w:p w14:paraId="4A44B0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化学品中文名称</w:t>
            </w:r>
          </w:p>
        </w:tc>
        <w:tc>
          <w:tcPr>
            <w:tcW w:w="2423" w:type="pct"/>
            <w:tcBorders>
              <w:tl2br w:val="nil"/>
              <w:tr2bl w:val="nil"/>
            </w:tcBorders>
            <w:noWrap w:val="0"/>
            <w:tcMar>
              <w:left w:w="0" w:type="dxa"/>
              <w:right w:w="0" w:type="dxa"/>
            </w:tcMar>
            <w:vAlign w:val="center"/>
          </w:tcPr>
          <w:p w14:paraId="6614D6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润滑油</w:t>
            </w:r>
          </w:p>
        </w:tc>
      </w:tr>
      <w:tr w14:paraId="3EA22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restart"/>
            <w:tcBorders>
              <w:tl2br w:val="nil"/>
              <w:tr2bl w:val="nil"/>
            </w:tcBorders>
            <w:noWrap w:val="0"/>
            <w:tcMar>
              <w:left w:w="0" w:type="dxa"/>
              <w:right w:w="0" w:type="dxa"/>
            </w:tcMar>
            <w:vAlign w:val="center"/>
          </w:tcPr>
          <w:p w14:paraId="0A68B4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理化性质</w:t>
            </w:r>
          </w:p>
        </w:tc>
        <w:tc>
          <w:tcPr>
            <w:tcW w:w="1756" w:type="pct"/>
            <w:tcBorders>
              <w:tl2br w:val="nil"/>
              <w:tr2bl w:val="nil"/>
            </w:tcBorders>
            <w:noWrap w:val="0"/>
            <w:tcMar>
              <w:left w:w="0" w:type="dxa"/>
              <w:right w:w="0" w:type="dxa"/>
            </w:tcMar>
            <w:vAlign w:val="center"/>
          </w:tcPr>
          <w:p w14:paraId="00E290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密度（20℃）/kg·m</w:t>
            </w:r>
            <w:r>
              <w:rPr>
                <w:rFonts w:hint="default" w:ascii="Times New Roman" w:hAnsi="Times New Roman" w:eastAsia="宋体" w:cs="Times New Roman"/>
                <w:color w:val="auto"/>
                <w:sz w:val="21"/>
                <w:szCs w:val="21"/>
                <w:highlight w:val="none"/>
                <w:vertAlign w:val="superscript"/>
                <w:lang w:eastAsia="zh-CN"/>
              </w:rPr>
              <w:t>-3</w:t>
            </w:r>
          </w:p>
        </w:tc>
        <w:tc>
          <w:tcPr>
            <w:tcW w:w="2423" w:type="pct"/>
            <w:tcBorders>
              <w:tl2br w:val="nil"/>
              <w:tr2bl w:val="nil"/>
            </w:tcBorders>
            <w:noWrap w:val="0"/>
            <w:tcMar>
              <w:left w:w="0" w:type="dxa"/>
              <w:right w:w="0" w:type="dxa"/>
            </w:tcMar>
            <w:vAlign w:val="center"/>
          </w:tcPr>
          <w:p w14:paraId="45C7D1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0.8</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0.9</w:t>
            </w:r>
          </w:p>
        </w:tc>
      </w:tr>
      <w:tr w14:paraId="06A02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6BA662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7AF1FC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分子量</w:t>
            </w:r>
          </w:p>
        </w:tc>
        <w:tc>
          <w:tcPr>
            <w:tcW w:w="2423" w:type="pct"/>
            <w:tcBorders>
              <w:tl2br w:val="nil"/>
              <w:tr2bl w:val="nil"/>
            </w:tcBorders>
            <w:noWrap w:val="0"/>
            <w:tcMar>
              <w:left w:w="0" w:type="dxa"/>
              <w:right w:w="0" w:type="dxa"/>
            </w:tcMar>
            <w:vAlign w:val="center"/>
          </w:tcPr>
          <w:p w14:paraId="5ED668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230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500</w:t>
            </w:r>
          </w:p>
        </w:tc>
      </w:tr>
      <w:tr w14:paraId="67F03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19" w:type="pct"/>
            <w:vMerge w:val="continue"/>
            <w:tcBorders>
              <w:tl2br w:val="nil"/>
              <w:tr2bl w:val="nil"/>
            </w:tcBorders>
            <w:noWrap w:val="0"/>
            <w:tcMar>
              <w:left w:w="0" w:type="dxa"/>
              <w:right w:w="0" w:type="dxa"/>
            </w:tcMar>
            <w:vAlign w:val="center"/>
          </w:tcPr>
          <w:p w14:paraId="54E083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50EE42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外观</w:t>
            </w:r>
          </w:p>
        </w:tc>
        <w:tc>
          <w:tcPr>
            <w:tcW w:w="2423" w:type="pct"/>
            <w:tcBorders>
              <w:tl2br w:val="nil"/>
              <w:tr2bl w:val="nil"/>
            </w:tcBorders>
            <w:noWrap w:val="0"/>
            <w:tcMar>
              <w:left w:w="0" w:type="dxa"/>
              <w:right w:w="0" w:type="dxa"/>
            </w:tcMar>
            <w:vAlign w:val="center"/>
          </w:tcPr>
          <w:p w14:paraId="090711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深黄或黑色</w:t>
            </w:r>
          </w:p>
        </w:tc>
      </w:tr>
      <w:tr w14:paraId="77E62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819" w:type="pct"/>
            <w:vMerge w:val="continue"/>
            <w:tcBorders>
              <w:tl2br w:val="nil"/>
              <w:tr2bl w:val="nil"/>
            </w:tcBorders>
            <w:noWrap w:val="0"/>
            <w:tcMar>
              <w:left w:w="0" w:type="dxa"/>
              <w:right w:w="0" w:type="dxa"/>
            </w:tcMar>
            <w:vAlign w:val="center"/>
          </w:tcPr>
          <w:p w14:paraId="0E21BF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2287FA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初馏点</w:t>
            </w:r>
          </w:p>
        </w:tc>
        <w:tc>
          <w:tcPr>
            <w:tcW w:w="2423" w:type="pct"/>
            <w:tcBorders>
              <w:tl2br w:val="nil"/>
              <w:tr2bl w:val="nil"/>
            </w:tcBorders>
            <w:noWrap w:val="0"/>
            <w:tcMar>
              <w:left w:w="0" w:type="dxa"/>
              <w:right w:w="0" w:type="dxa"/>
            </w:tcMar>
            <w:vAlign w:val="center"/>
          </w:tcPr>
          <w:p w14:paraId="0E0C3F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250</w:t>
            </w:r>
          </w:p>
        </w:tc>
      </w:tr>
      <w:tr w14:paraId="534D5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176D6D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03FC9C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IBP/5%</w:t>
            </w:r>
          </w:p>
        </w:tc>
        <w:tc>
          <w:tcPr>
            <w:tcW w:w="2423" w:type="pct"/>
            <w:tcBorders>
              <w:tl2br w:val="nil"/>
              <w:tr2bl w:val="nil"/>
            </w:tcBorders>
            <w:noWrap w:val="0"/>
            <w:tcMar>
              <w:left w:w="0" w:type="dxa"/>
              <w:right w:w="0" w:type="dxa"/>
            </w:tcMar>
            <w:vAlign w:val="center"/>
          </w:tcPr>
          <w:p w14:paraId="0489E1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300</w:t>
            </w:r>
          </w:p>
        </w:tc>
      </w:tr>
      <w:tr w14:paraId="45E54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6D5A29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264D4D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IBP30</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/50%</w:t>
            </w:r>
          </w:p>
        </w:tc>
        <w:tc>
          <w:tcPr>
            <w:tcW w:w="2423" w:type="pct"/>
            <w:tcBorders>
              <w:tl2br w:val="nil"/>
              <w:tr2bl w:val="nil"/>
            </w:tcBorders>
            <w:noWrap w:val="0"/>
            <w:tcMar>
              <w:left w:w="0" w:type="dxa"/>
              <w:right w:w="0" w:type="dxa"/>
            </w:tcMar>
            <w:vAlign w:val="center"/>
          </w:tcPr>
          <w:p w14:paraId="3BE6E8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405/422</w:t>
            </w:r>
          </w:p>
        </w:tc>
      </w:tr>
      <w:tr w14:paraId="7BCF1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7497D6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592222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IBP70%/85%</w:t>
            </w:r>
          </w:p>
        </w:tc>
        <w:tc>
          <w:tcPr>
            <w:tcW w:w="2423" w:type="pct"/>
            <w:tcBorders>
              <w:tl2br w:val="nil"/>
              <w:tr2bl w:val="nil"/>
            </w:tcBorders>
            <w:noWrap w:val="0"/>
            <w:tcMar>
              <w:left w:w="0" w:type="dxa"/>
              <w:right w:w="0" w:type="dxa"/>
            </w:tcMar>
            <w:vAlign w:val="center"/>
          </w:tcPr>
          <w:p w14:paraId="072A4C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440/466</w:t>
            </w:r>
          </w:p>
        </w:tc>
      </w:tr>
      <w:tr w14:paraId="14FD0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1992E0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3BAB82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IBP90%/EBP</w:t>
            </w:r>
          </w:p>
        </w:tc>
        <w:tc>
          <w:tcPr>
            <w:tcW w:w="2423" w:type="pct"/>
            <w:tcBorders>
              <w:tl2br w:val="nil"/>
              <w:tr2bl w:val="nil"/>
            </w:tcBorders>
            <w:noWrap w:val="0"/>
            <w:tcMar>
              <w:left w:w="0" w:type="dxa"/>
              <w:right w:w="0" w:type="dxa"/>
            </w:tcMar>
            <w:vAlign w:val="center"/>
          </w:tcPr>
          <w:p w14:paraId="04293B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477/483</w:t>
            </w:r>
          </w:p>
        </w:tc>
      </w:tr>
      <w:tr w14:paraId="6A8D7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783AC5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31EB64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硫含量/μg·g</w:t>
            </w:r>
            <w:r>
              <w:rPr>
                <w:rFonts w:hint="default" w:ascii="Times New Roman" w:hAnsi="Times New Roman" w:eastAsia="宋体" w:cs="Times New Roman"/>
                <w:color w:val="auto"/>
                <w:sz w:val="21"/>
                <w:szCs w:val="21"/>
                <w:highlight w:val="none"/>
                <w:vertAlign w:val="superscript"/>
                <w:lang w:eastAsia="zh-CN"/>
              </w:rPr>
              <w:t>-1</w:t>
            </w:r>
          </w:p>
        </w:tc>
        <w:tc>
          <w:tcPr>
            <w:tcW w:w="2423" w:type="pct"/>
            <w:tcBorders>
              <w:tl2br w:val="nil"/>
              <w:tr2bl w:val="nil"/>
            </w:tcBorders>
            <w:noWrap w:val="0"/>
            <w:tcMar>
              <w:left w:w="0" w:type="dxa"/>
              <w:right w:w="0" w:type="dxa"/>
            </w:tcMar>
            <w:vAlign w:val="center"/>
          </w:tcPr>
          <w:p w14:paraId="552DAE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15</w:t>
            </w:r>
          </w:p>
        </w:tc>
      </w:tr>
      <w:tr w14:paraId="4C968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329732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4AEE4A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氮含量/μg·g</w:t>
            </w:r>
            <w:r>
              <w:rPr>
                <w:rFonts w:hint="default" w:ascii="Times New Roman" w:hAnsi="Times New Roman" w:eastAsia="宋体" w:cs="Times New Roman"/>
                <w:color w:val="auto"/>
                <w:sz w:val="21"/>
                <w:szCs w:val="21"/>
                <w:highlight w:val="none"/>
                <w:vertAlign w:val="superscript"/>
                <w:lang w:eastAsia="zh-CN"/>
              </w:rPr>
              <w:t>-1</w:t>
            </w:r>
          </w:p>
        </w:tc>
        <w:tc>
          <w:tcPr>
            <w:tcW w:w="2423" w:type="pct"/>
            <w:tcBorders>
              <w:tl2br w:val="nil"/>
              <w:tr2bl w:val="nil"/>
            </w:tcBorders>
            <w:noWrap w:val="0"/>
            <w:tcMar>
              <w:left w:w="0" w:type="dxa"/>
              <w:right w:w="0" w:type="dxa"/>
            </w:tcMar>
            <w:vAlign w:val="center"/>
          </w:tcPr>
          <w:p w14:paraId="324507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500</w:t>
            </w:r>
          </w:p>
        </w:tc>
      </w:tr>
      <w:tr w14:paraId="2E046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43B940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04C100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凝点/℃</w:t>
            </w:r>
          </w:p>
        </w:tc>
        <w:tc>
          <w:tcPr>
            <w:tcW w:w="2423" w:type="pct"/>
            <w:tcBorders>
              <w:tl2br w:val="nil"/>
              <w:tr2bl w:val="nil"/>
            </w:tcBorders>
            <w:noWrap w:val="0"/>
            <w:tcMar>
              <w:left w:w="0" w:type="dxa"/>
              <w:right w:w="0" w:type="dxa"/>
            </w:tcMar>
            <w:vAlign w:val="center"/>
          </w:tcPr>
          <w:p w14:paraId="5A7FCE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0</w:t>
            </w:r>
          </w:p>
        </w:tc>
      </w:tr>
      <w:tr w14:paraId="1D605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1770F3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608890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黏度</w:t>
            </w:r>
            <w:r>
              <w:rPr>
                <w:rFonts w:hint="default" w:ascii="Times New Roman" w:hAnsi="Times New Roman" w:eastAsia="宋体" w:cs="Times New Roman"/>
                <w:color w:val="auto"/>
                <w:sz w:val="21"/>
                <w:szCs w:val="21"/>
                <w:highlight w:val="none"/>
                <w:lang w:eastAsia="zh-CN"/>
              </w:rPr>
              <w:t>（40℃）/mm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·S</w:t>
            </w:r>
            <w:r>
              <w:rPr>
                <w:rFonts w:hint="default" w:ascii="Times New Roman" w:hAnsi="Times New Roman" w:eastAsia="宋体" w:cs="Times New Roman"/>
                <w:color w:val="auto"/>
                <w:sz w:val="21"/>
                <w:szCs w:val="21"/>
                <w:highlight w:val="none"/>
                <w:vertAlign w:val="superscript"/>
                <w:lang w:eastAsia="zh-CN"/>
              </w:rPr>
              <w:t>-1</w:t>
            </w:r>
          </w:p>
        </w:tc>
        <w:tc>
          <w:tcPr>
            <w:tcW w:w="2423" w:type="pct"/>
            <w:tcBorders>
              <w:tl2br w:val="nil"/>
              <w:tr2bl w:val="nil"/>
            </w:tcBorders>
            <w:noWrap w:val="0"/>
            <w:tcMar>
              <w:left w:w="0" w:type="dxa"/>
              <w:right w:w="0" w:type="dxa"/>
            </w:tcMar>
            <w:vAlign w:val="center"/>
          </w:tcPr>
          <w:p w14:paraId="1E10B5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50.81</w:t>
            </w:r>
          </w:p>
        </w:tc>
      </w:tr>
      <w:tr w14:paraId="379E2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66436C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07DF11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黏度</w:t>
            </w:r>
            <w:r>
              <w:rPr>
                <w:rFonts w:hint="default" w:ascii="Times New Roman" w:hAnsi="Times New Roman" w:eastAsia="宋体" w:cs="Times New Roman"/>
                <w:color w:val="auto"/>
                <w:sz w:val="21"/>
                <w:szCs w:val="21"/>
                <w:highlight w:val="none"/>
                <w:lang w:eastAsia="zh-CN"/>
              </w:rPr>
              <w:t>（100℃）/mm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·S</w:t>
            </w:r>
            <w:r>
              <w:rPr>
                <w:rFonts w:hint="default" w:ascii="Times New Roman" w:hAnsi="Times New Roman" w:eastAsia="宋体" w:cs="Times New Roman"/>
                <w:color w:val="auto"/>
                <w:sz w:val="21"/>
                <w:szCs w:val="21"/>
                <w:highlight w:val="none"/>
                <w:vertAlign w:val="superscript"/>
                <w:lang w:eastAsia="zh-CN"/>
              </w:rPr>
              <w:t>-1</w:t>
            </w:r>
          </w:p>
        </w:tc>
        <w:tc>
          <w:tcPr>
            <w:tcW w:w="2423" w:type="pct"/>
            <w:tcBorders>
              <w:tl2br w:val="nil"/>
              <w:tr2bl w:val="nil"/>
            </w:tcBorders>
            <w:noWrap w:val="0"/>
            <w:tcMar>
              <w:left w:w="0" w:type="dxa"/>
              <w:right w:w="0" w:type="dxa"/>
            </w:tcMar>
            <w:vAlign w:val="center"/>
          </w:tcPr>
          <w:p w14:paraId="1D5DA6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10.641</w:t>
            </w:r>
          </w:p>
        </w:tc>
      </w:tr>
      <w:tr w14:paraId="0F4BF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476594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4BC683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闪点（开口）/℃</w:t>
            </w:r>
          </w:p>
        </w:tc>
        <w:tc>
          <w:tcPr>
            <w:tcW w:w="2423" w:type="pct"/>
            <w:tcBorders>
              <w:tl2br w:val="nil"/>
              <w:tr2bl w:val="nil"/>
            </w:tcBorders>
            <w:noWrap w:val="0"/>
            <w:tcMar>
              <w:left w:w="0" w:type="dxa"/>
              <w:right w:w="0" w:type="dxa"/>
            </w:tcMar>
            <w:vAlign w:val="center"/>
          </w:tcPr>
          <w:p w14:paraId="109CE3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150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210</w:t>
            </w:r>
          </w:p>
        </w:tc>
      </w:tr>
      <w:tr w14:paraId="102C4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restart"/>
            <w:tcBorders>
              <w:tl2br w:val="nil"/>
              <w:tr2bl w:val="nil"/>
            </w:tcBorders>
            <w:noWrap w:val="0"/>
            <w:tcMar>
              <w:left w:w="0" w:type="dxa"/>
              <w:right w:w="0" w:type="dxa"/>
            </w:tcMar>
            <w:vAlign w:val="center"/>
          </w:tcPr>
          <w:p w14:paraId="1928B6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爆炸特性及消防</w:t>
            </w:r>
          </w:p>
        </w:tc>
        <w:tc>
          <w:tcPr>
            <w:tcW w:w="1756" w:type="pct"/>
            <w:tcBorders>
              <w:tl2br w:val="nil"/>
              <w:tr2bl w:val="nil"/>
            </w:tcBorders>
            <w:noWrap w:val="0"/>
            <w:tcMar>
              <w:left w:w="0" w:type="dxa"/>
              <w:right w:w="0" w:type="dxa"/>
            </w:tcMar>
            <w:vAlign w:val="center"/>
          </w:tcPr>
          <w:p w14:paraId="781498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燃烧分解产物</w:t>
            </w:r>
          </w:p>
        </w:tc>
        <w:tc>
          <w:tcPr>
            <w:tcW w:w="2423" w:type="pct"/>
            <w:tcBorders>
              <w:tl2br w:val="nil"/>
              <w:tr2bl w:val="nil"/>
            </w:tcBorders>
            <w:noWrap w:val="0"/>
            <w:tcMar>
              <w:left w:w="0" w:type="dxa"/>
              <w:right w:w="0" w:type="dxa"/>
            </w:tcMar>
            <w:vAlign w:val="center"/>
          </w:tcPr>
          <w:p w14:paraId="4536B9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一氧化碳、二氧化碳等气体</w:t>
            </w:r>
          </w:p>
        </w:tc>
      </w:tr>
      <w:tr w14:paraId="7D11B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0B944A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426FAC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燃烧性</w:t>
            </w:r>
          </w:p>
        </w:tc>
        <w:tc>
          <w:tcPr>
            <w:tcW w:w="2423" w:type="pct"/>
            <w:tcBorders>
              <w:tl2br w:val="nil"/>
              <w:tr2bl w:val="nil"/>
            </w:tcBorders>
            <w:noWrap w:val="0"/>
            <w:tcMar>
              <w:left w:w="0" w:type="dxa"/>
              <w:right w:w="0" w:type="dxa"/>
            </w:tcMar>
            <w:vAlign w:val="center"/>
          </w:tcPr>
          <w:p w14:paraId="2C50FB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可燃</w:t>
            </w:r>
          </w:p>
        </w:tc>
      </w:tr>
      <w:tr w14:paraId="40F7A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6697BD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19D332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禁忌物</w:t>
            </w:r>
          </w:p>
        </w:tc>
        <w:tc>
          <w:tcPr>
            <w:tcW w:w="2423" w:type="pct"/>
            <w:tcBorders>
              <w:tl2br w:val="nil"/>
              <w:tr2bl w:val="nil"/>
            </w:tcBorders>
            <w:noWrap w:val="0"/>
            <w:tcMar>
              <w:left w:w="0" w:type="dxa"/>
              <w:right w:w="0" w:type="dxa"/>
            </w:tcMar>
            <w:vAlign w:val="center"/>
          </w:tcPr>
          <w:p w14:paraId="73EAFE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硝酸、高锰酸钾等强氧化剂</w:t>
            </w:r>
          </w:p>
        </w:tc>
      </w:tr>
      <w:tr w14:paraId="70655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2EDFA2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00A96D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燃爆危险</w:t>
            </w:r>
          </w:p>
        </w:tc>
        <w:tc>
          <w:tcPr>
            <w:tcW w:w="2423" w:type="pct"/>
            <w:tcBorders>
              <w:tl2br w:val="nil"/>
              <w:tr2bl w:val="nil"/>
            </w:tcBorders>
            <w:noWrap w:val="0"/>
            <w:tcMar>
              <w:left w:w="0" w:type="dxa"/>
              <w:right w:w="0" w:type="dxa"/>
            </w:tcMar>
            <w:vAlign w:val="center"/>
          </w:tcPr>
          <w:p w14:paraId="66F0A9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可燃液体、火灾危险性为B类，遇到明火、高热可燃</w:t>
            </w:r>
          </w:p>
        </w:tc>
      </w:tr>
      <w:tr w14:paraId="13083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18CAB6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0A5DF6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危险特性</w:t>
            </w:r>
          </w:p>
        </w:tc>
        <w:tc>
          <w:tcPr>
            <w:tcW w:w="2423" w:type="pct"/>
            <w:tcBorders>
              <w:tl2br w:val="nil"/>
              <w:tr2bl w:val="nil"/>
            </w:tcBorders>
            <w:noWrap w:val="0"/>
            <w:tcMar>
              <w:left w:w="0" w:type="dxa"/>
              <w:right w:w="0" w:type="dxa"/>
            </w:tcMar>
            <w:vAlign w:val="center"/>
          </w:tcPr>
          <w:p w14:paraId="125E57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可燃液体</w:t>
            </w:r>
          </w:p>
        </w:tc>
      </w:tr>
      <w:tr w14:paraId="20016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2803EB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1A18E9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灭火方法</w:t>
            </w:r>
          </w:p>
        </w:tc>
        <w:tc>
          <w:tcPr>
            <w:tcW w:w="2423" w:type="pct"/>
            <w:tcBorders>
              <w:tl2br w:val="nil"/>
              <w:tr2bl w:val="nil"/>
            </w:tcBorders>
            <w:noWrap w:val="0"/>
            <w:tcMar>
              <w:left w:w="0" w:type="dxa"/>
              <w:right w:w="0" w:type="dxa"/>
            </w:tcMar>
            <w:vAlign w:val="center"/>
          </w:tcPr>
          <w:p w14:paraId="7A2891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消防人员必须穿全身消防服、配套空气呼吸器、在上风向灭火、喷水冷却燃烧罐和临近罐，直到灭火为止，处在火场中的储罐发生异常变化或发出异常声音，必须马上撤离</w:t>
            </w:r>
          </w:p>
        </w:tc>
      </w:tr>
      <w:tr w14:paraId="02AAA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553A17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2C20E5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灭火剂</w:t>
            </w:r>
          </w:p>
        </w:tc>
        <w:tc>
          <w:tcPr>
            <w:tcW w:w="2423" w:type="pct"/>
            <w:tcBorders>
              <w:tl2br w:val="nil"/>
              <w:tr2bl w:val="nil"/>
            </w:tcBorders>
            <w:noWrap w:val="0"/>
            <w:tcMar>
              <w:left w:w="0" w:type="dxa"/>
              <w:right w:w="0" w:type="dxa"/>
            </w:tcMar>
            <w:vAlign w:val="center"/>
          </w:tcPr>
          <w:p w14:paraId="141FDC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泡沫、干粉、二氧化碳</w:t>
            </w:r>
          </w:p>
        </w:tc>
      </w:tr>
      <w:tr w14:paraId="2F9C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restart"/>
            <w:tcBorders>
              <w:tl2br w:val="nil"/>
              <w:tr2bl w:val="nil"/>
            </w:tcBorders>
            <w:noWrap w:val="0"/>
            <w:tcMar>
              <w:left w:w="0" w:type="dxa"/>
              <w:right w:w="0" w:type="dxa"/>
            </w:tcMar>
            <w:vAlign w:val="center"/>
          </w:tcPr>
          <w:p w14:paraId="0E9771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急救措施</w:t>
            </w:r>
          </w:p>
        </w:tc>
        <w:tc>
          <w:tcPr>
            <w:tcW w:w="1756" w:type="pct"/>
            <w:tcBorders>
              <w:tl2br w:val="nil"/>
              <w:tr2bl w:val="nil"/>
            </w:tcBorders>
            <w:noWrap w:val="0"/>
            <w:tcMar>
              <w:left w:w="0" w:type="dxa"/>
              <w:right w:w="0" w:type="dxa"/>
            </w:tcMar>
            <w:vAlign w:val="center"/>
          </w:tcPr>
          <w:p w14:paraId="5E32E0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皮肤接触</w:t>
            </w:r>
          </w:p>
        </w:tc>
        <w:tc>
          <w:tcPr>
            <w:tcW w:w="2423" w:type="pct"/>
            <w:tcBorders>
              <w:tl2br w:val="nil"/>
              <w:tr2bl w:val="nil"/>
            </w:tcBorders>
            <w:noWrap w:val="0"/>
            <w:tcMar>
              <w:left w:w="0" w:type="dxa"/>
              <w:right w:w="0" w:type="dxa"/>
            </w:tcMar>
            <w:vAlign w:val="center"/>
          </w:tcPr>
          <w:p w14:paraId="049BB3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立即脱去污染的衣着，用大量流动清水冲洗至少15分钟，及时就医</w:t>
            </w:r>
          </w:p>
        </w:tc>
      </w:tr>
      <w:tr w14:paraId="230C4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01C2EE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3E6237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眼睛接触</w:t>
            </w:r>
          </w:p>
        </w:tc>
        <w:tc>
          <w:tcPr>
            <w:tcW w:w="2423" w:type="pct"/>
            <w:tcBorders>
              <w:tl2br w:val="nil"/>
              <w:tr2bl w:val="nil"/>
            </w:tcBorders>
            <w:noWrap w:val="0"/>
            <w:tcMar>
              <w:left w:w="0" w:type="dxa"/>
              <w:right w:w="0" w:type="dxa"/>
            </w:tcMar>
            <w:vAlign w:val="center"/>
          </w:tcPr>
          <w:p w14:paraId="2238CE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立即提出眼睑，用大量清水冲洗或用生理盐水彻底冲洗15分钟，及时就医</w:t>
            </w:r>
          </w:p>
        </w:tc>
      </w:tr>
      <w:tr w14:paraId="0F831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4FA9AA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vAlign w:val="center"/>
          </w:tcPr>
          <w:p w14:paraId="1FFD5A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吸入</w:t>
            </w:r>
          </w:p>
        </w:tc>
        <w:tc>
          <w:tcPr>
            <w:tcW w:w="2423" w:type="pct"/>
            <w:tcBorders>
              <w:tl2br w:val="nil"/>
              <w:tr2bl w:val="nil"/>
            </w:tcBorders>
            <w:noWrap w:val="0"/>
            <w:vAlign w:val="center"/>
          </w:tcPr>
          <w:p w14:paraId="744A47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迅速脱离现场至空气新鲜处，保持呼吸道畅通。如呼吸困难，给输氧；如停止呼吸，立即进行人工呼吸，送就医。</w:t>
            </w:r>
          </w:p>
        </w:tc>
      </w:tr>
      <w:tr w14:paraId="366AB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79C092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vAlign w:val="center"/>
          </w:tcPr>
          <w:p w14:paraId="46B35C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食入</w:t>
            </w:r>
          </w:p>
        </w:tc>
        <w:tc>
          <w:tcPr>
            <w:tcW w:w="2423" w:type="pct"/>
            <w:tcBorders>
              <w:tl2br w:val="nil"/>
              <w:tr2bl w:val="nil"/>
            </w:tcBorders>
            <w:noWrap w:val="0"/>
            <w:vAlign w:val="center"/>
          </w:tcPr>
          <w:p w14:paraId="3A1412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用水漱口、给饮牛奶和蛋清，及时就医。</w:t>
            </w:r>
          </w:p>
        </w:tc>
      </w:tr>
      <w:tr w14:paraId="470C7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7CAF70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危害</w:t>
            </w:r>
          </w:p>
        </w:tc>
        <w:tc>
          <w:tcPr>
            <w:tcW w:w="4180" w:type="pct"/>
            <w:gridSpan w:val="2"/>
            <w:tcBorders>
              <w:tl2br w:val="nil"/>
              <w:tr2bl w:val="nil"/>
            </w:tcBorders>
            <w:noWrap w:val="0"/>
            <w:vAlign w:val="center"/>
          </w:tcPr>
          <w:p w14:paraId="1F5AE1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许多石油类产品对人体都有害，接触皮肤如不及时清洗干净，则可能轻者引起发炎、疙瘩，重者发生皮疹或皮瘤。误入口内或吸入体内，轻者发生肠胃病或肺炎，重者可能导致癌症。</w:t>
            </w:r>
          </w:p>
        </w:tc>
      </w:tr>
      <w:tr w14:paraId="3478D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3AF6A7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急救</w:t>
            </w:r>
          </w:p>
        </w:tc>
        <w:tc>
          <w:tcPr>
            <w:tcW w:w="4180" w:type="pct"/>
            <w:gridSpan w:val="2"/>
            <w:tcBorders>
              <w:tl2br w:val="nil"/>
              <w:tr2bl w:val="nil"/>
            </w:tcBorders>
            <w:noWrap w:val="0"/>
            <w:vAlign w:val="center"/>
          </w:tcPr>
          <w:p w14:paraId="1382D4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吸入中毒者立即脱离中毒现场，对症处理。</w:t>
            </w:r>
          </w:p>
        </w:tc>
      </w:tr>
      <w:tr w14:paraId="067DB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1FA901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防护</w:t>
            </w:r>
          </w:p>
        </w:tc>
        <w:tc>
          <w:tcPr>
            <w:tcW w:w="4180" w:type="pct"/>
            <w:gridSpan w:val="2"/>
            <w:tcBorders>
              <w:tl2br w:val="nil"/>
              <w:tr2bl w:val="nil"/>
            </w:tcBorders>
            <w:noWrap w:val="0"/>
            <w:vAlign w:val="center"/>
          </w:tcPr>
          <w:p w14:paraId="77F80A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工程控制：密闭操作。其他防护：工作场所禁止烟火。</w:t>
            </w:r>
          </w:p>
        </w:tc>
      </w:tr>
      <w:tr w14:paraId="2CF6A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088F51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w:t>
            </w:r>
          </w:p>
        </w:tc>
        <w:tc>
          <w:tcPr>
            <w:tcW w:w="4180" w:type="pct"/>
            <w:gridSpan w:val="2"/>
            <w:tcBorders>
              <w:tl2br w:val="nil"/>
              <w:tr2bl w:val="nil"/>
            </w:tcBorders>
            <w:noWrap w:val="0"/>
            <w:vAlign w:val="center"/>
          </w:tcPr>
          <w:p w14:paraId="21C6DE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根据液体流动影响区域划定警戒区，无关人员从侧风及上风向撤离至安全区，消除</w:t>
            </w:r>
            <w:r>
              <w:rPr>
                <w:rFonts w:hint="eastAsia" w:cs="Times New Roman"/>
                <w:color w:val="auto"/>
                <w:sz w:val="21"/>
                <w:szCs w:val="21"/>
                <w:highlight w:val="none"/>
                <w:lang w:val="en-US" w:eastAsia="zh-CN"/>
              </w:rPr>
              <w:t>所有</w:t>
            </w:r>
            <w:r>
              <w:rPr>
                <w:rFonts w:hint="default" w:ascii="Times New Roman" w:hAnsi="Times New Roman" w:eastAsia="宋体" w:cs="Times New Roman"/>
                <w:color w:val="auto"/>
                <w:sz w:val="21"/>
                <w:szCs w:val="21"/>
                <w:highlight w:val="none"/>
                <w:lang w:val="en-US" w:eastAsia="zh-CN"/>
              </w:rPr>
              <w:t>点火源，应急人员应采取关闭阀门和堵漏等措施切断泄漏源。如储罐和槽车发生泄漏，可通过倒罐转移尚未泄漏的液体，构筑围堤或挖坑收容泄漏物，防止流入河流、下水道、排洪沟等地方。用泡沫覆盖泄漏物，减少挥发。收容的泄漏物用防爆泵转移至槽车或专用收集容器，残液用少量土或其他不可燃物吸收，也可以在保证安全的情况下就地焚烧。</w:t>
            </w:r>
          </w:p>
        </w:tc>
      </w:tr>
      <w:tr w14:paraId="5E11A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24AB45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运输</w:t>
            </w:r>
          </w:p>
        </w:tc>
        <w:tc>
          <w:tcPr>
            <w:tcW w:w="4180" w:type="pct"/>
            <w:gridSpan w:val="2"/>
            <w:tcBorders>
              <w:tl2br w:val="nil"/>
              <w:tr2bl w:val="nil"/>
            </w:tcBorders>
            <w:noWrap w:val="0"/>
            <w:vAlign w:val="center"/>
          </w:tcPr>
          <w:p w14:paraId="555E38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用油罐、油罐车、油船、铁桶、塑料桶等盛装，不可装满，要留出必要的安全空间，储存于阴凉通风处，远离火种、热源。罐储时要有防护技术措施。</w:t>
            </w:r>
          </w:p>
        </w:tc>
      </w:tr>
    </w:tbl>
    <w:p w14:paraId="2F65AEE8">
      <w:pPr>
        <w:pStyle w:val="14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（2）生产设施危险性识别</w:t>
      </w:r>
    </w:p>
    <w:p w14:paraId="5FDC7FE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1）生产装置区</w:t>
      </w:r>
    </w:p>
    <w:p w14:paraId="79686C2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在生产过程中，项目原辅料涉及易燃、易爆或有毒有害等</w:t>
      </w:r>
      <w:r>
        <w:rPr>
          <w:rFonts w:hint="eastAsia" w:cs="Times New Roman"/>
          <w:color w:val="auto"/>
          <w:sz w:val="24"/>
          <w:szCs w:val="24"/>
          <w:highlight w:val="none"/>
          <w:lang w:val="en-US" w:eastAsia="zh-CN"/>
        </w:rPr>
        <w:t>危险物质</w:t>
      </w:r>
      <w:r>
        <w:rPr>
          <w:rFonts w:hint="default" w:ascii="Times New Roman" w:hAnsi="Times New Roman" w:eastAsia="宋体" w:cs="Times New Roman"/>
          <w:color w:val="auto"/>
          <w:sz w:val="24"/>
          <w:szCs w:val="24"/>
          <w:highlight w:val="none"/>
        </w:rPr>
        <w:t>，本项目在萃取电积装置工段</w:t>
      </w:r>
      <w:r>
        <w:rPr>
          <w:rFonts w:hint="eastAsia" w:ascii="Times New Roman" w:hAnsi="Times New Roman" w:cs="Times New Roman"/>
          <w:color w:val="auto"/>
          <w:sz w:val="24"/>
          <w:szCs w:val="24"/>
          <w:highlight w:val="none"/>
          <w:lang w:val="en-US" w:eastAsia="zh-CN"/>
        </w:rPr>
        <w:t>及硫酸储存过程</w:t>
      </w:r>
      <w:r>
        <w:rPr>
          <w:rFonts w:hint="default" w:ascii="Times New Roman" w:hAnsi="Times New Roman" w:eastAsia="宋体" w:cs="Times New Roman"/>
          <w:color w:val="auto"/>
          <w:sz w:val="24"/>
          <w:szCs w:val="24"/>
          <w:highlight w:val="none"/>
        </w:rPr>
        <w:t>，主要有害物质为煤油、硫酸</w:t>
      </w:r>
      <w:r>
        <w:rPr>
          <w:rFonts w:hint="eastAsia" w:cs="Times New Roman"/>
          <w:color w:val="auto"/>
          <w:sz w:val="24"/>
          <w:szCs w:val="24"/>
          <w:highlight w:val="none"/>
          <w:lang w:val="en-US" w:eastAsia="zh-CN"/>
        </w:rPr>
        <w:t>及电积液</w:t>
      </w:r>
      <w:r>
        <w:rPr>
          <w:rFonts w:hint="default" w:ascii="Times New Roman" w:hAnsi="Times New Roman" w:eastAsia="宋体" w:cs="Times New Roman"/>
          <w:color w:val="auto"/>
          <w:sz w:val="24"/>
          <w:szCs w:val="24"/>
          <w:highlight w:val="none"/>
        </w:rPr>
        <w:t>等，存在火灾爆炸、</w:t>
      </w:r>
      <w:r>
        <w:rPr>
          <w:rFonts w:hint="eastAsia"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腐蚀危险性。事故的原因可能为：</w:t>
      </w:r>
    </w:p>
    <w:p w14:paraId="7469FC1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①生产设备密封点、阀门损坏、管道破裂、操作失误、自然灾害等造成的物质泄漏，遇明火引发火灾。</w:t>
      </w:r>
    </w:p>
    <w:p w14:paraId="4EFC13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②</w:t>
      </w:r>
      <w:r>
        <w:rPr>
          <w:rFonts w:hint="eastAsia" w:cs="Times New Roman"/>
          <w:color w:val="auto"/>
          <w:sz w:val="24"/>
          <w:szCs w:val="24"/>
          <w:highlight w:val="none"/>
          <w:lang w:val="en-US" w:eastAsia="zh-CN"/>
        </w:rPr>
        <w:t>有</w:t>
      </w:r>
      <w:r>
        <w:rPr>
          <w:rFonts w:hint="default" w:ascii="Times New Roman" w:hAnsi="Times New Roman" w:eastAsia="宋体" w:cs="Times New Roman"/>
          <w:color w:val="auto"/>
          <w:sz w:val="24"/>
          <w:szCs w:val="24"/>
          <w:highlight w:val="none"/>
        </w:rPr>
        <w:t>毒物质挥发引发人员中毒。</w:t>
      </w:r>
    </w:p>
    <w:p w14:paraId="3669976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③产装置挥发出的物质蒸汽与空气混合达到爆炸极限等。</w:t>
      </w:r>
    </w:p>
    <w:p w14:paraId="7A2B7B0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2）液体辅料装卸区</w:t>
      </w:r>
    </w:p>
    <w:p w14:paraId="6916254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本项目涉及的液体</w:t>
      </w:r>
      <w:r>
        <w:rPr>
          <w:rFonts w:hint="eastAsia" w:cs="Times New Roman"/>
          <w:color w:val="auto"/>
          <w:sz w:val="24"/>
          <w:szCs w:val="24"/>
          <w:highlight w:val="none"/>
          <w:lang w:val="en-US" w:eastAsia="zh-CN"/>
        </w:rPr>
        <w:t>物料</w:t>
      </w:r>
      <w:r>
        <w:rPr>
          <w:rFonts w:hint="default" w:ascii="Times New Roman" w:hAnsi="Times New Roman" w:eastAsia="宋体" w:cs="Times New Roman"/>
          <w:color w:val="auto"/>
          <w:sz w:val="24"/>
          <w:szCs w:val="24"/>
          <w:highlight w:val="none"/>
        </w:rPr>
        <w:t>硫酸在卸车过程存在物质泄漏的事故风险。</w:t>
      </w:r>
    </w:p>
    <w:p w14:paraId="3B23F22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3）危险品运输</w:t>
      </w:r>
    </w:p>
    <w:p w14:paraId="1368A27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本项目原辅材料涉及的危险化学品</w:t>
      </w:r>
      <w:r>
        <w:rPr>
          <w:rFonts w:hint="eastAsia" w:ascii="Times New Roman" w:hAnsi="Times New Roman" w:cs="Times New Roman"/>
          <w:color w:val="auto"/>
          <w:sz w:val="24"/>
          <w:szCs w:val="24"/>
          <w:highlight w:val="none"/>
          <w:lang w:eastAsia="zh-CN"/>
        </w:rPr>
        <w:t>以汽车运输为主</w:t>
      </w:r>
      <w:r>
        <w:rPr>
          <w:rFonts w:hint="default" w:ascii="Times New Roman" w:hAnsi="Times New Roman" w:eastAsia="宋体" w:cs="Times New Roman"/>
          <w:color w:val="auto"/>
          <w:sz w:val="24"/>
          <w:szCs w:val="24"/>
          <w:highlight w:val="none"/>
        </w:rPr>
        <w:t>，在运输过程存在一定</w:t>
      </w:r>
      <w:r>
        <w:rPr>
          <w:rFonts w:hint="eastAsia" w:cs="Times New Roman"/>
          <w:color w:val="auto"/>
          <w:sz w:val="24"/>
          <w:szCs w:val="24"/>
          <w:highlight w:val="none"/>
          <w:lang w:eastAsia="zh-CN"/>
        </w:rPr>
        <w:t>风险</w:t>
      </w:r>
      <w:r>
        <w:rPr>
          <w:rFonts w:hint="default" w:ascii="Times New Roman" w:hAnsi="Times New Roman" w:eastAsia="宋体" w:cs="Times New Roman"/>
          <w:color w:val="auto"/>
          <w:sz w:val="24"/>
          <w:szCs w:val="24"/>
          <w:highlight w:val="none"/>
        </w:rPr>
        <w:t>。汽车运输过程中，存在由于交通事故、容器老化破裂等导致车运危险品发生泄漏事故，以及火灾爆炸事故。运输过程中的任何一个环节若出现失控，特别是居民集中区和沿河运输事故将有可能造成严重的后果。</w:t>
      </w:r>
    </w:p>
    <w:p w14:paraId="3DE032BE">
      <w:pPr>
        <w:pStyle w:val="14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（3）环境风险类型识别</w:t>
      </w:r>
    </w:p>
    <w:p w14:paraId="6C024C30">
      <w:pPr>
        <w:pStyle w:val="14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根据工程分析可知，本项目环境风险类型主要为泄漏物料遇明火发生火灾、爆炸产生的伴生/次生污染物。</w:t>
      </w:r>
    </w:p>
    <w:bookmarkEnd w:id="289"/>
    <w:bookmarkEnd w:id="290"/>
    <w:bookmarkEnd w:id="291"/>
    <w:p w14:paraId="29970AB8">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5.8.</w:t>
      </w:r>
      <w:r>
        <w:rPr>
          <w:rFonts w:hint="eastAsia" w:cs="Times New Roman"/>
          <w:color w:val="auto"/>
          <w:highlight w:val="none"/>
          <w:lang w:val="en-US" w:eastAsia="zh-CN"/>
        </w:rPr>
        <w:t>4环境风险</w:t>
      </w:r>
      <w:r>
        <w:rPr>
          <w:rFonts w:hint="default" w:ascii="Times New Roman" w:hAnsi="Times New Roman" w:cs="Times New Roman"/>
          <w:color w:val="auto"/>
          <w:highlight w:val="none"/>
        </w:rPr>
        <w:t>影响分析</w:t>
      </w:r>
    </w:p>
    <w:p w14:paraId="206D34A1">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4</w:t>
      </w:r>
      <w:r>
        <w:rPr>
          <w:rFonts w:hint="eastAsia" w:ascii="Times New Roman" w:hAnsi="Times New Roman" w:eastAsia="宋体" w:cs="Times New Roman"/>
          <w:b/>
          <w:color w:val="auto"/>
          <w:szCs w:val="28"/>
          <w:highlight w:val="none"/>
          <w:lang w:val="en-US" w:eastAsia="zh-CN"/>
        </w:rPr>
        <w:t>.1大气</w:t>
      </w:r>
      <w:r>
        <w:rPr>
          <w:rFonts w:hint="default" w:ascii="Times New Roman" w:hAnsi="Times New Roman" w:eastAsia="宋体" w:cs="Times New Roman"/>
          <w:b/>
          <w:color w:val="auto"/>
          <w:szCs w:val="28"/>
          <w:highlight w:val="none"/>
          <w:lang w:val="en-US" w:eastAsia="zh-CN"/>
        </w:rPr>
        <w:t>环境风险分析</w:t>
      </w:r>
    </w:p>
    <w:p w14:paraId="71C72F0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大气环境污染途径</w:t>
      </w:r>
    </w:p>
    <w:p w14:paraId="6EA45C3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1）粉尘的影响</w:t>
      </w:r>
    </w:p>
    <w:p w14:paraId="50597AA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本项目车辆运输、</w:t>
      </w:r>
      <w:r>
        <w:rPr>
          <w:rFonts w:hint="eastAsia" w:cs="Times New Roman"/>
          <w:color w:val="auto"/>
          <w:sz w:val="24"/>
          <w:szCs w:val="24"/>
          <w:highlight w:val="none"/>
          <w:lang w:val="en-US" w:eastAsia="zh-CN"/>
        </w:rPr>
        <w:t>破碎</w:t>
      </w:r>
      <w:r>
        <w:rPr>
          <w:rFonts w:hint="default" w:ascii="Times New Roman" w:hAnsi="Times New Roman" w:eastAsia="宋体" w:cs="Times New Roman"/>
          <w:color w:val="auto"/>
          <w:sz w:val="24"/>
          <w:szCs w:val="24"/>
          <w:highlight w:val="none"/>
        </w:rPr>
        <w:t>筛分过程及生产过程产生的粉尘等污染物会对项目区周围</w:t>
      </w:r>
      <w:r>
        <w:rPr>
          <w:rFonts w:hint="eastAsia" w:cs="Times New Roman"/>
          <w:color w:val="auto"/>
          <w:sz w:val="24"/>
          <w:szCs w:val="24"/>
          <w:highlight w:val="none"/>
          <w:lang w:eastAsia="zh-CN"/>
        </w:rPr>
        <w:t>大气环境</w:t>
      </w:r>
      <w:r>
        <w:rPr>
          <w:rFonts w:hint="default" w:ascii="Times New Roman" w:hAnsi="Times New Roman" w:eastAsia="宋体" w:cs="Times New Roman"/>
          <w:color w:val="auto"/>
          <w:sz w:val="24"/>
          <w:szCs w:val="24"/>
          <w:highlight w:val="none"/>
        </w:rPr>
        <w:t>产生影响。污染物可通过自然沉降和降水淋溶等途径进入土壤环境，从物理、化学等方面影响周围土壤的孔隙度、团粒结构、酸碱度、土壤肥力及微量元素含量等，从而间接影响植被生长。粉尘降落到植物叶面上，将堵塞叶面气孔，使光合作用强度下降。同时，覆尘叶片吸收红外光辐射的能力增强，导致叶温增高，蒸腾速度加快，引起失水，使植物生长发育不良。本项目在生产过程中采取防尘措施，将尽可能降低扩散到附近植被的粉尘量。</w:t>
      </w:r>
    </w:p>
    <w:p w14:paraId="7F54052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2）硫酸雾的影响</w:t>
      </w:r>
    </w:p>
    <w:p w14:paraId="4E2E1E4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①直接危害</w:t>
      </w:r>
    </w:p>
    <w:p w14:paraId="39E3CA2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环境空气中硫酸超过一定浓度时对植物有直接毒害作用。硫酸对植物造成的伤害最常见叶脉间失绿，甚至被漂白。</w:t>
      </w:r>
    </w:p>
    <w:p w14:paraId="32BD8C5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②间接危害</w:t>
      </w:r>
    </w:p>
    <w:p w14:paraId="793BEF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主要体现在硫酸通过降水过程SO</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2</w:t>
      </w:r>
      <w:r>
        <w:rPr>
          <w:rFonts w:hint="eastAsia" w:cs="Times New Roman"/>
          <w:color w:val="auto"/>
          <w:sz w:val="24"/>
          <w:szCs w:val="24"/>
          <w:highlight w:val="none"/>
          <w:vertAlign w:val="superscript"/>
          <w:lang w:eastAsia="zh-CN"/>
        </w:rPr>
        <w:t>－</w:t>
      </w:r>
      <w:r>
        <w:rPr>
          <w:rFonts w:hint="default" w:ascii="Times New Roman" w:hAnsi="Times New Roman" w:eastAsia="宋体" w:cs="Times New Roman"/>
          <w:color w:val="auto"/>
          <w:sz w:val="24"/>
          <w:szCs w:val="24"/>
          <w:highlight w:val="none"/>
        </w:rPr>
        <w:t>的形式进入土壤，以土壤溶液中的硫酸盐、吸附态硫酸盐、有机硫化物和矿物硫等</w:t>
      </w:r>
      <w:r>
        <w:rPr>
          <w:rFonts w:hint="eastAsia" w:cs="Times New Roman"/>
          <w:color w:val="auto"/>
          <w:sz w:val="24"/>
          <w:szCs w:val="24"/>
          <w:highlight w:val="none"/>
          <w:lang w:eastAsia="zh-CN"/>
        </w:rPr>
        <w:t>“四种形态”</w:t>
      </w:r>
      <w:r>
        <w:rPr>
          <w:rFonts w:hint="default" w:ascii="Times New Roman" w:hAnsi="Times New Roman" w:eastAsia="宋体" w:cs="Times New Roman"/>
          <w:color w:val="auto"/>
          <w:sz w:val="24"/>
          <w:szCs w:val="24"/>
          <w:highlight w:val="none"/>
        </w:rPr>
        <w:t>存在，其中前两种形态的硫属于水溶性硫，可以被植物根系直接吸收利用或在过量时直接危害植物根系的生长；后两种形态的硫则转化为多种形态的固相硫而成为难溶物质，影响土壤的酸度、重金属活性及土壤微生物的活动，从而影响植物的生长。这一过程比较复杂，在新疆特有的干旱荒漠与水土条件下，间接影响微弱。综合上述分析，项目在正常生产废气正常排放下，废气污染物对周围植被、农作物的影响是轻微的。但是若长时间发生废气中硫酸雾事故</w:t>
      </w:r>
      <w:r>
        <w:rPr>
          <w:rFonts w:hint="eastAsia" w:cs="Times New Roman"/>
          <w:color w:val="auto"/>
          <w:sz w:val="24"/>
          <w:szCs w:val="24"/>
          <w:highlight w:val="none"/>
          <w:lang w:eastAsia="zh-CN"/>
        </w:rPr>
        <w:t>排放</w:t>
      </w:r>
      <w:r>
        <w:rPr>
          <w:rFonts w:hint="default" w:ascii="Times New Roman" w:hAnsi="Times New Roman" w:eastAsia="宋体" w:cs="Times New Roman"/>
          <w:color w:val="auto"/>
          <w:sz w:val="24"/>
          <w:szCs w:val="24"/>
          <w:highlight w:val="none"/>
        </w:rPr>
        <w:t>，对厂区周围及外部植被存在潜在危害影响。项目运行期间应特别注意加强对废气的收集和治理，同时加强废气治理设施的运行管理，减少废气事故排放</w:t>
      </w:r>
      <w:r>
        <w:rPr>
          <w:rFonts w:hint="eastAsia" w:cs="Times New Roman"/>
          <w:color w:val="auto"/>
          <w:sz w:val="24"/>
          <w:szCs w:val="24"/>
          <w:highlight w:val="none"/>
          <w:lang w:eastAsia="zh-CN"/>
        </w:rPr>
        <w:t>概率</w:t>
      </w:r>
      <w:r>
        <w:rPr>
          <w:rFonts w:hint="default" w:ascii="Times New Roman" w:hAnsi="Times New Roman" w:eastAsia="宋体" w:cs="Times New Roman"/>
          <w:color w:val="auto"/>
          <w:sz w:val="24"/>
          <w:szCs w:val="24"/>
          <w:highlight w:val="none"/>
        </w:rPr>
        <w:t>。</w:t>
      </w:r>
    </w:p>
    <w:p w14:paraId="1D37DCB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风险事故分析</w:t>
      </w:r>
    </w:p>
    <w:p w14:paraId="34A1C56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项目大气环境风险事故主要可能发生在</w:t>
      </w:r>
      <w:r>
        <w:rPr>
          <w:rFonts w:hint="eastAsia"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，具体为</w:t>
      </w:r>
      <w:r>
        <w:rPr>
          <w:rFonts w:hint="eastAsia" w:cs="Times New Roman"/>
          <w:color w:val="auto"/>
          <w:sz w:val="24"/>
          <w:szCs w:val="24"/>
          <w:highlight w:val="none"/>
          <w:lang w:eastAsia="zh-CN"/>
        </w:rPr>
        <w:t>浸出车间</w:t>
      </w:r>
      <w:r>
        <w:rPr>
          <w:rFonts w:hint="default" w:ascii="Times New Roman" w:hAnsi="Times New Roman" w:eastAsia="宋体" w:cs="Times New Roman"/>
          <w:color w:val="auto"/>
          <w:sz w:val="24"/>
          <w:szCs w:val="24"/>
          <w:highlight w:val="none"/>
        </w:rPr>
        <w:t>、事故池等设施泄漏，造成液体泄漏或萃取电积间环保设施损坏对硫酸雾净化能力降低，导致污染物无组织排放引起近距离的环境危害。</w:t>
      </w:r>
    </w:p>
    <w:p w14:paraId="6D42E3F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大气环境风险评价</w:t>
      </w:r>
    </w:p>
    <w:p w14:paraId="6560ECF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正常工况下项目</w:t>
      </w:r>
      <w:r>
        <w:rPr>
          <w:rFonts w:hint="eastAsia"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间大气污染物排放浓度及排放量较低，可满足《铜、镍、钴工业污染物排放标准》（GB25467-2010）标准要求，经污染物迁移扩散后，对区域环境影响较小。非正常工况下项目硫酸、煤油</w:t>
      </w:r>
      <w:r>
        <w:rPr>
          <w:rFonts w:hint="eastAsia" w:cs="Times New Roman"/>
          <w:color w:val="auto"/>
          <w:sz w:val="24"/>
          <w:szCs w:val="24"/>
          <w:highlight w:val="none"/>
          <w:lang w:val="en-US" w:eastAsia="zh-CN"/>
        </w:rPr>
        <w:t>及废机油</w:t>
      </w:r>
      <w:r>
        <w:rPr>
          <w:rFonts w:hint="default" w:ascii="Times New Roman" w:hAnsi="Times New Roman" w:eastAsia="宋体" w:cs="Times New Roman"/>
          <w:color w:val="auto"/>
          <w:sz w:val="24"/>
          <w:szCs w:val="24"/>
          <w:highlight w:val="none"/>
        </w:rPr>
        <w:t>等发生泄漏，造成硫酸无组织排放，对区域环境造成一定影响，但建设单位可通过定期维</w:t>
      </w:r>
      <w:r>
        <w:rPr>
          <w:rFonts w:hint="eastAsia" w:cs="Times New Roman"/>
          <w:color w:val="auto"/>
          <w:sz w:val="24"/>
          <w:szCs w:val="24"/>
          <w:highlight w:val="none"/>
          <w:lang w:eastAsia="zh-CN"/>
        </w:rPr>
        <w:t>护和</w:t>
      </w:r>
      <w:r>
        <w:rPr>
          <w:rFonts w:hint="default" w:ascii="Times New Roman" w:hAnsi="Times New Roman" w:eastAsia="宋体" w:cs="Times New Roman"/>
          <w:color w:val="auto"/>
          <w:sz w:val="24"/>
          <w:szCs w:val="24"/>
          <w:highlight w:val="none"/>
        </w:rPr>
        <w:t>加强管理的方法避免此类工况的产生，故项目大气环境风险在可接受范围内。</w:t>
      </w:r>
    </w:p>
    <w:p w14:paraId="0DA15288">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4</w:t>
      </w:r>
      <w:r>
        <w:rPr>
          <w:rFonts w:hint="eastAsia" w:ascii="Times New Roman" w:hAnsi="Times New Roman" w:eastAsia="宋体" w:cs="Times New Roman"/>
          <w:b/>
          <w:color w:val="auto"/>
          <w:szCs w:val="28"/>
          <w:highlight w:val="none"/>
          <w:lang w:val="en-US" w:eastAsia="zh-CN"/>
        </w:rPr>
        <w:t>.2地下水环境风险分析</w:t>
      </w:r>
    </w:p>
    <w:p w14:paraId="0A4CF2F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本次地下水环境风险评价参考</w:t>
      </w:r>
      <w:r>
        <w:rPr>
          <w:rFonts w:hint="eastAsia" w:cs="Times New Roman"/>
          <w:color w:val="auto"/>
          <w:sz w:val="24"/>
          <w:szCs w:val="24"/>
          <w:highlight w:val="none"/>
          <w:lang w:val="en-US" w:eastAsia="zh-CN"/>
        </w:rPr>
        <w:t>《环境影响评价技术导则 地下水环境》（</w:t>
      </w:r>
      <w:r>
        <w:rPr>
          <w:rFonts w:hint="eastAsia" w:ascii="Times New Roman" w:hAnsi="Times New Roman" w:eastAsia="宋体" w:cs="Times New Roman"/>
          <w:color w:val="auto"/>
          <w:sz w:val="24"/>
          <w:szCs w:val="24"/>
          <w:highlight w:val="none"/>
          <w:lang w:val="en-US" w:eastAsia="zh-CN"/>
        </w:rPr>
        <w:t>HJ610</w:t>
      </w:r>
      <w:r>
        <w:rPr>
          <w:rFonts w:hint="eastAsia" w:cs="Times New Roman"/>
          <w:color w:val="auto"/>
          <w:sz w:val="24"/>
          <w:szCs w:val="24"/>
          <w:highlight w:val="none"/>
          <w:lang w:val="en-US" w:eastAsia="zh-CN"/>
        </w:rPr>
        <w:t>-2016）</w:t>
      </w:r>
      <w:r>
        <w:rPr>
          <w:rFonts w:hint="eastAsia" w:ascii="Times New Roman" w:hAnsi="Times New Roman" w:eastAsia="宋体" w:cs="Times New Roman"/>
          <w:color w:val="auto"/>
          <w:sz w:val="24"/>
          <w:szCs w:val="24"/>
          <w:highlight w:val="none"/>
          <w:lang w:val="en-US" w:eastAsia="zh-CN"/>
        </w:rPr>
        <w:t>确定。</w:t>
      </w:r>
    </w:p>
    <w:p w14:paraId="7B53597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正常工况下，项目产生废液的构筑物防渗层未发生破裂，不会出现废液下渗污染地下水的事故，对环境影响较小。</w:t>
      </w:r>
    </w:p>
    <w:p w14:paraId="5E451D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非正常工况下，忽略包气带的阻滞作用，以污染物直接进入含水层预测结果可以看出，由于区域水力坡度小，水流速度较慢，发生泄漏污染物进入含水层中在地下水中的运移速度较低，污染铜超标影响最远距离位于下游</w:t>
      </w:r>
      <w:r>
        <w:rPr>
          <w:rFonts w:hint="eastAsia"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砷</w:t>
      </w:r>
      <w:r>
        <w:rPr>
          <w:rFonts w:hint="default" w:ascii="Times New Roman" w:hAnsi="Times New Roman" w:eastAsia="宋体" w:cs="Times New Roman"/>
          <w:color w:val="auto"/>
          <w:sz w:val="24"/>
          <w:szCs w:val="24"/>
          <w:highlight w:val="none"/>
          <w:lang w:val="en-US" w:eastAsia="zh-CN"/>
        </w:rPr>
        <w:t>超标影响最远距离位于下游</w:t>
      </w:r>
      <w:r>
        <w:rPr>
          <w:rFonts w:hint="eastAsia" w:ascii="Times New Roman" w:hAnsi="Times New Roman" w:eastAsia="宋体" w:cs="Times New Roman"/>
          <w:color w:val="auto"/>
          <w:sz w:val="24"/>
          <w:szCs w:val="24"/>
          <w:highlight w:val="none"/>
          <w:lang w:val="en-US" w:eastAsia="zh-CN"/>
        </w:rPr>
        <w:t>139</w:t>
      </w:r>
      <w:r>
        <w:rPr>
          <w:rFonts w:hint="default" w:ascii="Times New Roman" w:hAnsi="Times New Roman" w:eastAsia="宋体" w:cs="Times New Roman"/>
          <w:color w:val="auto"/>
          <w:sz w:val="24"/>
          <w:szCs w:val="24"/>
          <w:highlight w:val="none"/>
          <w:lang w:val="en-US" w:eastAsia="zh-CN"/>
        </w:rPr>
        <w:t>m。</w:t>
      </w:r>
    </w:p>
    <w:p w14:paraId="2EAA866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项目评价范围内没有地下水环境敏感点，本次环评要求建设单位应定期对项目区防渗层进行维护，避免此类</w:t>
      </w:r>
      <w:r>
        <w:rPr>
          <w:rFonts w:hint="eastAsia" w:cs="Times New Roman"/>
          <w:color w:val="auto"/>
          <w:sz w:val="24"/>
          <w:szCs w:val="24"/>
          <w:highlight w:val="none"/>
          <w:lang w:val="en-US" w:eastAsia="zh-CN"/>
        </w:rPr>
        <w:t>情况</w:t>
      </w:r>
      <w:r>
        <w:rPr>
          <w:rFonts w:hint="default" w:ascii="Times New Roman" w:hAnsi="Times New Roman" w:eastAsia="宋体" w:cs="Times New Roman"/>
          <w:color w:val="auto"/>
          <w:sz w:val="24"/>
          <w:szCs w:val="24"/>
          <w:highlight w:val="none"/>
          <w:lang w:val="en-US" w:eastAsia="zh-CN"/>
        </w:rPr>
        <w:t>的产生，同时应在</w:t>
      </w:r>
      <w:r>
        <w:rPr>
          <w:rFonts w:hint="eastAsia" w:cs="Times New Roman"/>
          <w:color w:val="auto"/>
          <w:sz w:val="24"/>
          <w:szCs w:val="24"/>
          <w:highlight w:val="none"/>
          <w:lang w:val="en-US" w:eastAsia="zh-CN"/>
        </w:rPr>
        <w:t>运营期</w:t>
      </w:r>
      <w:r>
        <w:rPr>
          <w:rFonts w:hint="default" w:ascii="Times New Roman" w:hAnsi="Times New Roman" w:eastAsia="宋体" w:cs="Times New Roman"/>
          <w:color w:val="auto"/>
          <w:sz w:val="24"/>
          <w:szCs w:val="24"/>
          <w:highlight w:val="none"/>
          <w:lang w:val="en-US" w:eastAsia="zh-CN"/>
        </w:rPr>
        <w:t>间开展地下水环境质量监测，</w:t>
      </w:r>
      <w:r>
        <w:rPr>
          <w:rFonts w:hint="eastAsia" w:ascii="Times New Roman" w:hAnsi="Times New Roman" w:eastAsia="宋体" w:cs="Times New Roman"/>
          <w:color w:val="auto"/>
          <w:sz w:val="24"/>
          <w:szCs w:val="24"/>
          <w:highlight w:val="none"/>
          <w:lang w:val="en-US" w:eastAsia="zh-CN"/>
        </w:rPr>
        <w:t>一旦发现</w:t>
      </w:r>
      <w:r>
        <w:rPr>
          <w:rFonts w:hint="default" w:ascii="Times New Roman" w:hAnsi="Times New Roman" w:eastAsia="宋体" w:cs="Times New Roman"/>
          <w:color w:val="auto"/>
          <w:sz w:val="24"/>
          <w:szCs w:val="24"/>
          <w:highlight w:val="none"/>
          <w:lang w:val="en-US" w:eastAsia="zh-CN"/>
        </w:rPr>
        <w:t>项目特征污染因子超标，及时对项目区防渗层进行检测并及时修复，必要时停止</w:t>
      </w:r>
      <w:r>
        <w:rPr>
          <w:rFonts w:hint="eastAsia" w:cs="Times New Roman"/>
          <w:color w:val="auto"/>
          <w:sz w:val="24"/>
          <w:szCs w:val="24"/>
          <w:highlight w:val="none"/>
          <w:lang w:val="en-US" w:eastAsia="zh-CN"/>
        </w:rPr>
        <w:t>运行</w:t>
      </w:r>
      <w:r>
        <w:rPr>
          <w:rFonts w:hint="default" w:ascii="Times New Roman" w:hAnsi="Times New Roman" w:eastAsia="宋体" w:cs="Times New Roman"/>
          <w:color w:val="auto"/>
          <w:sz w:val="24"/>
          <w:szCs w:val="24"/>
          <w:highlight w:val="none"/>
          <w:lang w:val="en-US" w:eastAsia="zh-CN"/>
        </w:rPr>
        <w:t>，避免对地下水环境造成污染。</w:t>
      </w:r>
    </w:p>
    <w:p w14:paraId="32C80B5F">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5.8.</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风险防范措施</w:t>
      </w:r>
    </w:p>
    <w:p w14:paraId="1F933B12">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.1总图布置和建筑安全防范措施</w:t>
      </w:r>
    </w:p>
    <w:p w14:paraId="62A7704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①总平面布置严格遵守有关设计规范，按生产装置和建筑物的类别和耐火等级严格进行防火分区，满足防火间距和安全疏散的要求。</w:t>
      </w:r>
    </w:p>
    <w:p w14:paraId="22D4329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②道路、场地、通风、排洪要满足安全生产的要求。</w:t>
      </w:r>
    </w:p>
    <w:p w14:paraId="71F339C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③在容易发生事故或危险性较大</w:t>
      </w:r>
      <w:r>
        <w:rPr>
          <w:rFonts w:hint="eastAsia" w:ascii="Times New Roman" w:hAnsi="Times New Roman" w:cs="Times New Roman"/>
          <w:color w:val="auto"/>
          <w:szCs w:val="24"/>
          <w:highlight w:val="none"/>
        </w:rPr>
        <w:t>的</w:t>
      </w:r>
      <w:r>
        <w:rPr>
          <w:rFonts w:ascii="Times New Roman" w:hAnsi="Times New Roman" w:cs="Times New Roman"/>
          <w:color w:val="auto"/>
          <w:szCs w:val="24"/>
          <w:highlight w:val="none"/>
        </w:rPr>
        <w:t>场所</w:t>
      </w:r>
      <w:r>
        <w:rPr>
          <w:rFonts w:hint="eastAsia" w:cs="Times New Roman"/>
          <w:color w:val="auto"/>
          <w:szCs w:val="24"/>
          <w:highlight w:val="none"/>
          <w:lang w:eastAsia="zh-CN"/>
        </w:rPr>
        <w:t>，以及其</w:t>
      </w:r>
      <w:r>
        <w:rPr>
          <w:rFonts w:hint="eastAsia" w:ascii="Times New Roman" w:hAnsi="Times New Roman" w:cs="Times New Roman"/>
          <w:color w:val="auto"/>
          <w:szCs w:val="24"/>
          <w:highlight w:val="none"/>
        </w:rPr>
        <w:t>他有</w:t>
      </w:r>
      <w:r>
        <w:rPr>
          <w:rFonts w:ascii="Times New Roman" w:hAnsi="Times New Roman" w:cs="Times New Roman"/>
          <w:color w:val="auto"/>
          <w:szCs w:val="24"/>
          <w:highlight w:val="none"/>
        </w:rPr>
        <w:t>必要提醒人们注意安全的场所，应按《安全标志及其使用导则》的要求设置安全标志。</w:t>
      </w:r>
    </w:p>
    <w:p w14:paraId="45E4CD36">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.2工艺技术设计安全防范措施</w:t>
      </w:r>
    </w:p>
    <w:p w14:paraId="6FCE378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①根据该项目的工艺流程危险因素类别和生产特点，进行防火、防爆、防腐蚀、防潮、防噪声、防静电等因素进行设计。所有容器的设计、制造、检验和施工安装，均按有关标准严格执行。</w:t>
      </w:r>
    </w:p>
    <w:p w14:paraId="5890D56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②选用高质量的设备、管件、阀门等，避免因设计不当引起腐蚀与</w:t>
      </w:r>
      <w:r>
        <w:rPr>
          <w:rFonts w:hint="eastAsia" w:ascii="Times New Roman" w:hAnsi="Times New Roman" w:cs="Times New Roman"/>
          <w:color w:val="auto"/>
          <w:szCs w:val="24"/>
          <w:highlight w:val="none"/>
        </w:rPr>
        <w:t>泄漏</w:t>
      </w:r>
      <w:r>
        <w:rPr>
          <w:rFonts w:ascii="Times New Roman" w:hAnsi="Times New Roman" w:cs="Times New Roman"/>
          <w:color w:val="auto"/>
          <w:szCs w:val="24"/>
          <w:highlight w:val="none"/>
        </w:rPr>
        <w:t>。建设单位在安装过程中严格保证安装质量，生产单位在运行过程中严格操作管理和日常维护，严防生产、维修和储运过程中物料的跑冒滴漏发生。</w:t>
      </w:r>
    </w:p>
    <w:p w14:paraId="47CABCF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③有毒有害物料的储罐、贮槽等严格按装料系数装存物料，避免因装料过满发生爆炸或泄漏。</w:t>
      </w:r>
    </w:p>
    <w:p w14:paraId="0AD11A3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④罐区设置围堰的大小、容量应满足相关设计规范，罐区内进料、出料管道及下水管道均应设截断阀，围堰有效容积不宜小于罐组内1个最大</w:t>
      </w:r>
      <w:r>
        <w:rPr>
          <w:rFonts w:hint="eastAsia" w:ascii="Times New Roman" w:hAnsi="Times New Roman" w:cs="Times New Roman"/>
          <w:color w:val="auto"/>
          <w:szCs w:val="24"/>
          <w:highlight w:val="none"/>
          <w:lang w:val="en-US" w:eastAsia="zh-CN"/>
        </w:rPr>
        <w:t>储罐</w:t>
      </w:r>
      <w:r>
        <w:rPr>
          <w:rFonts w:ascii="Times New Roman" w:hAnsi="Times New Roman" w:cs="Times New Roman"/>
          <w:color w:val="auto"/>
          <w:szCs w:val="24"/>
          <w:highlight w:val="none"/>
        </w:rPr>
        <w:t>的容积。</w:t>
      </w:r>
    </w:p>
    <w:p w14:paraId="054892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⑤装置区、库房以及其他存在潜在危险需要经常观测处，应设火焰探测报警装置、连续检测可燃气体浓度的探测报警装置。相应配置适量的现场手动报警按钮。</w:t>
      </w:r>
    </w:p>
    <w:p w14:paraId="7CA11BA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⑥</w:t>
      </w:r>
      <w:r>
        <w:rPr>
          <w:rFonts w:hint="eastAsia" w:ascii="Times New Roman" w:hAnsi="Times New Roman" w:cs="Times New Roman"/>
          <w:color w:val="auto"/>
          <w:szCs w:val="24"/>
          <w:highlight w:val="none"/>
          <w:lang w:eastAsia="zh-CN"/>
        </w:rPr>
        <w:t>浸出罐</w:t>
      </w:r>
      <w:r>
        <w:rPr>
          <w:rFonts w:ascii="Times New Roman" w:hAnsi="Times New Roman" w:cs="Times New Roman"/>
          <w:color w:val="auto"/>
          <w:szCs w:val="24"/>
          <w:highlight w:val="none"/>
        </w:rPr>
        <w:t>防渗层破损渗漏监测报警装置。</w:t>
      </w:r>
    </w:p>
    <w:p w14:paraId="70B6B9BF">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.3危险化学品运输防范措施</w:t>
      </w:r>
    </w:p>
    <w:p w14:paraId="4BDC5F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考虑到安全事故发生的原因主要为人的不安全行为、物的不安全状态及管理不当等，为了改善危险化学品道路运输安全状况，应从运输企业、运输从业人员、罐箱厂家及运输管理部门等各方面，提出相应的安全措施及要求。</w:t>
      </w:r>
    </w:p>
    <w:p w14:paraId="1B1763D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①对承运企业的要求</w:t>
      </w:r>
    </w:p>
    <w:p w14:paraId="1322DC4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承运危险化学品的道路运输公司必须具备2类危险货物运输资质，且符合《危险化学品安全管理条例</w:t>
      </w:r>
      <w:r>
        <w:rPr>
          <w:rFonts w:hint="eastAsia" w:ascii="Times New Roman" w:hAnsi="Times New Roman" w:cs="Times New Roman"/>
          <w:color w:val="auto"/>
          <w:szCs w:val="24"/>
          <w:highlight w:val="none"/>
        </w:rPr>
        <w:t>》《</w:t>
      </w:r>
      <w:r>
        <w:rPr>
          <w:rFonts w:ascii="Times New Roman" w:hAnsi="Times New Roman" w:cs="Times New Roman"/>
          <w:color w:val="auto"/>
          <w:szCs w:val="24"/>
          <w:highlight w:val="none"/>
        </w:rPr>
        <w:t>道路危险货物运输管理规定</w:t>
      </w:r>
      <w:r>
        <w:rPr>
          <w:rFonts w:hint="eastAsia" w:ascii="Times New Roman" w:hAnsi="Times New Roman" w:cs="Times New Roman"/>
          <w:color w:val="auto"/>
          <w:szCs w:val="24"/>
          <w:highlight w:val="none"/>
        </w:rPr>
        <w:t>》《</w:t>
      </w:r>
      <w:r>
        <w:rPr>
          <w:rFonts w:ascii="Times New Roman" w:hAnsi="Times New Roman" w:cs="Times New Roman"/>
          <w:color w:val="auto"/>
          <w:szCs w:val="24"/>
          <w:highlight w:val="none"/>
        </w:rPr>
        <w:t>汽车运输、装卸危险货物作业规程</w:t>
      </w:r>
      <w:r>
        <w:rPr>
          <w:rFonts w:hint="eastAsia" w:ascii="Times New Roman" w:hAnsi="Times New Roman" w:cs="Times New Roman"/>
          <w:color w:val="auto"/>
          <w:szCs w:val="24"/>
          <w:highlight w:val="none"/>
        </w:rPr>
        <w:t>》《</w:t>
      </w:r>
      <w:r>
        <w:rPr>
          <w:rFonts w:ascii="Times New Roman" w:hAnsi="Times New Roman" w:cs="Times New Roman"/>
          <w:color w:val="auto"/>
          <w:szCs w:val="24"/>
          <w:highlight w:val="none"/>
        </w:rPr>
        <w:t>汽车运输危险货物规则》等法规、标准对危险货物运输的要求。</w:t>
      </w:r>
    </w:p>
    <w:p w14:paraId="1B5C3C8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运输企业应建立健全安全生产管理制度，并严格落实。对罐车应建立技术档案，对阀门、仪表维修状况等进行跟踪检查，保证罐体的阀门等关键部件在运输途中不会出现故障。</w:t>
      </w:r>
    </w:p>
    <w:p w14:paraId="78AF88D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对危险化学品道路运输要进行安全评估</w:t>
      </w:r>
      <w:r>
        <w:rPr>
          <w:rFonts w:hint="eastAsia" w:ascii="Times New Roman" w:hAnsi="Times New Roman" w:cs="Times New Roman"/>
          <w:color w:val="auto"/>
          <w:szCs w:val="24"/>
          <w:highlight w:val="none"/>
        </w:rPr>
        <w:t>，</w:t>
      </w:r>
      <w:r>
        <w:rPr>
          <w:rFonts w:ascii="Times New Roman" w:hAnsi="Times New Roman" w:cs="Times New Roman"/>
          <w:color w:val="auto"/>
          <w:szCs w:val="24"/>
          <w:highlight w:val="none"/>
        </w:rPr>
        <w:t>辨识各种危险因素，制定相应的安全对策。运输企业应制定危险化学品罐车的突发事件应急预案，通过培训使驾驶员及押运人员能够采取正确有效的补救措施。</w:t>
      </w:r>
    </w:p>
    <w:p w14:paraId="0F18B12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要对危险化学品道路运输全过程进行安全控制，对运输车辆实行GPS全程监控，公司实时掌握承运车辆的运输动态，约束驾驶员的行为，加大对驾驶员超速驾驶等不安全行为的处罚力度，加强风险控制，增加安全性。</w:t>
      </w:r>
    </w:p>
    <w:p w14:paraId="52E4782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②对运输从业人员尤其是驾驶员、押运人员的安全要求</w:t>
      </w:r>
    </w:p>
    <w:p w14:paraId="6526B30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驾驶员及押运员要了解危险化学品的性质、危害特性及罐体的使用情况，一旦罐体出现安全问题等意外事故时能采取紧急处置措施。</w:t>
      </w:r>
    </w:p>
    <w:p w14:paraId="2130482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③对罐车生产厂家的要求</w:t>
      </w:r>
    </w:p>
    <w:p w14:paraId="7121FE5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罐体的质量直接决定了危险化学品道路运输的安全性，罐车生产厂家要提高产品质量，尤其要加强对罐体关键部件如阀门、管路等的质量管理和检验，避免出现故障。另外，要定期对罐车使用情况进行跟踪调查，以便及时根据罐车使用中发生的问题进行改进设计，进一步保障质量和安全。</w:t>
      </w:r>
    </w:p>
    <w:p w14:paraId="172A7E5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④对危险货物运输管理部门的要求</w:t>
      </w:r>
    </w:p>
    <w:p w14:paraId="336C148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制定切实可行的安全应急预案，并不定期地进行演练，加强对危险化学品运输车辆的监管，避免出现故障。交警部门要对危险化学品运输车辆超速等行为进行严肃处罚，规范驾驶员的驾驶行为，保障车辆规范运行；交通运管部门要对危险化学品运输公司严把准入关口，加强对危险化学品运输从业人员的安全培训和考核，加强日常监督检查，及时制定针对危险化学品道路运输作业及管理的操作规程；质检部门需要加大对罐体的质量把关，以从源头上确保安全；消防等部门要全面了解危险化学品的特性，必要时能及时采取合理措施，避免事态进一步扩大，消除险情。</w:t>
      </w:r>
    </w:p>
    <w:p w14:paraId="75E32A9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⑤危险化学品的运输槽车应配备以下防护设施：紧急截断阀、易熔塞、阻火器、吹扫置换系统、导静电接地与灭火装置、公路运输泄放阀等。</w:t>
      </w:r>
    </w:p>
    <w:p w14:paraId="3ADB9F9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⑥尽量安排危险品运输车辆在交通量较少时段通行。在气候不好的条件下，禁止其上路。</w:t>
      </w:r>
    </w:p>
    <w:p w14:paraId="3D31076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⑦对运输车辆配备GPS定位仪、防护工具。</w:t>
      </w:r>
    </w:p>
    <w:p w14:paraId="4D47817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⑧建立运输设备的维护与保养的规章制度；制订危险品运输事故应急计划。</w:t>
      </w:r>
    </w:p>
    <w:p w14:paraId="524B9C2F">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.4泄漏风险防范措施</w:t>
      </w:r>
    </w:p>
    <w:p w14:paraId="72DDC8B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宋体" w:hAnsi="宋体"/>
          <w:color w:val="auto"/>
          <w:sz w:val="24"/>
          <w:szCs w:val="24"/>
          <w:highlight w:val="none"/>
        </w:rPr>
      </w:pPr>
      <w:r>
        <w:rPr>
          <w:rFonts w:hint="eastAsia" w:ascii="宋体" w:hAnsi="宋体"/>
          <w:color w:val="auto"/>
          <w:sz w:val="24"/>
          <w:szCs w:val="24"/>
          <w:highlight w:val="none"/>
        </w:rPr>
        <w:t>煤油</w:t>
      </w:r>
      <w:r>
        <w:rPr>
          <w:rFonts w:hint="eastAsia" w:ascii="宋体" w:hAnsi="宋体"/>
          <w:color w:val="auto"/>
          <w:sz w:val="24"/>
          <w:szCs w:val="24"/>
          <w:highlight w:val="none"/>
          <w:lang w:val="en-US" w:eastAsia="zh-CN"/>
        </w:rPr>
        <w:t>桶</w:t>
      </w:r>
      <w:r>
        <w:rPr>
          <w:rFonts w:hint="eastAsia" w:ascii="宋体" w:hAnsi="宋体"/>
          <w:color w:val="auto"/>
          <w:sz w:val="24"/>
          <w:szCs w:val="24"/>
          <w:highlight w:val="none"/>
        </w:rPr>
        <w:t>、硫酸储罐</w:t>
      </w:r>
      <w:r>
        <w:rPr>
          <w:rFonts w:hint="eastAsia" w:ascii="宋体" w:hAnsi="宋体"/>
          <w:color w:val="auto"/>
          <w:sz w:val="24"/>
          <w:szCs w:val="24"/>
          <w:highlight w:val="none"/>
          <w:lang w:eastAsia="zh-CN"/>
        </w:rPr>
        <w:t>泄漏</w:t>
      </w:r>
      <w:r>
        <w:rPr>
          <w:rFonts w:hint="eastAsia" w:ascii="宋体" w:hAnsi="宋体"/>
          <w:color w:val="auto"/>
          <w:sz w:val="24"/>
          <w:szCs w:val="24"/>
          <w:highlight w:val="none"/>
        </w:rPr>
        <w:t>存在引发储存区及周边范围内土壤灼蚀、接触人员灼伤的风险。</w:t>
      </w:r>
    </w:p>
    <w:p w14:paraId="5D53429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color w:val="auto"/>
          <w:sz w:val="24"/>
          <w:szCs w:val="24"/>
          <w:highlight w:val="none"/>
        </w:rPr>
      </w:pPr>
      <w:r>
        <w:rPr>
          <w:rFonts w:hint="eastAsia" w:ascii="宋体" w:hAnsi="宋体"/>
          <w:color w:val="auto"/>
          <w:sz w:val="24"/>
          <w:szCs w:val="24"/>
          <w:highlight w:val="none"/>
        </w:rPr>
        <w:t>煤油</w:t>
      </w:r>
      <w:r>
        <w:rPr>
          <w:rFonts w:hint="eastAsia" w:ascii="宋体" w:hAnsi="宋体"/>
          <w:color w:val="auto"/>
          <w:sz w:val="24"/>
          <w:szCs w:val="24"/>
          <w:highlight w:val="none"/>
          <w:lang w:val="en-US" w:eastAsia="zh-CN"/>
        </w:rPr>
        <w:t>桶</w:t>
      </w:r>
      <w:r>
        <w:rPr>
          <w:rFonts w:hint="eastAsia" w:ascii="宋体" w:hAnsi="宋体"/>
          <w:color w:val="auto"/>
          <w:sz w:val="24"/>
          <w:szCs w:val="24"/>
          <w:highlight w:val="none"/>
        </w:rPr>
        <w:t>、硫酸灌装、取用与输送应设置专人执行，工作时严禁吸烟、携带火种、穿带钉皮鞋、穿化纤衣服等，操作和检修时采用不发火工具，使用防爆型电器，严禁</w:t>
      </w:r>
      <w:r>
        <w:rPr>
          <w:rFonts w:hint="eastAsia" w:ascii="宋体" w:hAnsi="宋体"/>
          <w:color w:val="auto"/>
          <w:sz w:val="24"/>
          <w:szCs w:val="24"/>
          <w:highlight w:val="none"/>
          <w:lang w:eastAsia="zh-CN"/>
        </w:rPr>
        <w:t>钢质</w:t>
      </w:r>
      <w:r>
        <w:rPr>
          <w:rFonts w:hint="eastAsia" w:ascii="宋体" w:hAnsi="宋体"/>
          <w:color w:val="auto"/>
          <w:sz w:val="24"/>
          <w:szCs w:val="24"/>
          <w:highlight w:val="none"/>
        </w:rPr>
        <w:t>工具敲打、撞击、抛掷，煤油</w:t>
      </w:r>
      <w:r>
        <w:rPr>
          <w:rFonts w:hint="eastAsia" w:ascii="宋体" w:hAnsi="宋体"/>
          <w:color w:val="auto"/>
          <w:sz w:val="24"/>
          <w:szCs w:val="24"/>
          <w:highlight w:val="none"/>
          <w:lang w:val="en-US" w:eastAsia="zh-CN"/>
        </w:rPr>
        <w:t>桶</w:t>
      </w:r>
      <w:r>
        <w:rPr>
          <w:rFonts w:hint="eastAsia" w:ascii="宋体" w:hAnsi="宋体"/>
          <w:color w:val="auto"/>
          <w:sz w:val="24"/>
          <w:szCs w:val="24"/>
          <w:highlight w:val="none"/>
        </w:rPr>
        <w:t>、硫酸储罐区内应保持清洁，定期检修罐体、管线等，保持库区良好通风。一旦发现</w:t>
      </w:r>
      <w:r>
        <w:rPr>
          <w:rFonts w:hint="eastAsia" w:ascii="宋体" w:hAnsi="宋体"/>
          <w:color w:val="auto"/>
          <w:sz w:val="24"/>
          <w:szCs w:val="24"/>
          <w:highlight w:val="none"/>
          <w:lang w:eastAsia="zh-CN"/>
        </w:rPr>
        <w:t>泄漏</w:t>
      </w:r>
      <w:r>
        <w:rPr>
          <w:rFonts w:hint="eastAsia" w:ascii="宋体" w:hAnsi="宋体"/>
          <w:color w:val="auto"/>
          <w:sz w:val="24"/>
          <w:szCs w:val="24"/>
          <w:highlight w:val="none"/>
        </w:rPr>
        <w:t>，应立即切断电源、水源及火源，启动报警装置，疏散周边人员，划定警戒范围，组织专业人员进行事故排查。</w:t>
      </w:r>
    </w:p>
    <w:p w14:paraId="25B9D2B9">
      <w:pPr>
        <w:rPr>
          <w:rFonts w:hint="eastAsia"/>
          <w:b/>
          <w:bCs/>
          <w:color w:val="auto"/>
        </w:rPr>
      </w:pPr>
      <w:r>
        <w:rPr>
          <w:rFonts w:hint="eastAsia"/>
          <w:b/>
          <w:bCs/>
          <w:color w:val="auto"/>
          <w:lang w:eastAsia="zh-CN"/>
        </w:rPr>
        <w:t>电积液</w:t>
      </w:r>
      <w:r>
        <w:rPr>
          <w:rFonts w:hint="eastAsia"/>
          <w:b/>
          <w:bCs/>
          <w:color w:val="auto"/>
        </w:rPr>
        <w:t>泄漏风险防范措施</w:t>
      </w:r>
    </w:p>
    <w:p w14:paraId="64704A71">
      <w:pPr>
        <w:rPr>
          <w:rFonts w:hint="eastAsia"/>
          <w:color w:val="auto"/>
        </w:rPr>
      </w:pPr>
      <w:r>
        <w:rPr>
          <w:rFonts w:hint="eastAsia"/>
          <w:color w:val="auto"/>
        </w:rPr>
        <w:t>为防止现有工程</w:t>
      </w:r>
      <w:r>
        <w:rPr>
          <w:rFonts w:hint="eastAsia"/>
          <w:color w:val="auto"/>
          <w:lang w:eastAsia="zh-CN"/>
        </w:rPr>
        <w:t>电积液</w:t>
      </w:r>
      <w:r>
        <w:rPr>
          <w:rFonts w:hint="eastAsia"/>
          <w:color w:val="auto"/>
        </w:rPr>
        <w:t>的跑冒滴漏，</w:t>
      </w:r>
      <w:r>
        <w:rPr>
          <w:rFonts w:hint="eastAsia"/>
          <w:color w:val="auto"/>
          <w:lang w:val="en-US" w:eastAsia="zh-CN"/>
        </w:rPr>
        <w:t>电积</w:t>
      </w:r>
      <w:r>
        <w:rPr>
          <w:rFonts w:hint="eastAsia"/>
          <w:color w:val="auto"/>
        </w:rPr>
        <w:t>池采取</w:t>
      </w:r>
      <w:r>
        <w:rPr>
          <w:rFonts w:hint="eastAsia"/>
          <w:color w:val="auto"/>
          <w:lang w:val="en-US" w:eastAsia="zh-CN"/>
        </w:rPr>
        <w:t>相应的</w:t>
      </w:r>
      <w:r>
        <w:rPr>
          <w:rFonts w:hint="eastAsia"/>
          <w:color w:val="auto"/>
        </w:rPr>
        <w:t>防腐防渗层后再用花岗岩铺设，耐酸胶泥勾缝，可有效防止</w:t>
      </w:r>
      <w:r>
        <w:rPr>
          <w:rFonts w:hint="eastAsia"/>
          <w:color w:val="auto"/>
          <w:lang w:eastAsia="zh-CN"/>
        </w:rPr>
        <w:t>电积液</w:t>
      </w:r>
      <w:r>
        <w:rPr>
          <w:rFonts w:hint="eastAsia"/>
          <w:color w:val="auto"/>
        </w:rPr>
        <w:t>在跑冒滴漏过程中的下渗，从而减小对地下水的影响。</w:t>
      </w:r>
    </w:p>
    <w:p w14:paraId="12FF4FBF">
      <w:pPr>
        <w:rPr>
          <w:rFonts w:hint="eastAsia"/>
          <w:color w:val="auto"/>
        </w:rPr>
      </w:pPr>
      <w:r>
        <w:rPr>
          <w:rFonts w:hint="eastAsia"/>
          <w:color w:val="auto"/>
        </w:rPr>
        <w:t>此外，在工程运行过程中还应注意：</w:t>
      </w:r>
    </w:p>
    <w:p w14:paraId="32976EB3">
      <w:pPr>
        <w:rPr>
          <w:rFonts w:hint="eastAsia"/>
          <w:color w:val="auto"/>
        </w:rPr>
      </w:pPr>
      <w:r>
        <w:rPr>
          <w:rFonts w:hint="eastAsia"/>
          <w:color w:val="auto"/>
        </w:rPr>
        <w:t>（1）操作时须佩戴耐酸手套、使用化学安全护目镜及护面罩，身着防护衣。</w:t>
      </w:r>
    </w:p>
    <w:p w14:paraId="4BE40834">
      <w:pPr>
        <w:rPr>
          <w:rFonts w:hint="eastAsia"/>
          <w:color w:val="auto"/>
        </w:rPr>
      </w:pPr>
      <w:r>
        <w:rPr>
          <w:rFonts w:hint="eastAsia"/>
          <w:color w:val="auto"/>
        </w:rPr>
        <w:t>（2）严格控制</w:t>
      </w:r>
      <w:r>
        <w:rPr>
          <w:rFonts w:hint="eastAsia"/>
          <w:color w:val="auto"/>
          <w:lang w:eastAsia="zh-CN"/>
        </w:rPr>
        <w:t>电积槽</w:t>
      </w:r>
      <w:r>
        <w:rPr>
          <w:rFonts w:hint="eastAsia"/>
          <w:color w:val="auto"/>
        </w:rPr>
        <w:t>液位及</w:t>
      </w:r>
      <w:r>
        <w:rPr>
          <w:rFonts w:hint="eastAsia"/>
          <w:color w:val="auto"/>
          <w:lang w:eastAsia="zh-CN"/>
        </w:rPr>
        <w:t>电积液</w:t>
      </w:r>
      <w:r>
        <w:rPr>
          <w:rFonts w:hint="eastAsia"/>
          <w:color w:val="auto"/>
        </w:rPr>
        <w:t>的流量，避免</w:t>
      </w:r>
      <w:r>
        <w:rPr>
          <w:rFonts w:hint="eastAsia"/>
          <w:color w:val="auto"/>
          <w:lang w:eastAsia="zh-CN"/>
        </w:rPr>
        <w:t>电积液</w:t>
      </w:r>
      <w:r>
        <w:rPr>
          <w:rFonts w:hint="eastAsia"/>
          <w:color w:val="auto"/>
        </w:rPr>
        <w:t>溢出。</w:t>
      </w:r>
    </w:p>
    <w:p w14:paraId="412CB70C">
      <w:pPr>
        <w:rPr>
          <w:rFonts w:hint="eastAsia"/>
          <w:color w:val="auto"/>
        </w:rPr>
      </w:pPr>
      <w:r>
        <w:rPr>
          <w:rFonts w:hint="eastAsia"/>
          <w:color w:val="auto"/>
        </w:rPr>
        <w:t>（3）定期检查</w:t>
      </w:r>
      <w:r>
        <w:rPr>
          <w:rFonts w:hint="eastAsia"/>
          <w:color w:val="auto"/>
          <w:lang w:eastAsia="zh-CN"/>
        </w:rPr>
        <w:t>电积槽</w:t>
      </w:r>
      <w:r>
        <w:rPr>
          <w:rFonts w:hint="eastAsia"/>
          <w:color w:val="auto"/>
        </w:rPr>
        <w:t>是否有泄漏现象，落实到具体责任人。</w:t>
      </w:r>
    </w:p>
    <w:p w14:paraId="35DC9F15">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.5水环境风险防范措施</w:t>
      </w:r>
    </w:p>
    <w:p w14:paraId="4BD3E828">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本项目的水环境风险主要是硫酸</w:t>
      </w:r>
      <w:r>
        <w:rPr>
          <w:rFonts w:hint="eastAsia" w:ascii="Times New Roman" w:hAnsi="Times New Roman" w:cs="Times New Roman"/>
          <w:color w:val="auto"/>
          <w:szCs w:val="24"/>
          <w:highlight w:val="none"/>
          <w:lang w:val="en-US" w:eastAsia="zh-CN"/>
        </w:rPr>
        <w:t>储罐</w:t>
      </w:r>
      <w:r>
        <w:rPr>
          <w:rFonts w:ascii="Times New Roman" w:hAnsi="Times New Roman" w:cs="Times New Roman"/>
          <w:color w:val="auto"/>
          <w:szCs w:val="24"/>
          <w:highlight w:val="none"/>
        </w:rPr>
        <w:t>泄漏，以及火灾爆炸事故情况下消防废水泄漏对</w:t>
      </w:r>
      <w:r>
        <w:rPr>
          <w:rFonts w:hint="eastAsia" w:cs="Times New Roman"/>
          <w:color w:val="auto"/>
          <w:szCs w:val="24"/>
          <w:highlight w:val="none"/>
          <w:lang w:val="en-US" w:eastAsia="zh-CN"/>
        </w:rPr>
        <w:t>地下水</w:t>
      </w:r>
      <w:r>
        <w:rPr>
          <w:rFonts w:ascii="Times New Roman" w:hAnsi="Times New Roman" w:cs="Times New Roman"/>
          <w:color w:val="auto"/>
          <w:szCs w:val="24"/>
          <w:highlight w:val="none"/>
        </w:rPr>
        <w:t>环境的影响。为防止事故状态下的有毒有害物质对</w:t>
      </w:r>
      <w:r>
        <w:rPr>
          <w:rFonts w:hint="eastAsia" w:cs="Times New Roman"/>
          <w:color w:val="auto"/>
          <w:szCs w:val="24"/>
          <w:highlight w:val="none"/>
          <w:lang w:val="en-US" w:eastAsia="zh-CN"/>
        </w:rPr>
        <w:t>地下水</w:t>
      </w:r>
      <w:r>
        <w:rPr>
          <w:rFonts w:ascii="Times New Roman" w:hAnsi="Times New Roman" w:cs="Times New Roman"/>
          <w:color w:val="auto"/>
          <w:szCs w:val="24"/>
          <w:highlight w:val="none"/>
        </w:rPr>
        <w:t>造成污染，评价提出以下要求：</w:t>
      </w:r>
    </w:p>
    <w:p w14:paraId="0AD59CC3">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①围堰</w:t>
      </w:r>
    </w:p>
    <w:p w14:paraId="351D3B91">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按照《石油化工企业设计防火规范》要求罐区应设围堰。围堰的有效容积应能满足罐区一个最大罐的容积。根据规范要求，评价要求罐区各围堰有效容积应能使罐区一个最大罐泄漏的物料可以完全限制在围堰内。</w:t>
      </w:r>
    </w:p>
    <w:p w14:paraId="66B4851B">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②事故池</w:t>
      </w:r>
    </w:p>
    <w:p w14:paraId="049B7F9F">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事故水池主要考虑以下几种情况：</w:t>
      </w:r>
    </w:p>
    <w:p w14:paraId="522A4DBD">
      <w:pPr>
        <w:pageBreakBefore w:val="0"/>
        <w:wordWrap/>
        <w:topLinePunct w:val="0"/>
        <w:bidi w:val="0"/>
        <w:adjustRightInd w:val="0"/>
        <w:snapToGrid w:val="0"/>
        <w:spacing w:line="480" w:lineRule="exact"/>
        <w:ind w:left="0" w:leftChars="0"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消防事故排水</w:t>
      </w:r>
    </w:p>
    <w:p w14:paraId="52F97A27">
      <w:pPr>
        <w:pageBreakBefore w:val="0"/>
        <w:wordWrap/>
        <w:topLinePunct w:val="0"/>
        <w:bidi w:val="0"/>
        <w:adjustRightInd w:val="0"/>
        <w:snapToGrid w:val="0"/>
        <w:spacing w:line="480" w:lineRule="exact"/>
        <w:ind w:left="0" w:leftChars="0"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为收集厂区在事故状态下产生的消防废水，评价要求厂区应设置一定容积的消防废水事故池。事故池有效容积按《水体污染防控紧急措施设计导则》推荐的公式计算：</w:t>
      </w:r>
    </w:p>
    <w:p w14:paraId="1E866841">
      <w:pPr>
        <w:pStyle w:val="48"/>
        <w:pageBreakBefore w:val="0"/>
        <w:tabs>
          <w:tab w:val="left" w:pos="908"/>
        </w:tabs>
        <w:wordWrap/>
        <w:topLinePunct w:val="0"/>
        <w:bidi w:val="0"/>
        <w:adjustRightInd w:val="0"/>
        <w:snapToGrid w:val="0"/>
        <w:spacing w:before="0" w:after="0" w:line="480" w:lineRule="exact"/>
        <w:ind w:left="0" w:leftChars="0" w:firstLine="480" w:firstLineChars="200"/>
        <w:rPr>
          <w:color w:val="auto"/>
          <w:sz w:val="24"/>
          <w:szCs w:val="24"/>
          <w:highlight w:val="none"/>
        </w:rPr>
      </w:pPr>
      <w:r>
        <w:rPr>
          <w:color w:val="auto"/>
          <w:sz w:val="24"/>
          <w:szCs w:val="24"/>
          <w:highlight w:val="none"/>
        </w:rPr>
        <w:t>V</w:t>
      </w:r>
      <w:r>
        <w:rPr>
          <w:color w:val="auto"/>
          <w:sz w:val="24"/>
          <w:szCs w:val="24"/>
          <w:highlight w:val="none"/>
          <w:vertAlign w:val="subscript"/>
        </w:rPr>
        <w:t>总</w:t>
      </w:r>
      <w:r>
        <w:rPr>
          <w:color w:val="auto"/>
          <w:sz w:val="24"/>
          <w:szCs w:val="24"/>
          <w:highlight w:val="none"/>
        </w:rPr>
        <w:t>＝（V</w:t>
      </w:r>
      <w:r>
        <w:rPr>
          <w:color w:val="auto"/>
          <w:sz w:val="24"/>
          <w:szCs w:val="24"/>
          <w:highlight w:val="none"/>
          <w:vertAlign w:val="subscript"/>
        </w:rPr>
        <w:t>1</w:t>
      </w:r>
      <w:r>
        <w:rPr>
          <w:color w:val="auto"/>
          <w:sz w:val="24"/>
          <w:szCs w:val="24"/>
          <w:highlight w:val="none"/>
        </w:rPr>
        <w:t>＋V</w:t>
      </w:r>
      <w:r>
        <w:rPr>
          <w:color w:val="auto"/>
          <w:sz w:val="24"/>
          <w:szCs w:val="24"/>
          <w:highlight w:val="none"/>
          <w:vertAlign w:val="subscript"/>
        </w:rPr>
        <w:t>2</w:t>
      </w:r>
      <w:r>
        <w:rPr>
          <w:color w:val="auto"/>
          <w:sz w:val="24"/>
          <w:szCs w:val="24"/>
          <w:highlight w:val="none"/>
        </w:rPr>
        <w:t>－V</w:t>
      </w:r>
      <w:r>
        <w:rPr>
          <w:color w:val="auto"/>
          <w:sz w:val="24"/>
          <w:szCs w:val="24"/>
          <w:highlight w:val="none"/>
          <w:vertAlign w:val="subscript"/>
        </w:rPr>
        <w:t>3</w:t>
      </w:r>
      <w:r>
        <w:rPr>
          <w:color w:val="auto"/>
          <w:sz w:val="24"/>
          <w:szCs w:val="24"/>
          <w:highlight w:val="none"/>
        </w:rPr>
        <w:t>）</w:t>
      </w:r>
      <w:r>
        <w:rPr>
          <w:color w:val="auto"/>
          <w:sz w:val="24"/>
          <w:szCs w:val="24"/>
          <w:highlight w:val="none"/>
          <w:vertAlign w:val="subscript"/>
        </w:rPr>
        <w:t>max</w:t>
      </w:r>
      <w:r>
        <w:rPr>
          <w:color w:val="auto"/>
          <w:sz w:val="24"/>
          <w:szCs w:val="24"/>
          <w:highlight w:val="none"/>
        </w:rPr>
        <w:t>＋V</w:t>
      </w:r>
      <w:r>
        <w:rPr>
          <w:color w:val="auto"/>
          <w:sz w:val="24"/>
          <w:szCs w:val="24"/>
          <w:highlight w:val="none"/>
          <w:vertAlign w:val="subscript"/>
        </w:rPr>
        <w:t>4</w:t>
      </w:r>
      <w:r>
        <w:rPr>
          <w:color w:val="auto"/>
          <w:sz w:val="24"/>
          <w:szCs w:val="24"/>
          <w:highlight w:val="none"/>
        </w:rPr>
        <w:t>+V</w:t>
      </w:r>
      <w:r>
        <w:rPr>
          <w:color w:val="auto"/>
          <w:sz w:val="24"/>
          <w:szCs w:val="24"/>
          <w:highlight w:val="none"/>
          <w:vertAlign w:val="subscript"/>
        </w:rPr>
        <w:t>5</w:t>
      </w:r>
    </w:p>
    <w:p w14:paraId="50522442">
      <w:pPr>
        <w:pageBreakBefore w:val="0"/>
        <w:wordWrap/>
        <w:topLinePunct w:val="0"/>
        <w:bidi w:val="0"/>
        <w:adjustRightInd w:val="0"/>
        <w:snapToGrid w:val="0"/>
        <w:spacing w:line="480" w:lineRule="exact"/>
        <w:ind w:left="0" w:leftChars="0" w:firstLine="480" w:firstLineChars="200"/>
        <w:jc w:val="left"/>
        <w:rPr>
          <w:rFonts w:ascii="Times New Roman" w:hAnsi="Times New Roman" w:cs="Times New Roman"/>
          <w:color w:val="auto"/>
          <w:szCs w:val="24"/>
          <w:highlight w:val="none"/>
        </w:rPr>
      </w:pPr>
      <w:r>
        <w:rPr>
          <w:rFonts w:ascii="Times New Roman" w:hAnsi="Times New Roman" w:cs="Times New Roman"/>
          <w:color w:val="auto"/>
          <w:szCs w:val="24"/>
          <w:highlight w:val="none"/>
        </w:rPr>
        <w:t>式中：</w:t>
      </w:r>
    </w:p>
    <w:p w14:paraId="07BB9213">
      <w:pPr>
        <w:pageBreakBefore w:val="0"/>
        <w:wordWrap/>
        <w:topLinePunct w:val="0"/>
        <w:bidi w:val="0"/>
        <w:adjustRightInd w:val="0"/>
        <w:snapToGrid w:val="0"/>
        <w:spacing w:line="480" w:lineRule="exact"/>
        <w:ind w:left="0" w:leftChars="0" w:firstLine="480" w:firstLineChars="200"/>
        <w:jc w:val="left"/>
        <w:rPr>
          <w:rFonts w:ascii="Times New Roman" w:hAnsi="Times New Roman" w:cs="Times New Roman"/>
          <w:color w:val="auto"/>
          <w:szCs w:val="24"/>
          <w:highlight w:val="none"/>
        </w:rPr>
      </w:pPr>
      <w:r>
        <w:rPr>
          <w:rFonts w:ascii="Times New Roman" w:hAnsi="Times New Roman" w:cs="Times New Roman"/>
          <w:color w:val="auto"/>
          <w:szCs w:val="24"/>
          <w:highlight w:val="none"/>
        </w:rPr>
        <w:t>V—事故水池的有效容积，m</w:t>
      </w:r>
      <w:r>
        <w:rPr>
          <w:rFonts w:ascii="Times New Roman" w:hAnsi="Times New Roman" w:cs="Times New Roman"/>
          <w:color w:val="auto"/>
          <w:szCs w:val="24"/>
          <w:highlight w:val="none"/>
          <w:vertAlign w:val="superscript"/>
        </w:rPr>
        <w:t>3</w:t>
      </w:r>
      <w:r>
        <w:rPr>
          <w:rFonts w:ascii="Times New Roman" w:hAnsi="Times New Roman" w:cs="Times New Roman"/>
          <w:color w:val="auto"/>
          <w:szCs w:val="24"/>
          <w:highlight w:val="none"/>
        </w:rPr>
        <w:t>；</w:t>
      </w:r>
    </w:p>
    <w:p w14:paraId="132C8B00">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1</w:t>
      </w:r>
      <w:r>
        <w:rPr>
          <w:rFonts w:ascii="Times New Roman" w:hAnsi="Times New Roman"/>
          <w:color w:val="auto"/>
          <w:highlight w:val="none"/>
        </w:rPr>
        <w:t>—收集系统范围内发生事故时罐区一个最大单罐的泄漏物料量，m</w:t>
      </w:r>
      <w:r>
        <w:rPr>
          <w:rFonts w:ascii="Times New Roman" w:hAnsi="Times New Roman"/>
          <w:color w:val="auto"/>
          <w:highlight w:val="none"/>
          <w:vertAlign w:val="superscript"/>
        </w:rPr>
        <w:t>3</w:t>
      </w:r>
      <w:r>
        <w:rPr>
          <w:rFonts w:ascii="Times New Roman" w:hAnsi="Times New Roman"/>
          <w:color w:val="auto"/>
          <w:highlight w:val="none"/>
        </w:rPr>
        <w:t>；</w:t>
      </w:r>
    </w:p>
    <w:p w14:paraId="2C3D5991">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2</w:t>
      </w:r>
      <w:r>
        <w:rPr>
          <w:rFonts w:ascii="Times New Roman" w:hAnsi="Times New Roman"/>
          <w:color w:val="auto"/>
          <w:highlight w:val="none"/>
        </w:rPr>
        <w:t>—发生事故的一次最大消防水用量，m</w:t>
      </w:r>
      <w:r>
        <w:rPr>
          <w:rFonts w:ascii="Times New Roman" w:hAnsi="Times New Roman"/>
          <w:color w:val="auto"/>
          <w:highlight w:val="none"/>
          <w:vertAlign w:val="superscript"/>
        </w:rPr>
        <w:t>3</w:t>
      </w:r>
      <w:r>
        <w:rPr>
          <w:rFonts w:ascii="Times New Roman" w:hAnsi="Times New Roman"/>
          <w:color w:val="auto"/>
          <w:highlight w:val="none"/>
        </w:rPr>
        <w:t>；</w:t>
      </w:r>
    </w:p>
    <w:p w14:paraId="16E43E99">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3</w:t>
      </w:r>
      <w:r>
        <w:rPr>
          <w:rFonts w:ascii="Times New Roman" w:hAnsi="Times New Roman"/>
          <w:color w:val="auto"/>
          <w:highlight w:val="none"/>
        </w:rPr>
        <w:t>—发生事故时可以转输</w:t>
      </w:r>
      <w:r>
        <w:rPr>
          <w:rFonts w:hint="eastAsia" w:ascii="Times New Roman" w:hAnsi="Times New Roman"/>
          <w:color w:val="auto"/>
          <w:highlight w:val="none"/>
          <w:lang w:eastAsia="zh-CN"/>
        </w:rPr>
        <w:t>到其他</w:t>
      </w:r>
      <w:r>
        <w:rPr>
          <w:rFonts w:ascii="Times New Roman" w:hAnsi="Times New Roman"/>
          <w:color w:val="auto"/>
          <w:highlight w:val="none"/>
        </w:rPr>
        <w:t>储存或处理设施的物料量，m</w:t>
      </w:r>
      <w:r>
        <w:rPr>
          <w:rFonts w:ascii="Times New Roman" w:hAnsi="Times New Roman"/>
          <w:color w:val="auto"/>
          <w:highlight w:val="none"/>
          <w:vertAlign w:val="superscript"/>
        </w:rPr>
        <w:t>3</w:t>
      </w:r>
      <w:r>
        <w:rPr>
          <w:rFonts w:ascii="Times New Roman" w:hAnsi="Times New Roman"/>
          <w:color w:val="auto"/>
          <w:highlight w:val="none"/>
        </w:rPr>
        <w:t>；</w:t>
      </w:r>
    </w:p>
    <w:p w14:paraId="589AADE8">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1</w:t>
      </w:r>
      <w:r>
        <w:rPr>
          <w:rFonts w:ascii="Times New Roman" w:hAnsi="Times New Roman"/>
          <w:color w:val="auto"/>
          <w:highlight w:val="none"/>
        </w:rPr>
        <w:t>＋V</w:t>
      </w:r>
      <w:r>
        <w:rPr>
          <w:rFonts w:ascii="Times New Roman" w:hAnsi="Times New Roman"/>
          <w:color w:val="auto"/>
          <w:highlight w:val="none"/>
          <w:vertAlign w:val="subscript"/>
        </w:rPr>
        <w:t>2</w:t>
      </w:r>
      <w:r>
        <w:rPr>
          <w:rFonts w:ascii="Times New Roman" w:hAnsi="Times New Roman"/>
          <w:color w:val="auto"/>
          <w:highlight w:val="none"/>
        </w:rPr>
        <w:t>-V</w:t>
      </w:r>
      <w:r>
        <w:rPr>
          <w:rFonts w:ascii="Times New Roman" w:hAnsi="Times New Roman"/>
          <w:color w:val="auto"/>
          <w:highlight w:val="none"/>
          <w:vertAlign w:val="subscript"/>
        </w:rPr>
        <w:t>3</w:t>
      </w:r>
      <w:r>
        <w:rPr>
          <w:rFonts w:ascii="Times New Roman" w:hAnsi="Times New Roman"/>
          <w:color w:val="auto"/>
          <w:highlight w:val="none"/>
        </w:rPr>
        <w:t>）max—对收集系统范围内不同装置区或罐区分别计算V</w:t>
      </w:r>
      <w:r>
        <w:rPr>
          <w:rFonts w:ascii="Times New Roman" w:hAnsi="Times New Roman"/>
          <w:color w:val="auto"/>
          <w:highlight w:val="none"/>
          <w:vertAlign w:val="subscript"/>
        </w:rPr>
        <w:t>1</w:t>
      </w:r>
      <w:r>
        <w:rPr>
          <w:rFonts w:ascii="Times New Roman" w:hAnsi="Times New Roman"/>
          <w:color w:val="auto"/>
          <w:highlight w:val="none"/>
        </w:rPr>
        <w:t>＋V</w:t>
      </w:r>
      <w:r>
        <w:rPr>
          <w:rFonts w:ascii="Times New Roman" w:hAnsi="Times New Roman"/>
          <w:color w:val="auto"/>
          <w:highlight w:val="none"/>
          <w:vertAlign w:val="subscript"/>
        </w:rPr>
        <w:t>2</w:t>
      </w:r>
      <w:r>
        <w:rPr>
          <w:rFonts w:ascii="Times New Roman" w:hAnsi="Times New Roman"/>
          <w:color w:val="auto"/>
          <w:highlight w:val="none"/>
        </w:rPr>
        <w:t>－V</w:t>
      </w:r>
      <w:r>
        <w:rPr>
          <w:rFonts w:ascii="Times New Roman" w:hAnsi="Times New Roman"/>
          <w:color w:val="auto"/>
          <w:highlight w:val="none"/>
          <w:vertAlign w:val="subscript"/>
        </w:rPr>
        <w:t>3</w:t>
      </w:r>
      <w:r>
        <w:rPr>
          <w:rFonts w:ascii="Times New Roman" w:hAnsi="Times New Roman"/>
          <w:color w:val="auto"/>
          <w:highlight w:val="none"/>
        </w:rPr>
        <w:t>而取出的最大值，也</w:t>
      </w:r>
      <w:r>
        <w:rPr>
          <w:rFonts w:hint="eastAsia" w:ascii="Times New Roman" w:hAnsi="Times New Roman"/>
          <w:color w:val="auto"/>
          <w:highlight w:val="none"/>
        </w:rPr>
        <w:t>即</w:t>
      </w:r>
      <w:r>
        <w:rPr>
          <w:rFonts w:ascii="Times New Roman" w:hAnsi="Times New Roman"/>
          <w:color w:val="auto"/>
          <w:highlight w:val="none"/>
        </w:rPr>
        <w:t>最大事故</w:t>
      </w:r>
      <w:r>
        <w:rPr>
          <w:rFonts w:hint="eastAsia" w:ascii="Times New Roman" w:hAnsi="Times New Roman"/>
          <w:color w:val="auto"/>
          <w:highlight w:val="none"/>
        </w:rPr>
        <w:t>值</w:t>
      </w:r>
      <w:r>
        <w:rPr>
          <w:rFonts w:ascii="Times New Roman" w:hAnsi="Times New Roman"/>
          <w:color w:val="auto"/>
          <w:highlight w:val="none"/>
        </w:rPr>
        <w:t>；</w:t>
      </w:r>
    </w:p>
    <w:p w14:paraId="6182F081">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4</w:t>
      </w:r>
      <w:r>
        <w:rPr>
          <w:rFonts w:ascii="Times New Roman" w:hAnsi="Times New Roman"/>
          <w:color w:val="auto"/>
          <w:highlight w:val="none"/>
        </w:rPr>
        <w:t>—发生事故时仍必须进入该收集池的生产废水量，m</w:t>
      </w:r>
      <w:r>
        <w:rPr>
          <w:rFonts w:ascii="Times New Roman" w:hAnsi="Times New Roman"/>
          <w:color w:val="auto"/>
          <w:highlight w:val="none"/>
          <w:vertAlign w:val="superscript"/>
        </w:rPr>
        <w:t>3</w:t>
      </w:r>
      <w:r>
        <w:rPr>
          <w:rFonts w:ascii="Times New Roman" w:hAnsi="Times New Roman"/>
          <w:color w:val="auto"/>
          <w:highlight w:val="none"/>
        </w:rPr>
        <w:t>；</w:t>
      </w:r>
    </w:p>
    <w:p w14:paraId="636D0AC8">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5</w:t>
      </w:r>
      <w:r>
        <w:rPr>
          <w:rFonts w:ascii="Times New Roman" w:hAnsi="Times New Roman"/>
          <w:color w:val="auto"/>
          <w:highlight w:val="none"/>
        </w:rPr>
        <w:t>—发生事故时可能进入该收集池的降雨量，按《水体污染防控紧急措施设计导则》中规定，降雨强度按一年内降雨天数内的平均日降雨强度计；</w:t>
      </w:r>
    </w:p>
    <w:p w14:paraId="3782BE24">
      <w:pPr>
        <w:pStyle w:val="236"/>
        <w:pageBreakBefore w:val="0"/>
        <w:wordWrap/>
        <w:topLinePunct w:val="0"/>
        <w:bidi w:val="0"/>
        <w:adjustRightInd w:val="0"/>
        <w:snapToGrid w:val="0"/>
        <w:spacing w:before="0" w:beforeAutospacing="0" w:after="0" w:afterAutospacing="0" w:line="480" w:lineRule="exact"/>
        <w:ind w:left="0" w:leftChars="0" w:firstLine="480" w:firstLineChars="200"/>
        <w:jc w:val="center"/>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5</w:t>
      </w:r>
      <w:r>
        <w:rPr>
          <w:rFonts w:hint="eastAsia" w:ascii="Times New Roman" w:hAnsi="Times New Roman"/>
          <w:color w:val="auto"/>
          <w:highlight w:val="none"/>
          <w:vertAlign w:val="subscript"/>
          <w:lang w:eastAsia="zh-CN"/>
        </w:rPr>
        <w:t>=(</w:t>
      </w:r>
      <w:r>
        <w:rPr>
          <w:rFonts w:ascii="Times New Roman" w:hAnsi="Times New Roman"/>
          <w:color w:val="auto"/>
          <w:highlight w:val="none"/>
        </w:rPr>
        <w:t>q</w:t>
      </w:r>
      <w:r>
        <w:rPr>
          <w:rFonts w:ascii="Times New Roman" w:hAnsi="Times New Roman"/>
          <w:color w:val="auto"/>
          <w:highlight w:val="none"/>
          <w:vertAlign w:val="subscript"/>
        </w:rPr>
        <w:t>a</w:t>
      </w:r>
      <w:r>
        <w:rPr>
          <w:rFonts w:ascii="Times New Roman" w:hAnsi="Times New Roman"/>
          <w:color w:val="auto"/>
          <w:highlight w:val="none"/>
        </w:rPr>
        <w:t>/n</w:t>
      </w:r>
      <w:r>
        <w:rPr>
          <w:rFonts w:hint="eastAsia" w:ascii="Times New Roman" w:hAnsi="Times New Roman"/>
          <w:color w:val="auto"/>
          <w:highlight w:val="none"/>
          <w:lang w:eastAsia="zh-CN"/>
        </w:rPr>
        <w:t>)</w:t>
      </w:r>
      <w:r>
        <w:rPr>
          <w:rFonts w:ascii="Times New Roman" w:hAnsi="Times New Roman"/>
          <w:color w:val="auto"/>
          <w:highlight w:val="none"/>
        </w:rPr>
        <w:t>F</w:t>
      </w:r>
    </w:p>
    <w:p w14:paraId="1C0281C3">
      <w:pPr>
        <w:pageBreakBefore w:val="0"/>
        <w:wordWrap/>
        <w:topLinePunct w:val="0"/>
        <w:bidi w:val="0"/>
        <w:adjustRightInd w:val="0"/>
        <w:snapToGrid w:val="0"/>
        <w:spacing w:line="480" w:lineRule="exact"/>
        <w:ind w:left="0" w:leftChars="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p>
    <w:p w14:paraId="4290ECA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960" w:firstLineChars="4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qa—年平均降雨量，mm；</w:t>
      </w:r>
    </w:p>
    <w:p w14:paraId="1C46CF0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960" w:firstLineChars="4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n—年平均降雨日数，d；</w:t>
      </w:r>
    </w:p>
    <w:p w14:paraId="392FBA4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960" w:firstLineChars="400"/>
        <w:textAlignment w:val="auto"/>
        <w:rPr>
          <w:rFonts w:ascii="Times New Roman" w:hAnsi="Times New Roman" w:cs="Times New Roman"/>
          <w:color w:val="auto"/>
          <w:szCs w:val="24"/>
          <w:highlight w:val="none"/>
        </w:rPr>
      </w:pPr>
      <w:r>
        <w:rPr>
          <w:rFonts w:hint="default" w:ascii="Times New Roman" w:hAnsi="Times New Roman" w:cs="Times New Roman"/>
          <w:color w:val="auto"/>
          <w:szCs w:val="24"/>
          <w:highlight w:val="none"/>
        </w:rPr>
        <w:t>F—必须进入事故池的雨水汇水面积，m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w:t>
      </w:r>
    </w:p>
    <w:p w14:paraId="4BFEF64F">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经计算，本项目消防用水量为20L/s，火灾延续时间为4h，最大一次消防用水量约为288m</w:t>
      </w:r>
      <w:r>
        <w:rPr>
          <w:rFonts w:ascii="Times New Roman" w:hAnsi="Times New Roman"/>
          <w:color w:val="auto"/>
          <w:highlight w:val="none"/>
          <w:vertAlign w:val="superscript"/>
        </w:rPr>
        <w:t>3</w:t>
      </w:r>
      <w:r>
        <w:rPr>
          <w:rFonts w:ascii="Times New Roman" w:hAnsi="Times New Roman"/>
          <w:color w:val="auto"/>
          <w:highlight w:val="none"/>
        </w:rPr>
        <w:t>。本项目发生消防事故时必须进入事故水池的雨水汇水面积（以装置区和罐区面积计，约</w:t>
      </w:r>
      <w:r>
        <w:rPr>
          <w:rFonts w:hint="eastAsia" w:ascii="Times New Roman" w:hAnsi="Times New Roman"/>
          <w:color w:val="auto"/>
          <w:highlight w:val="none"/>
          <w:lang w:val="en-US" w:eastAsia="zh-CN"/>
        </w:rPr>
        <w:t>50</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），年平均降雨量为</w:t>
      </w:r>
      <w:r>
        <w:rPr>
          <w:rFonts w:hint="eastAsia" w:ascii="Times New Roman" w:hAnsi="Times New Roman"/>
          <w:color w:val="auto"/>
          <w:highlight w:val="none"/>
          <w:lang w:val="en-US" w:eastAsia="zh-CN"/>
        </w:rPr>
        <w:t>26.2</w:t>
      </w:r>
      <w:r>
        <w:rPr>
          <w:rFonts w:ascii="Times New Roman" w:hAnsi="Times New Roman"/>
          <w:color w:val="auto"/>
          <w:highlight w:val="none"/>
        </w:rPr>
        <w:t>mm，年平均降雨天数约为20天，则发生消防事故时进入事故水池的降雨量为</w:t>
      </w:r>
      <w:r>
        <w:rPr>
          <w:rFonts w:hint="eastAsia" w:ascii="Times New Roman" w:hAnsi="Times New Roman"/>
          <w:color w:val="auto"/>
          <w:highlight w:val="none"/>
          <w:lang w:val="en-US" w:eastAsia="zh-CN"/>
        </w:rPr>
        <w:t>65.5</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。则消防事故废水量为</w:t>
      </w:r>
      <w:r>
        <w:rPr>
          <w:rFonts w:hint="eastAsia" w:ascii="Times New Roman" w:hAnsi="Times New Roman"/>
          <w:color w:val="auto"/>
          <w:highlight w:val="none"/>
          <w:lang w:val="en-US" w:eastAsia="zh-CN"/>
        </w:rPr>
        <w:t>353.5</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w:t>
      </w:r>
    </w:p>
    <w:p w14:paraId="55BCC383">
      <w:pPr>
        <w:pageBreakBefore w:val="0"/>
        <w:wordWrap/>
        <w:topLinePunct w:val="0"/>
        <w:bidi w:val="0"/>
        <w:adjustRightInd w:val="0"/>
        <w:snapToGrid w:val="0"/>
        <w:spacing w:line="480" w:lineRule="exact"/>
        <w:ind w:left="0" w:leftChars="0" w:firstLine="480" w:firstLineChars="200"/>
        <w:rPr>
          <w:rFonts w:hint="default" w:ascii="Times New Roman" w:hAnsi="Times New Roman" w:eastAsia="宋体" w:cs="Times New Roman"/>
          <w:color w:val="auto"/>
          <w:szCs w:val="24"/>
          <w:highlight w:val="none"/>
          <w:lang w:val="en-US" w:eastAsia="zh-CN"/>
        </w:rPr>
      </w:pPr>
      <w:r>
        <w:rPr>
          <w:rFonts w:ascii="Times New Roman" w:hAnsi="Times New Roman" w:cs="Times New Roman"/>
          <w:color w:val="auto"/>
          <w:szCs w:val="24"/>
          <w:highlight w:val="none"/>
        </w:rPr>
        <w:t>结合类似工程经验，本项目考虑事故水池的有效容积为</w:t>
      </w:r>
      <w:r>
        <w:rPr>
          <w:rFonts w:hint="eastAsia" w:cs="Times New Roman"/>
          <w:color w:val="auto"/>
          <w:szCs w:val="24"/>
          <w:highlight w:val="none"/>
          <w:lang w:val="en-US" w:eastAsia="zh-CN"/>
        </w:rPr>
        <w:t>5</w:t>
      </w:r>
      <w:r>
        <w:rPr>
          <w:rFonts w:ascii="Times New Roman" w:hAnsi="Times New Roman" w:cs="Times New Roman"/>
          <w:color w:val="auto"/>
          <w:szCs w:val="24"/>
          <w:highlight w:val="none"/>
        </w:rPr>
        <w:t>00m</w:t>
      </w:r>
      <w:r>
        <w:rPr>
          <w:rFonts w:ascii="Times New Roman" w:hAnsi="Times New Roman" w:cs="Times New Roman"/>
          <w:color w:val="auto"/>
          <w:szCs w:val="24"/>
          <w:highlight w:val="none"/>
          <w:vertAlign w:val="superscript"/>
        </w:rPr>
        <w:t>3</w:t>
      </w:r>
      <w:r>
        <w:rPr>
          <w:rFonts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建设地点为破碎车间外南侧。</w:t>
      </w:r>
    </w:p>
    <w:p w14:paraId="356150EF">
      <w:pPr>
        <w:pageBreakBefore w:val="0"/>
        <w:wordWrap/>
        <w:topLinePunct w:val="0"/>
        <w:bidi w:val="0"/>
        <w:adjustRightInd w:val="0"/>
        <w:snapToGrid w:val="0"/>
        <w:spacing w:line="480" w:lineRule="exact"/>
        <w:ind w:left="0" w:leftChars="0"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采取以上措施后，事故情况下产生的消防废水</w:t>
      </w:r>
      <w:r>
        <w:rPr>
          <w:rFonts w:hint="eastAsia" w:ascii="Times New Roman" w:hAnsi="Times New Roman" w:cs="Times New Roman"/>
          <w:color w:val="auto"/>
          <w:szCs w:val="24"/>
          <w:highlight w:val="none"/>
        </w:rPr>
        <w:t>，以及</w:t>
      </w:r>
      <w:r>
        <w:rPr>
          <w:rFonts w:ascii="Times New Roman" w:hAnsi="Times New Roman" w:cs="Times New Roman"/>
          <w:color w:val="auto"/>
          <w:szCs w:val="24"/>
          <w:highlight w:val="none"/>
        </w:rPr>
        <w:t>初期雨水对地表水环境的影响小。</w:t>
      </w:r>
    </w:p>
    <w:p w14:paraId="7EF31C2B">
      <w:pPr>
        <w:pStyle w:val="4"/>
        <w:pageBreakBefore w:val="0"/>
        <w:wordWrap/>
        <w:topLinePunct w:val="0"/>
        <w:bidi w:val="0"/>
        <w:adjustRightInd w:val="0"/>
        <w:snapToGrid w:val="0"/>
        <w:ind w:left="0" w:leftChars="0" w:right="0" w:firstLine="482"/>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5.8.</w:t>
      </w: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环境应急预案</w:t>
      </w:r>
    </w:p>
    <w:p w14:paraId="19FE7473">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（1）应急预案内容</w:t>
      </w:r>
    </w:p>
    <w:p w14:paraId="027D4702">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1.1）总则</w:t>
      </w:r>
    </w:p>
    <w:p w14:paraId="31ECA417">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应急组织要坚持“主动预防、积极抢救”的原则</w:t>
      </w:r>
      <w:r>
        <w:rPr>
          <w:rFonts w:hint="eastAsia" w:cs="Times New Roman"/>
          <w:color w:val="auto"/>
          <w:szCs w:val="24"/>
          <w:highlight w:val="none"/>
          <w:lang w:val="en-US" w:eastAsia="zh-CN"/>
        </w:rPr>
        <w:t>，</w:t>
      </w:r>
      <w:r>
        <w:rPr>
          <w:rFonts w:hint="eastAsia" w:ascii="Times New Roman" w:hAnsi="Times New Roman" w:eastAsia="宋体" w:cs="Times New Roman"/>
          <w:color w:val="auto"/>
          <w:szCs w:val="24"/>
          <w:highlight w:val="none"/>
          <w:lang w:val="en-US" w:eastAsia="zh-CN"/>
        </w:rPr>
        <w:t>能够处理项目区突发事故，快速</w:t>
      </w:r>
      <w:r>
        <w:rPr>
          <w:rFonts w:hint="eastAsia" w:cs="Times New Roman"/>
          <w:color w:val="auto"/>
          <w:szCs w:val="24"/>
          <w:highlight w:val="none"/>
          <w:lang w:val="en-US" w:eastAsia="zh-CN"/>
        </w:rPr>
        <w:t>地</w:t>
      </w:r>
      <w:r>
        <w:rPr>
          <w:rFonts w:hint="eastAsia" w:ascii="Times New Roman" w:hAnsi="Times New Roman" w:eastAsia="宋体" w:cs="Times New Roman"/>
          <w:color w:val="auto"/>
          <w:szCs w:val="24"/>
          <w:highlight w:val="none"/>
          <w:lang w:val="en-US" w:eastAsia="zh-CN"/>
        </w:rPr>
        <w:t>反应和正确的处理措施是处理突发事故和灾害的关键。应急预案所要求的基本内容可参照表5.8-</w:t>
      </w:r>
      <w:r>
        <w:rPr>
          <w:rFonts w:hint="eastAsia" w:cs="Times New Roman"/>
          <w:color w:val="auto"/>
          <w:szCs w:val="24"/>
          <w:highlight w:val="none"/>
          <w:lang w:val="en-US" w:eastAsia="zh-CN"/>
        </w:rPr>
        <w:t>13</w:t>
      </w:r>
      <w:r>
        <w:rPr>
          <w:rFonts w:hint="eastAsia" w:ascii="Times New Roman" w:hAnsi="Times New Roman" w:eastAsia="宋体" w:cs="Times New Roman"/>
          <w:color w:val="auto"/>
          <w:szCs w:val="24"/>
          <w:highlight w:val="none"/>
          <w:lang w:val="en-US" w:eastAsia="zh-CN"/>
        </w:rPr>
        <w:t>中的相关内容。</w:t>
      </w:r>
    </w:p>
    <w:p w14:paraId="3BBA71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表</w:t>
      </w:r>
      <w:r>
        <w:rPr>
          <w:rFonts w:hint="eastAsia" w:ascii="Times New Roman" w:hAnsi="Times New Roman" w:eastAsia="宋体" w:cs="Times New Roman"/>
          <w:b/>
          <w:bCs/>
          <w:color w:val="auto"/>
          <w:kern w:val="2"/>
          <w:sz w:val="21"/>
          <w:szCs w:val="21"/>
          <w:highlight w:val="none"/>
          <w:lang w:val="en-US" w:eastAsia="zh-CN" w:bidi="ar-SA"/>
        </w:rPr>
        <w:t>5.8-</w:t>
      </w:r>
      <w:r>
        <w:rPr>
          <w:rFonts w:hint="eastAsia" w:cs="Times New Roman"/>
          <w:b/>
          <w:bCs/>
          <w:color w:val="auto"/>
          <w:kern w:val="2"/>
          <w:sz w:val="21"/>
          <w:szCs w:val="21"/>
          <w:highlight w:val="none"/>
          <w:lang w:val="en-US" w:eastAsia="zh-CN" w:bidi="ar-SA"/>
        </w:rPr>
        <w:t>13</w:t>
      </w:r>
      <w:r>
        <w:rPr>
          <w:rFonts w:hint="eastAsia" w:ascii="Times New Roman" w:hAnsi="Times New Roman" w:cs="Times New Roman"/>
          <w:b/>
          <w:color w:val="auto"/>
          <w:sz w:val="21"/>
          <w:szCs w:val="21"/>
          <w:highlight w:val="none"/>
          <w:lang w:val="en-US" w:eastAsia="zh-CN"/>
        </w:rPr>
        <w:t xml:space="preserve">   </w:t>
      </w:r>
      <w:r>
        <w:rPr>
          <w:rFonts w:ascii="Times New Roman" w:hAnsi="Times New Roman" w:cs="Times New Roman"/>
          <w:b/>
          <w:color w:val="auto"/>
          <w:sz w:val="21"/>
          <w:szCs w:val="21"/>
          <w:highlight w:val="none"/>
        </w:rPr>
        <w:t>应急预案内容</w:t>
      </w:r>
    </w:p>
    <w:tbl>
      <w:tblPr>
        <w:tblStyle w:val="121"/>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37"/>
        <w:gridCol w:w="2733"/>
        <w:gridCol w:w="4985"/>
      </w:tblGrid>
      <w:tr w14:paraId="3F7D81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89" w:type="pct"/>
            <w:tcBorders>
              <w:tl2br w:val="nil"/>
              <w:tr2bl w:val="nil"/>
            </w:tcBorders>
            <w:vAlign w:val="center"/>
          </w:tcPr>
          <w:p w14:paraId="03F01C0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序号</w:t>
            </w:r>
          </w:p>
        </w:tc>
        <w:tc>
          <w:tcPr>
            <w:tcW w:w="1597" w:type="pct"/>
            <w:tcBorders>
              <w:tl2br w:val="nil"/>
              <w:tr2bl w:val="nil"/>
            </w:tcBorders>
            <w:vAlign w:val="center"/>
          </w:tcPr>
          <w:p w14:paraId="531831D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项目</w:t>
            </w:r>
          </w:p>
        </w:tc>
        <w:tc>
          <w:tcPr>
            <w:tcW w:w="2913" w:type="pct"/>
            <w:tcBorders>
              <w:tl2br w:val="nil"/>
              <w:tr2bl w:val="nil"/>
            </w:tcBorders>
            <w:vAlign w:val="center"/>
          </w:tcPr>
          <w:p w14:paraId="0EEB300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内容及要求</w:t>
            </w:r>
          </w:p>
        </w:tc>
      </w:tr>
      <w:tr w14:paraId="3A2426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89" w:type="pct"/>
            <w:tcBorders>
              <w:tl2br w:val="nil"/>
              <w:tr2bl w:val="nil"/>
            </w:tcBorders>
            <w:vAlign w:val="center"/>
          </w:tcPr>
          <w:p w14:paraId="3622DF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97" w:type="pct"/>
            <w:tcBorders>
              <w:tl2br w:val="nil"/>
              <w:tr2bl w:val="nil"/>
            </w:tcBorders>
            <w:vAlign w:val="center"/>
          </w:tcPr>
          <w:p w14:paraId="40CDCD4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应急计划区</w:t>
            </w:r>
          </w:p>
        </w:tc>
        <w:tc>
          <w:tcPr>
            <w:tcW w:w="2913" w:type="pct"/>
            <w:tcBorders>
              <w:tl2br w:val="nil"/>
              <w:tr2bl w:val="nil"/>
            </w:tcBorders>
            <w:vAlign w:val="center"/>
          </w:tcPr>
          <w:p w14:paraId="7C2882F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危险目标，环境保护目标</w:t>
            </w:r>
          </w:p>
        </w:tc>
      </w:tr>
      <w:tr w14:paraId="0602E2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89" w:type="pct"/>
            <w:tcBorders>
              <w:tl2br w:val="nil"/>
              <w:tr2bl w:val="nil"/>
            </w:tcBorders>
            <w:vAlign w:val="center"/>
          </w:tcPr>
          <w:p w14:paraId="2FDBC5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97" w:type="pct"/>
            <w:tcBorders>
              <w:tl2br w:val="nil"/>
              <w:tr2bl w:val="nil"/>
            </w:tcBorders>
            <w:vAlign w:val="center"/>
          </w:tcPr>
          <w:p w14:paraId="309C67E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应急组织机构、人员</w:t>
            </w:r>
          </w:p>
        </w:tc>
        <w:tc>
          <w:tcPr>
            <w:tcW w:w="2913" w:type="pct"/>
            <w:tcBorders>
              <w:tl2br w:val="nil"/>
              <w:tr2bl w:val="nil"/>
            </w:tcBorders>
            <w:vAlign w:val="center"/>
          </w:tcPr>
          <w:p w14:paraId="767E5E4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项目区应急组织机构、人员</w:t>
            </w:r>
          </w:p>
        </w:tc>
      </w:tr>
      <w:tr w14:paraId="2CEB4A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89" w:type="pct"/>
            <w:tcBorders>
              <w:tl2br w:val="nil"/>
              <w:tr2bl w:val="nil"/>
            </w:tcBorders>
            <w:vAlign w:val="center"/>
          </w:tcPr>
          <w:p w14:paraId="0935DF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97" w:type="pct"/>
            <w:tcBorders>
              <w:tl2br w:val="nil"/>
              <w:tr2bl w:val="nil"/>
            </w:tcBorders>
            <w:vAlign w:val="center"/>
          </w:tcPr>
          <w:p w14:paraId="10873A9A">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预案分级响应条件</w:t>
            </w:r>
          </w:p>
        </w:tc>
        <w:tc>
          <w:tcPr>
            <w:tcW w:w="2913" w:type="pct"/>
            <w:tcBorders>
              <w:tl2br w:val="nil"/>
              <w:tr2bl w:val="nil"/>
            </w:tcBorders>
            <w:vAlign w:val="center"/>
          </w:tcPr>
          <w:p w14:paraId="6EA469C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规定预案的级别及分级响应程序</w:t>
            </w:r>
          </w:p>
        </w:tc>
      </w:tr>
      <w:tr w14:paraId="59115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89" w:type="pct"/>
            <w:tcBorders>
              <w:tl2br w:val="nil"/>
              <w:tr2bl w:val="nil"/>
            </w:tcBorders>
            <w:vAlign w:val="center"/>
          </w:tcPr>
          <w:p w14:paraId="5EDA1A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597" w:type="pct"/>
            <w:tcBorders>
              <w:tl2br w:val="nil"/>
              <w:tr2bl w:val="nil"/>
            </w:tcBorders>
            <w:vAlign w:val="center"/>
          </w:tcPr>
          <w:p w14:paraId="2739B591">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应急救援保障</w:t>
            </w:r>
          </w:p>
        </w:tc>
        <w:tc>
          <w:tcPr>
            <w:tcW w:w="2913" w:type="pct"/>
            <w:tcBorders>
              <w:tl2br w:val="nil"/>
              <w:tr2bl w:val="nil"/>
            </w:tcBorders>
            <w:vAlign w:val="center"/>
          </w:tcPr>
          <w:p w14:paraId="0C65BEA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应急设施，设备与器材等</w:t>
            </w:r>
          </w:p>
        </w:tc>
      </w:tr>
      <w:tr w14:paraId="707C5D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89" w:type="pct"/>
            <w:tcBorders>
              <w:tl2br w:val="nil"/>
              <w:tr2bl w:val="nil"/>
            </w:tcBorders>
            <w:vAlign w:val="center"/>
          </w:tcPr>
          <w:p w14:paraId="780959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97" w:type="pct"/>
            <w:tcBorders>
              <w:tl2br w:val="nil"/>
              <w:tr2bl w:val="nil"/>
            </w:tcBorders>
            <w:vAlign w:val="center"/>
          </w:tcPr>
          <w:p w14:paraId="4817B0C1">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报警、通讯联络方式</w:t>
            </w:r>
          </w:p>
        </w:tc>
        <w:tc>
          <w:tcPr>
            <w:tcW w:w="2913" w:type="pct"/>
            <w:tcBorders>
              <w:tl2br w:val="nil"/>
              <w:tr2bl w:val="nil"/>
            </w:tcBorders>
            <w:vAlign w:val="center"/>
          </w:tcPr>
          <w:p w14:paraId="59954B9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规定应急状态下的报警通讯方式、通知方式和交通</w:t>
            </w:r>
            <w:r>
              <w:rPr>
                <w:rFonts w:hint="default" w:ascii="Times New Roman" w:hAnsi="Times New Roman" w:eastAsia="宋体" w:cs="Times New Roman"/>
                <w:color w:val="auto"/>
                <w:spacing w:val="7"/>
                <w:sz w:val="21"/>
                <w:szCs w:val="21"/>
                <w:highlight w:val="none"/>
              </w:rPr>
              <w:t>保障、管制</w:t>
            </w:r>
          </w:p>
        </w:tc>
      </w:tr>
      <w:tr w14:paraId="4FE015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89" w:type="pct"/>
            <w:tcBorders>
              <w:tl2br w:val="nil"/>
              <w:tr2bl w:val="nil"/>
            </w:tcBorders>
            <w:vAlign w:val="center"/>
          </w:tcPr>
          <w:p w14:paraId="5CD88B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97" w:type="pct"/>
            <w:tcBorders>
              <w:tl2br w:val="nil"/>
              <w:tr2bl w:val="nil"/>
            </w:tcBorders>
            <w:vAlign w:val="center"/>
          </w:tcPr>
          <w:p w14:paraId="16C8EA5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应急环境监测、抢险、救援及控</w:t>
            </w:r>
            <w:r>
              <w:rPr>
                <w:rFonts w:hint="default" w:ascii="Times New Roman" w:hAnsi="Times New Roman" w:eastAsia="宋体" w:cs="Times New Roman"/>
                <w:color w:val="auto"/>
                <w:spacing w:val="6"/>
                <w:sz w:val="21"/>
                <w:szCs w:val="21"/>
                <w:highlight w:val="none"/>
              </w:rPr>
              <w:t>制措施</w:t>
            </w:r>
          </w:p>
        </w:tc>
        <w:tc>
          <w:tcPr>
            <w:tcW w:w="2913" w:type="pct"/>
            <w:tcBorders>
              <w:tl2br w:val="nil"/>
              <w:tr2bl w:val="nil"/>
            </w:tcBorders>
            <w:vAlign w:val="center"/>
          </w:tcPr>
          <w:p w14:paraId="60D0DAA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由专业队伍负责对事故现场进行侦查监测，对事故</w:t>
            </w:r>
            <w:r>
              <w:rPr>
                <w:rFonts w:hint="default" w:ascii="Times New Roman" w:hAnsi="Times New Roman" w:eastAsia="宋体" w:cs="Times New Roman"/>
                <w:color w:val="auto"/>
                <w:spacing w:val="9"/>
                <w:sz w:val="21"/>
                <w:szCs w:val="21"/>
                <w:highlight w:val="none"/>
              </w:rPr>
              <w:t>性质、参数与后果进行评估，为指挥部门提供决策</w:t>
            </w:r>
            <w:r>
              <w:rPr>
                <w:rFonts w:hint="default" w:ascii="Times New Roman" w:hAnsi="Times New Roman" w:eastAsia="宋体" w:cs="Times New Roman"/>
                <w:color w:val="auto"/>
                <w:spacing w:val="3"/>
                <w:sz w:val="21"/>
                <w:szCs w:val="21"/>
                <w:highlight w:val="none"/>
              </w:rPr>
              <w:t>依据</w:t>
            </w:r>
          </w:p>
        </w:tc>
      </w:tr>
      <w:tr w14:paraId="4B3A10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89" w:type="pct"/>
            <w:tcBorders>
              <w:tl2br w:val="nil"/>
              <w:tr2bl w:val="nil"/>
            </w:tcBorders>
            <w:vAlign w:val="center"/>
          </w:tcPr>
          <w:p w14:paraId="577882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597" w:type="pct"/>
            <w:tcBorders>
              <w:tl2br w:val="nil"/>
              <w:tr2bl w:val="nil"/>
            </w:tcBorders>
            <w:vAlign w:val="center"/>
          </w:tcPr>
          <w:p w14:paraId="0BD20A9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应急检测、防护措施、清除泄漏</w:t>
            </w:r>
            <w:r>
              <w:rPr>
                <w:rFonts w:hint="default" w:ascii="Times New Roman" w:hAnsi="Times New Roman" w:eastAsia="宋体" w:cs="Times New Roman"/>
                <w:color w:val="auto"/>
                <w:spacing w:val="8"/>
                <w:sz w:val="21"/>
                <w:szCs w:val="21"/>
                <w:highlight w:val="none"/>
              </w:rPr>
              <w:t>措施和器材</w:t>
            </w:r>
          </w:p>
        </w:tc>
        <w:tc>
          <w:tcPr>
            <w:tcW w:w="2913" w:type="pct"/>
            <w:tcBorders>
              <w:tl2br w:val="nil"/>
              <w:tr2bl w:val="nil"/>
            </w:tcBorders>
            <w:vAlign w:val="center"/>
          </w:tcPr>
          <w:p w14:paraId="6380D2C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事故现场、邻近区域、控制防火区域，控制和清除</w:t>
            </w:r>
            <w:r>
              <w:rPr>
                <w:rFonts w:hint="default" w:ascii="Times New Roman" w:hAnsi="Times New Roman" w:eastAsia="宋体" w:cs="Times New Roman"/>
                <w:color w:val="auto"/>
                <w:spacing w:val="8"/>
                <w:sz w:val="21"/>
                <w:szCs w:val="21"/>
                <w:highlight w:val="none"/>
              </w:rPr>
              <w:t>污染措施及相应设备</w:t>
            </w:r>
          </w:p>
        </w:tc>
      </w:tr>
      <w:tr w14:paraId="71EB5E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89" w:type="pct"/>
            <w:tcBorders>
              <w:tl2br w:val="nil"/>
              <w:tr2bl w:val="nil"/>
            </w:tcBorders>
            <w:vAlign w:val="center"/>
          </w:tcPr>
          <w:p w14:paraId="03DBE5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597" w:type="pct"/>
            <w:tcBorders>
              <w:tl2br w:val="nil"/>
              <w:tr2bl w:val="nil"/>
            </w:tcBorders>
            <w:vAlign w:val="center"/>
          </w:tcPr>
          <w:p w14:paraId="76B3E84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人员紧急撤离、疏散，应急剂量控制、撤离组织计划</w:t>
            </w:r>
          </w:p>
        </w:tc>
        <w:tc>
          <w:tcPr>
            <w:tcW w:w="2913" w:type="pct"/>
            <w:tcBorders>
              <w:tl2br w:val="nil"/>
              <w:tr2bl w:val="nil"/>
            </w:tcBorders>
            <w:vAlign w:val="center"/>
          </w:tcPr>
          <w:p w14:paraId="29544EA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事故现场、厂区邻近</w:t>
            </w:r>
            <w:r>
              <w:rPr>
                <w:rFonts w:hint="eastAsia" w:ascii="Times New Roman" w:hAnsi="Times New Roman" w:cs="Times New Roman"/>
                <w:color w:val="auto"/>
                <w:spacing w:val="9"/>
                <w:sz w:val="21"/>
                <w:szCs w:val="21"/>
                <w:highlight w:val="none"/>
                <w:lang w:eastAsia="zh-CN"/>
              </w:rPr>
              <w:t>区域</w:t>
            </w:r>
            <w:r>
              <w:rPr>
                <w:rFonts w:hint="default" w:ascii="Times New Roman" w:hAnsi="Times New Roman" w:eastAsia="宋体" w:cs="Times New Roman"/>
                <w:color w:val="auto"/>
                <w:spacing w:val="9"/>
                <w:sz w:val="21"/>
                <w:szCs w:val="21"/>
                <w:highlight w:val="none"/>
              </w:rPr>
              <w:t>、受事故影响的区域人员及公众对毒物应急剂量控制规定，撤离组织计划及救护，医疗救护与公众健康</w:t>
            </w:r>
          </w:p>
        </w:tc>
      </w:tr>
      <w:tr w14:paraId="4B57C1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89" w:type="pct"/>
            <w:tcBorders>
              <w:tl2br w:val="nil"/>
              <w:tr2bl w:val="nil"/>
            </w:tcBorders>
            <w:vAlign w:val="center"/>
          </w:tcPr>
          <w:p w14:paraId="371133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597" w:type="pct"/>
            <w:tcBorders>
              <w:tl2br w:val="nil"/>
              <w:tr2bl w:val="nil"/>
            </w:tcBorders>
            <w:vAlign w:val="center"/>
          </w:tcPr>
          <w:p w14:paraId="0AE5F40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事故应急救援关闭程序与恢复</w:t>
            </w:r>
            <w:r>
              <w:rPr>
                <w:rFonts w:hint="default" w:ascii="Times New Roman" w:hAnsi="Times New Roman" w:eastAsia="宋体" w:cs="Times New Roman"/>
                <w:color w:val="auto"/>
                <w:spacing w:val="4"/>
                <w:sz w:val="21"/>
                <w:szCs w:val="21"/>
                <w:highlight w:val="none"/>
              </w:rPr>
              <w:t>措施</w:t>
            </w:r>
          </w:p>
        </w:tc>
        <w:tc>
          <w:tcPr>
            <w:tcW w:w="2913" w:type="pct"/>
            <w:tcBorders>
              <w:tl2br w:val="nil"/>
              <w:tr2bl w:val="nil"/>
            </w:tcBorders>
            <w:vAlign w:val="center"/>
          </w:tcPr>
          <w:p w14:paraId="70742C7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规定应急状态终止程序事故现场</w:t>
            </w:r>
            <w:r>
              <w:rPr>
                <w:rFonts w:hint="eastAsia" w:ascii="Times New Roman" w:hAnsi="Times New Roman" w:cs="Times New Roman"/>
                <w:color w:val="auto"/>
                <w:spacing w:val="9"/>
                <w:sz w:val="21"/>
                <w:szCs w:val="21"/>
                <w:highlight w:val="none"/>
                <w:lang w:eastAsia="zh-CN"/>
              </w:rPr>
              <w:t>善后处理</w:t>
            </w:r>
            <w:r>
              <w:rPr>
                <w:rFonts w:hint="default" w:ascii="Times New Roman" w:hAnsi="Times New Roman" w:eastAsia="宋体" w:cs="Times New Roman"/>
                <w:color w:val="auto"/>
                <w:spacing w:val="9"/>
                <w:sz w:val="21"/>
                <w:szCs w:val="21"/>
                <w:highlight w:val="none"/>
              </w:rPr>
              <w:t>，恢复措施邻近区域解除事故警戒及善后恢复措施</w:t>
            </w:r>
          </w:p>
        </w:tc>
      </w:tr>
      <w:tr w14:paraId="6E80DE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89" w:type="pct"/>
            <w:tcBorders>
              <w:tl2br w:val="nil"/>
              <w:tr2bl w:val="nil"/>
            </w:tcBorders>
            <w:vAlign w:val="center"/>
          </w:tcPr>
          <w:p w14:paraId="3BC8D9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10</w:t>
            </w:r>
          </w:p>
        </w:tc>
        <w:tc>
          <w:tcPr>
            <w:tcW w:w="1597" w:type="pct"/>
            <w:tcBorders>
              <w:tl2br w:val="nil"/>
              <w:tr2bl w:val="nil"/>
            </w:tcBorders>
            <w:vAlign w:val="center"/>
          </w:tcPr>
          <w:p w14:paraId="0BFFA46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应急培训计划</w:t>
            </w:r>
          </w:p>
        </w:tc>
        <w:tc>
          <w:tcPr>
            <w:tcW w:w="2913" w:type="pct"/>
            <w:tcBorders>
              <w:tl2br w:val="nil"/>
              <w:tr2bl w:val="nil"/>
            </w:tcBorders>
            <w:vAlign w:val="center"/>
          </w:tcPr>
          <w:p w14:paraId="7C44C34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应急计划制定后，平时安排人员培训与演练</w:t>
            </w:r>
          </w:p>
        </w:tc>
      </w:tr>
    </w:tbl>
    <w:p w14:paraId="38596C68">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1.2）处理原则</w:t>
      </w:r>
    </w:p>
    <w:p w14:paraId="0ED0DDEF">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事故发生后事故处理的基本程序和要求见图5.8-1。</w:t>
      </w:r>
    </w:p>
    <w:p w14:paraId="6C71E752">
      <w:pPr>
        <w:pStyle w:val="10"/>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drawing>
          <wp:inline distT="0" distB="0" distL="114300" distR="114300">
            <wp:extent cx="4693920" cy="4749800"/>
            <wp:effectExtent l="0" t="0" r="11430" b="12700"/>
            <wp:docPr id="1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5"/>
                    <pic:cNvPicPr>
                      <a:picLocks noChangeAspect="1"/>
                    </pic:cNvPicPr>
                  </pic:nvPicPr>
                  <pic:blipFill>
                    <a:blip r:embed="rId94"/>
                    <a:stretch>
                      <a:fillRect/>
                    </a:stretch>
                  </pic:blipFill>
                  <pic:spPr>
                    <a:xfrm>
                      <a:off x="0" y="0"/>
                      <a:ext cx="4693920" cy="4749800"/>
                    </a:xfrm>
                    <a:prstGeom prst="rect">
                      <a:avLst/>
                    </a:prstGeom>
                    <a:noFill/>
                    <a:ln>
                      <a:noFill/>
                    </a:ln>
                  </pic:spPr>
                </pic:pic>
              </a:graphicData>
            </a:graphic>
          </wp:inline>
        </w:drawing>
      </w:r>
    </w:p>
    <w:p w14:paraId="7140D5A4">
      <w:pPr>
        <w:pStyle w:val="10"/>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图5.8-1    事故发生后事故处理的基本程序和要求</w:t>
      </w:r>
    </w:p>
    <w:p w14:paraId="2E79DC9F">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（2）预案分级响应条件</w:t>
      </w:r>
    </w:p>
    <w:p w14:paraId="4C786A0C">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根据事故发生的规模以及对环境造成的污染程度，规定预案的级别及分级响应程序。</w:t>
      </w:r>
    </w:p>
    <w:p w14:paraId="481B1D22">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规定应急状态下的报警通讯方式、通知方式和交通保障、管制。</w:t>
      </w:r>
    </w:p>
    <w:p w14:paraId="5131A717">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（3）应急措施</w:t>
      </w:r>
    </w:p>
    <w:p w14:paraId="6B3C618F">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3.1）应急救援组织。建设单位应成立应急救援指挥领导小组。负责制定事故应急预案、检查督促事故预防措施及应急救援的准备工作。</w:t>
      </w:r>
    </w:p>
    <w:p w14:paraId="43A70B54">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3.2）现场事故处置</w:t>
      </w:r>
    </w:p>
    <w:p w14:paraId="50629E3C">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火灾处理方法：迅速对起火点采取隔离措施，并采用灭火剂进行灭火。转移火场周围的易燃物质，以防扩大火源。渗沥液事故排放应急措施：迅速切断事故源头，尽快维修防渗层，阻截渗沥液进入地下水环境。并采用污水泵对渗沥液进行回收，将其导入蒸发池进行回收处理。</w:t>
      </w:r>
    </w:p>
    <w:p w14:paraId="5C868B4D">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3.3）对于正在发生的大小事故，应有紧急应对措施</w:t>
      </w:r>
    </w:p>
    <w:p w14:paraId="534426B8">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对于正在发生的事故，及时与消防、环保等有关部门联系，应设有抢险车辆，并对有关人员配有联络电话，30分钟内赶到指定地点，对于相应的抢险工具，材料应放在指定地点。</w:t>
      </w:r>
    </w:p>
    <w:p w14:paraId="5E1282F1">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（4）应急培训计划</w:t>
      </w:r>
    </w:p>
    <w:p w14:paraId="1D7E444B">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应急计划制定后，平时安排人员培训与演练。</w:t>
      </w:r>
    </w:p>
    <w:p w14:paraId="7ECE175B">
      <w:pPr>
        <w:pStyle w:val="4"/>
        <w:pageBreakBefore w:val="0"/>
        <w:wordWrap/>
        <w:topLinePunct w:val="0"/>
        <w:bidi w:val="0"/>
        <w:adjustRightInd w:val="0"/>
        <w:snapToGrid w:val="0"/>
        <w:ind w:left="0" w:leftChars="0" w:right="0" w:firstLine="482"/>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5.8.</w:t>
      </w:r>
      <w:r>
        <w:rPr>
          <w:rFonts w:hint="eastAsia"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风险评价结论</w:t>
      </w:r>
    </w:p>
    <w:p w14:paraId="6B50A49F">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（1）本项目主要危险物质为硫酸、废机油及</w:t>
      </w:r>
      <w:r>
        <w:rPr>
          <w:rFonts w:hint="eastAsia" w:cs="Times New Roman"/>
          <w:color w:val="auto"/>
          <w:szCs w:val="24"/>
          <w:highlight w:val="none"/>
          <w:lang w:val="en-US" w:eastAsia="zh-CN"/>
        </w:rPr>
        <w:t>电积液</w:t>
      </w:r>
      <w:r>
        <w:rPr>
          <w:rFonts w:hint="eastAsia" w:ascii="Times New Roman" w:hAnsi="Times New Roman" w:eastAsia="宋体" w:cs="Times New Roman"/>
          <w:color w:val="auto"/>
          <w:szCs w:val="24"/>
          <w:highlight w:val="none"/>
          <w:lang w:val="en-US" w:eastAsia="zh-CN"/>
        </w:rPr>
        <w:t>等，厂区危险物质未构成重大危险源。</w:t>
      </w:r>
    </w:p>
    <w:p w14:paraId="378D5264">
      <w:pPr>
        <w:pageBreakBefore w:val="0"/>
        <w:wordWrap/>
        <w:topLinePunct w:val="0"/>
        <w:bidi w:val="0"/>
        <w:adjustRightInd w:val="0"/>
        <w:snapToGrid w:val="0"/>
        <w:spacing w:line="480" w:lineRule="exact"/>
        <w:ind w:left="0" w:leftChars="0" w:firstLine="480" w:firstLineChars="200"/>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2）本项目发生泄漏事故时，在各气象条件下都有大范围超过居住区一次浓度限值，但远小于半致死浓度，不会出现生命伤害情况，硫酸最大落地浓度均在厂区范围内，由于在建立可靠的风险防范措施后，泄漏仅是暂时的，因此其影响也是短暂的，环境风险可控。</w:t>
      </w:r>
    </w:p>
    <w:p w14:paraId="03460313">
      <w:pPr>
        <w:pStyle w:val="46"/>
        <w:pageBreakBefore w:val="0"/>
        <w:wordWrap/>
        <w:topLinePunct w:val="0"/>
        <w:bidi w:val="0"/>
        <w:adjustRightInd w:val="0"/>
        <w:snapToGrid w:val="0"/>
        <w:ind w:left="0" w:leftChars="0" w:firstLine="480"/>
        <w:rPr>
          <w:rFonts w:cs="Times New Roman"/>
          <w:color w:val="auto"/>
          <w:highlight w:val="none"/>
        </w:rPr>
      </w:pPr>
      <w:r>
        <w:rPr>
          <w:rFonts w:cs="Times New Roman"/>
          <w:color w:val="auto"/>
          <w:highlight w:val="none"/>
        </w:rPr>
        <w:t>项目环境风险评价自查表见</w:t>
      </w:r>
      <w:r>
        <w:rPr>
          <w:rFonts w:hint="eastAsia"/>
          <w:color w:val="auto"/>
          <w:highlight w:val="none"/>
        </w:rPr>
        <w:t>表</w:t>
      </w:r>
      <w:r>
        <w:rPr>
          <w:rFonts w:hint="eastAsia"/>
          <w:color w:val="auto"/>
          <w:highlight w:val="none"/>
          <w:lang w:val="en-US" w:eastAsia="zh-CN"/>
        </w:rPr>
        <w:t>5.8-14</w:t>
      </w:r>
      <w:r>
        <w:rPr>
          <w:rFonts w:cs="Times New Roman"/>
          <w:color w:val="auto"/>
          <w:highlight w:val="none"/>
        </w:rPr>
        <w:t>。</w:t>
      </w:r>
    </w:p>
    <w:p w14:paraId="5B73B19B">
      <w:pPr>
        <w:pStyle w:val="237"/>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textAlignment w:val="auto"/>
        <w:rPr>
          <w:rFonts w:eastAsia="宋体"/>
          <w:color w:val="auto"/>
          <w:sz w:val="21"/>
          <w:szCs w:val="21"/>
          <w:highlight w:val="none"/>
        </w:rPr>
      </w:pPr>
      <w:bookmarkStart w:id="292" w:name="_Ref24628652"/>
      <w:r>
        <w:rPr>
          <w:rFonts w:eastAsia="宋体"/>
          <w:color w:val="auto"/>
          <w:sz w:val="21"/>
          <w:szCs w:val="21"/>
          <w:highlight w:val="none"/>
        </w:rPr>
        <w:t>表</w:t>
      </w:r>
      <w:bookmarkEnd w:id="292"/>
      <w:r>
        <w:rPr>
          <w:rFonts w:hint="eastAsia" w:eastAsia="宋体"/>
          <w:color w:val="auto"/>
          <w:sz w:val="21"/>
          <w:szCs w:val="21"/>
          <w:highlight w:val="none"/>
          <w:lang w:val="en-US" w:eastAsia="zh-CN"/>
        </w:rPr>
        <w:t>5.8-14</w:t>
      </w:r>
      <w:r>
        <w:rPr>
          <w:rFonts w:eastAsia="宋体"/>
          <w:color w:val="auto"/>
          <w:sz w:val="21"/>
          <w:szCs w:val="21"/>
          <w:highlight w:val="none"/>
        </w:rPr>
        <w:t xml:space="preserve">  环境风险评价自查表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80"/>
        <w:gridCol w:w="1005"/>
        <w:gridCol w:w="1049"/>
        <w:gridCol w:w="673"/>
        <w:gridCol w:w="844"/>
        <w:gridCol w:w="5"/>
        <w:gridCol w:w="967"/>
        <w:gridCol w:w="217"/>
        <w:gridCol w:w="1273"/>
        <w:gridCol w:w="318"/>
        <w:gridCol w:w="258"/>
        <w:gridCol w:w="1568"/>
      </w:tblGrid>
      <w:tr w14:paraId="06BD6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55360CE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工作内容</w:t>
            </w:r>
          </w:p>
        </w:tc>
        <w:tc>
          <w:tcPr>
            <w:tcW w:w="4190" w:type="pct"/>
            <w:gridSpan w:val="10"/>
            <w:tcBorders>
              <w:tl2br w:val="nil"/>
              <w:tr2bl w:val="nil"/>
            </w:tcBorders>
            <w:noWrap w:val="0"/>
            <w:vAlign w:val="center"/>
          </w:tcPr>
          <w:p w14:paraId="00372C9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完成情况</w:t>
            </w:r>
          </w:p>
        </w:tc>
      </w:tr>
      <w:tr w14:paraId="37AA3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restart"/>
            <w:tcBorders>
              <w:tl2br w:val="nil"/>
              <w:tr2bl w:val="nil"/>
            </w:tcBorders>
            <w:noWrap w:val="0"/>
            <w:vAlign w:val="center"/>
          </w:tcPr>
          <w:p w14:paraId="72B2798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风险调查</w:t>
            </w:r>
          </w:p>
        </w:tc>
        <w:tc>
          <w:tcPr>
            <w:tcW w:w="587" w:type="pct"/>
            <w:vMerge w:val="restart"/>
            <w:tcBorders>
              <w:tl2br w:val="nil"/>
              <w:tr2bl w:val="nil"/>
            </w:tcBorders>
            <w:noWrap w:val="0"/>
            <w:vAlign w:val="center"/>
          </w:tcPr>
          <w:p w14:paraId="42E7C31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危险物质</w:t>
            </w:r>
          </w:p>
        </w:tc>
        <w:tc>
          <w:tcPr>
            <w:tcW w:w="613" w:type="pct"/>
            <w:tcBorders>
              <w:tl2br w:val="nil"/>
              <w:tr2bl w:val="nil"/>
            </w:tcBorders>
            <w:noWrap w:val="0"/>
            <w:vAlign w:val="center"/>
          </w:tcPr>
          <w:p w14:paraId="0A1D3A1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名称</w:t>
            </w:r>
          </w:p>
        </w:tc>
        <w:tc>
          <w:tcPr>
            <w:tcW w:w="3576" w:type="pct"/>
            <w:gridSpan w:val="9"/>
            <w:tcBorders>
              <w:tl2br w:val="nil"/>
              <w:tr2bl w:val="nil"/>
            </w:tcBorders>
            <w:noWrap w:val="0"/>
            <w:vAlign w:val="center"/>
          </w:tcPr>
          <w:p w14:paraId="5B19D75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硫酸、</w:t>
            </w:r>
            <w:r>
              <w:rPr>
                <w:rFonts w:hint="eastAsia" w:ascii="Times New Roman" w:hAnsi="Times New Roman" w:eastAsia="宋体" w:cs="Times New Roman"/>
                <w:color w:val="auto"/>
                <w:kern w:val="2"/>
                <w:sz w:val="21"/>
                <w:szCs w:val="21"/>
                <w:highlight w:val="none"/>
                <w:lang w:val="en-US" w:eastAsia="zh-CN"/>
              </w:rPr>
              <w:t>废机油及电积液</w:t>
            </w:r>
          </w:p>
        </w:tc>
      </w:tr>
      <w:tr w14:paraId="5C333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7916D5B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27C9BFD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50039A1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存在总量/t</w:t>
            </w:r>
          </w:p>
        </w:tc>
        <w:tc>
          <w:tcPr>
            <w:tcW w:w="3576" w:type="pct"/>
            <w:gridSpan w:val="9"/>
            <w:tcBorders>
              <w:tl2br w:val="nil"/>
              <w:tr2bl w:val="nil"/>
            </w:tcBorders>
            <w:noWrap w:val="0"/>
            <w:vAlign w:val="center"/>
          </w:tcPr>
          <w:p w14:paraId="5425AF8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硫酸</w:t>
            </w:r>
            <w:r>
              <w:rPr>
                <w:rFonts w:hint="eastAsia" w:ascii="Times New Roman" w:hAnsi="Times New Roman" w:cs="Times New Roman"/>
                <w:color w:val="auto"/>
                <w:sz w:val="21"/>
                <w:szCs w:val="21"/>
                <w:highlight w:val="none"/>
                <w:lang w:val="en-US" w:eastAsia="zh-CN"/>
              </w:rPr>
              <w:t>131</w:t>
            </w:r>
            <w:r>
              <w:rPr>
                <w:rFonts w:hint="default" w:ascii="Times New Roman" w:hAnsi="Times New Roman" w:eastAsia="宋体" w:cs="Times New Roman"/>
                <w:color w:val="auto"/>
                <w:kern w:val="2"/>
                <w:sz w:val="21"/>
                <w:szCs w:val="21"/>
                <w:highlight w:val="none"/>
              </w:rPr>
              <w:t>t、</w:t>
            </w:r>
            <w:r>
              <w:rPr>
                <w:rFonts w:hint="eastAsia" w:ascii="Times New Roman" w:hAnsi="Times New Roman" w:eastAsia="宋体" w:cs="Times New Roman"/>
                <w:color w:val="auto"/>
                <w:kern w:val="2"/>
                <w:sz w:val="21"/>
                <w:szCs w:val="21"/>
                <w:highlight w:val="none"/>
                <w:lang w:val="en-US" w:eastAsia="zh-CN"/>
              </w:rPr>
              <w:t>废机油0.1t、电积液9.1t</w:t>
            </w:r>
          </w:p>
        </w:tc>
      </w:tr>
      <w:tr w14:paraId="648B1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30353DA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restart"/>
            <w:tcBorders>
              <w:tl2br w:val="nil"/>
              <w:tr2bl w:val="nil"/>
            </w:tcBorders>
            <w:noWrap w:val="0"/>
            <w:vAlign w:val="center"/>
          </w:tcPr>
          <w:p w14:paraId="23F9211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环境敏感性</w:t>
            </w:r>
          </w:p>
        </w:tc>
        <w:tc>
          <w:tcPr>
            <w:tcW w:w="613" w:type="pct"/>
            <w:vMerge w:val="restart"/>
            <w:tcBorders>
              <w:tl2br w:val="nil"/>
              <w:tr2bl w:val="nil"/>
            </w:tcBorders>
            <w:noWrap w:val="0"/>
            <w:vAlign w:val="center"/>
          </w:tcPr>
          <w:p w14:paraId="137D996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w:t>
            </w:r>
          </w:p>
        </w:tc>
        <w:tc>
          <w:tcPr>
            <w:tcW w:w="1581" w:type="pct"/>
            <w:gridSpan w:val="5"/>
            <w:tcBorders>
              <w:tl2br w:val="nil"/>
              <w:tr2bl w:val="nil"/>
            </w:tcBorders>
            <w:noWrap w:val="0"/>
            <w:vAlign w:val="center"/>
          </w:tcPr>
          <w:p w14:paraId="391B522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500m范围内人口数＜1000人</w:t>
            </w:r>
          </w:p>
        </w:tc>
        <w:tc>
          <w:tcPr>
            <w:tcW w:w="1994" w:type="pct"/>
            <w:gridSpan w:val="4"/>
            <w:tcBorders>
              <w:tl2br w:val="nil"/>
              <w:tr2bl w:val="nil"/>
            </w:tcBorders>
            <w:noWrap w:val="0"/>
            <w:vAlign w:val="center"/>
          </w:tcPr>
          <w:p w14:paraId="4232C08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5km范围内人口数＜10000人</w:t>
            </w:r>
          </w:p>
        </w:tc>
      </w:tr>
      <w:tr w14:paraId="4659B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64FBBEE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53896EB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continue"/>
            <w:tcBorders>
              <w:tl2br w:val="nil"/>
              <w:tr2bl w:val="nil"/>
            </w:tcBorders>
            <w:noWrap w:val="0"/>
            <w:vAlign w:val="center"/>
          </w:tcPr>
          <w:p w14:paraId="181FE73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2662" w:type="pct"/>
            <w:gridSpan w:val="8"/>
            <w:tcBorders>
              <w:tl2br w:val="nil"/>
              <w:tr2bl w:val="nil"/>
            </w:tcBorders>
            <w:noWrap w:val="0"/>
            <w:vAlign w:val="center"/>
          </w:tcPr>
          <w:p w14:paraId="641FE28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每公里管段周边200m范围内人口数（最大）</w:t>
            </w:r>
          </w:p>
        </w:tc>
        <w:tc>
          <w:tcPr>
            <w:tcW w:w="913" w:type="pct"/>
            <w:tcBorders>
              <w:tl2br w:val="nil"/>
              <w:tr2bl w:val="nil"/>
            </w:tcBorders>
            <w:noWrap w:val="0"/>
            <w:vAlign w:val="center"/>
          </w:tcPr>
          <w:p w14:paraId="60CDBE6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人</w:t>
            </w:r>
          </w:p>
        </w:tc>
      </w:tr>
      <w:tr w14:paraId="18E8E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5D8FF13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5CCBC6E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restart"/>
            <w:tcBorders>
              <w:tl2br w:val="nil"/>
              <w:tr2bl w:val="nil"/>
            </w:tcBorders>
            <w:noWrap w:val="0"/>
            <w:vAlign w:val="center"/>
          </w:tcPr>
          <w:p w14:paraId="635A60C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w:t>
            </w:r>
          </w:p>
        </w:tc>
        <w:tc>
          <w:tcPr>
            <w:tcW w:w="889" w:type="pct"/>
            <w:gridSpan w:val="3"/>
            <w:tcBorders>
              <w:tl2br w:val="nil"/>
              <w:tr2bl w:val="nil"/>
            </w:tcBorders>
            <w:noWrap w:val="0"/>
            <w:vAlign w:val="center"/>
          </w:tcPr>
          <w:p w14:paraId="5F6E4B3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地表水功能敏感性</w:t>
            </w:r>
          </w:p>
        </w:tc>
        <w:tc>
          <w:tcPr>
            <w:tcW w:w="692" w:type="pct"/>
            <w:gridSpan w:val="2"/>
            <w:tcBorders>
              <w:tl2br w:val="nil"/>
              <w:tr2bl w:val="nil"/>
            </w:tcBorders>
            <w:noWrap w:val="0"/>
            <w:vAlign w:val="center"/>
          </w:tcPr>
          <w:p w14:paraId="215D72C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F1□</w:t>
            </w:r>
          </w:p>
        </w:tc>
        <w:tc>
          <w:tcPr>
            <w:tcW w:w="1081" w:type="pct"/>
            <w:gridSpan w:val="3"/>
            <w:tcBorders>
              <w:tl2br w:val="nil"/>
              <w:tr2bl w:val="nil"/>
            </w:tcBorders>
            <w:noWrap w:val="0"/>
            <w:vAlign w:val="center"/>
          </w:tcPr>
          <w:p w14:paraId="39F0049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F2□</w:t>
            </w:r>
          </w:p>
        </w:tc>
        <w:tc>
          <w:tcPr>
            <w:tcW w:w="913" w:type="pct"/>
            <w:tcBorders>
              <w:tl2br w:val="nil"/>
              <w:tr2bl w:val="nil"/>
            </w:tcBorders>
            <w:noWrap w:val="0"/>
            <w:vAlign w:val="center"/>
          </w:tcPr>
          <w:p w14:paraId="7006B49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F3□</w:t>
            </w:r>
          </w:p>
        </w:tc>
      </w:tr>
      <w:tr w14:paraId="544FA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60195DA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73C0146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continue"/>
            <w:tcBorders>
              <w:tl2br w:val="nil"/>
              <w:tr2bl w:val="nil"/>
            </w:tcBorders>
            <w:noWrap w:val="0"/>
            <w:vAlign w:val="center"/>
          </w:tcPr>
          <w:p w14:paraId="7D06778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889" w:type="pct"/>
            <w:gridSpan w:val="3"/>
            <w:tcBorders>
              <w:tl2br w:val="nil"/>
              <w:tr2bl w:val="nil"/>
            </w:tcBorders>
            <w:noWrap w:val="0"/>
            <w:vAlign w:val="center"/>
          </w:tcPr>
          <w:p w14:paraId="6D8C8DB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环境敏感目标分级</w:t>
            </w:r>
          </w:p>
        </w:tc>
        <w:tc>
          <w:tcPr>
            <w:tcW w:w="692" w:type="pct"/>
            <w:gridSpan w:val="2"/>
            <w:tcBorders>
              <w:tl2br w:val="nil"/>
              <w:tr2bl w:val="nil"/>
            </w:tcBorders>
            <w:noWrap w:val="0"/>
            <w:vAlign w:val="center"/>
          </w:tcPr>
          <w:p w14:paraId="187FCAD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S1□</w:t>
            </w:r>
          </w:p>
        </w:tc>
        <w:tc>
          <w:tcPr>
            <w:tcW w:w="1081" w:type="pct"/>
            <w:gridSpan w:val="3"/>
            <w:tcBorders>
              <w:tl2br w:val="nil"/>
              <w:tr2bl w:val="nil"/>
            </w:tcBorders>
            <w:noWrap w:val="0"/>
            <w:vAlign w:val="center"/>
          </w:tcPr>
          <w:p w14:paraId="066C63A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S2□</w:t>
            </w:r>
          </w:p>
        </w:tc>
        <w:tc>
          <w:tcPr>
            <w:tcW w:w="913" w:type="pct"/>
            <w:tcBorders>
              <w:tl2br w:val="nil"/>
              <w:tr2bl w:val="nil"/>
            </w:tcBorders>
            <w:noWrap w:val="0"/>
            <w:vAlign w:val="center"/>
          </w:tcPr>
          <w:p w14:paraId="133D538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S3□</w:t>
            </w:r>
          </w:p>
        </w:tc>
      </w:tr>
      <w:tr w14:paraId="69A3C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1647BB7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04D4025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restart"/>
            <w:tcBorders>
              <w:tl2br w:val="nil"/>
              <w:tr2bl w:val="nil"/>
            </w:tcBorders>
            <w:noWrap w:val="0"/>
            <w:vAlign w:val="center"/>
          </w:tcPr>
          <w:p w14:paraId="3689AA6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w:t>
            </w:r>
          </w:p>
        </w:tc>
        <w:tc>
          <w:tcPr>
            <w:tcW w:w="889" w:type="pct"/>
            <w:gridSpan w:val="3"/>
            <w:tcBorders>
              <w:tl2br w:val="nil"/>
              <w:tr2bl w:val="nil"/>
            </w:tcBorders>
            <w:noWrap w:val="0"/>
            <w:vAlign w:val="center"/>
          </w:tcPr>
          <w:p w14:paraId="5AEB948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地下水功能敏感性</w:t>
            </w:r>
          </w:p>
        </w:tc>
        <w:tc>
          <w:tcPr>
            <w:tcW w:w="692" w:type="pct"/>
            <w:gridSpan w:val="2"/>
            <w:tcBorders>
              <w:tl2br w:val="nil"/>
              <w:tr2bl w:val="nil"/>
            </w:tcBorders>
            <w:noWrap w:val="0"/>
            <w:vAlign w:val="center"/>
          </w:tcPr>
          <w:p w14:paraId="104CB79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G1□</w:t>
            </w:r>
          </w:p>
        </w:tc>
        <w:tc>
          <w:tcPr>
            <w:tcW w:w="1081" w:type="pct"/>
            <w:gridSpan w:val="3"/>
            <w:tcBorders>
              <w:tl2br w:val="nil"/>
              <w:tr2bl w:val="nil"/>
            </w:tcBorders>
            <w:noWrap w:val="0"/>
            <w:vAlign w:val="center"/>
          </w:tcPr>
          <w:p w14:paraId="7D7B39E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G2</w:t>
            </w:r>
            <w:r>
              <w:rPr>
                <w:rFonts w:hint="eastAsia" w:ascii="Times New Roman" w:hAnsi="Times New Roman" w:eastAsia="宋体" w:cs="Times New Roman"/>
                <w:color w:val="auto"/>
                <w:kern w:val="2"/>
                <w:sz w:val="21"/>
                <w:szCs w:val="21"/>
                <w:highlight w:val="none"/>
                <w:lang w:eastAsia="zh-CN"/>
              </w:rPr>
              <w:t>□</w:t>
            </w:r>
          </w:p>
        </w:tc>
        <w:tc>
          <w:tcPr>
            <w:tcW w:w="913" w:type="pct"/>
            <w:tcBorders>
              <w:tl2br w:val="nil"/>
              <w:tr2bl w:val="nil"/>
            </w:tcBorders>
            <w:noWrap w:val="0"/>
            <w:vAlign w:val="center"/>
          </w:tcPr>
          <w:p w14:paraId="04F2EA1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G3</w:t>
            </w:r>
            <w:r>
              <w:rPr>
                <w:rFonts w:hint="eastAsia" w:ascii="Times New Roman" w:hAnsi="Times New Roman" w:eastAsia="宋体" w:cs="Times New Roman"/>
                <w:color w:val="auto"/>
                <w:kern w:val="2"/>
                <w:sz w:val="21"/>
                <w:szCs w:val="21"/>
                <w:highlight w:val="none"/>
                <w:lang w:eastAsia="zh-CN"/>
              </w:rPr>
              <w:t>☑</w:t>
            </w:r>
          </w:p>
        </w:tc>
      </w:tr>
      <w:tr w14:paraId="6DB5B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5AA13BE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313D24D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continue"/>
            <w:tcBorders>
              <w:tl2br w:val="nil"/>
              <w:tr2bl w:val="nil"/>
            </w:tcBorders>
            <w:noWrap w:val="0"/>
            <w:vAlign w:val="center"/>
          </w:tcPr>
          <w:p w14:paraId="77A5E0B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889" w:type="pct"/>
            <w:gridSpan w:val="3"/>
            <w:tcBorders>
              <w:tl2br w:val="nil"/>
              <w:tr2bl w:val="nil"/>
            </w:tcBorders>
            <w:noWrap w:val="0"/>
            <w:vAlign w:val="center"/>
          </w:tcPr>
          <w:p w14:paraId="7F9A291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包气带防污性能</w:t>
            </w:r>
          </w:p>
        </w:tc>
        <w:tc>
          <w:tcPr>
            <w:tcW w:w="692" w:type="pct"/>
            <w:gridSpan w:val="2"/>
            <w:tcBorders>
              <w:tl2br w:val="nil"/>
              <w:tr2bl w:val="nil"/>
            </w:tcBorders>
            <w:noWrap w:val="0"/>
            <w:vAlign w:val="center"/>
          </w:tcPr>
          <w:p w14:paraId="1C07391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D1</w:t>
            </w:r>
            <w:r>
              <w:rPr>
                <w:rFonts w:hint="eastAsia" w:ascii="Times New Roman" w:hAnsi="Times New Roman" w:eastAsia="宋体" w:cs="Times New Roman"/>
                <w:color w:val="auto"/>
                <w:kern w:val="2"/>
                <w:sz w:val="21"/>
                <w:szCs w:val="21"/>
                <w:highlight w:val="none"/>
                <w:lang w:eastAsia="zh-CN"/>
              </w:rPr>
              <w:t>☑</w:t>
            </w:r>
          </w:p>
        </w:tc>
        <w:tc>
          <w:tcPr>
            <w:tcW w:w="1081" w:type="pct"/>
            <w:gridSpan w:val="3"/>
            <w:tcBorders>
              <w:tl2br w:val="nil"/>
              <w:tr2bl w:val="nil"/>
            </w:tcBorders>
            <w:noWrap w:val="0"/>
            <w:vAlign w:val="center"/>
          </w:tcPr>
          <w:p w14:paraId="40E1F2B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D2</w:t>
            </w:r>
            <w:r>
              <w:rPr>
                <w:rFonts w:hint="eastAsia" w:ascii="Times New Roman" w:hAnsi="Times New Roman" w:eastAsia="宋体" w:cs="Times New Roman"/>
                <w:color w:val="auto"/>
                <w:kern w:val="2"/>
                <w:sz w:val="21"/>
                <w:szCs w:val="21"/>
                <w:highlight w:val="none"/>
                <w:lang w:eastAsia="zh-CN"/>
              </w:rPr>
              <w:t>□</w:t>
            </w:r>
          </w:p>
        </w:tc>
        <w:tc>
          <w:tcPr>
            <w:tcW w:w="913" w:type="pct"/>
            <w:tcBorders>
              <w:tl2br w:val="nil"/>
              <w:tr2bl w:val="nil"/>
            </w:tcBorders>
            <w:noWrap w:val="0"/>
            <w:vAlign w:val="center"/>
          </w:tcPr>
          <w:p w14:paraId="4E26C11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D3</w:t>
            </w:r>
            <w:r>
              <w:rPr>
                <w:rFonts w:hint="eastAsia" w:ascii="Times New Roman" w:hAnsi="Times New Roman" w:eastAsia="宋体" w:cs="Times New Roman"/>
                <w:color w:val="auto"/>
                <w:kern w:val="2"/>
                <w:sz w:val="21"/>
                <w:szCs w:val="21"/>
                <w:highlight w:val="none"/>
                <w:lang w:eastAsia="zh-CN"/>
              </w:rPr>
              <w:t>□</w:t>
            </w:r>
          </w:p>
        </w:tc>
      </w:tr>
      <w:tr w14:paraId="6F247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restart"/>
            <w:tcBorders>
              <w:tl2br w:val="nil"/>
              <w:tr2bl w:val="nil"/>
            </w:tcBorders>
            <w:noWrap w:val="0"/>
            <w:vAlign w:val="center"/>
          </w:tcPr>
          <w:p w14:paraId="785CFD8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物质及工艺系统危险性</w:t>
            </w:r>
          </w:p>
        </w:tc>
        <w:tc>
          <w:tcPr>
            <w:tcW w:w="613" w:type="pct"/>
            <w:tcBorders>
              <w:tl2br w:val="nil"/>
              <w:tr2bl w:val="nil"/>
            </w:tcBorders>
            <w:noWrap w:val="0"/>
            <w:vAlign w:val="center"/>
          </w:tcPr>
          <w:p w14:paraId="43376DD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Q值</w:t>
            </w:r>
          </w:p>
        </w:tc>
        <w:tc>
          <w:tcPr>
            <w:tcW w:w="889" w:type="pct"/>
            <w:gridSpan w:val="3"/>
            <w:tcBorders>
              <w:tl2br w:val="nil"/>
              <w:tr2bl w:val="nil"/>
            </w:tcBorders>
            <w:noWrap w:val="0"/>
            <w:vAlign w:val="center"/>
          </w:tcPr>
          <w:p w14:paraId="2D991D2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Q</w:t>
            </w:r>
            <w:r>
              <w:rPr>
                <w:rFonts w:hint="eastAsia" w:ascii="Times New Roman" w:hAnsi="Times New Roman" w:cs="Times New Roman"/>
                <w:color w:val="auto"/>
                <w:kern w:val="2"/>
                <w:sz w:val="21"/>
                <w:szCs w:val="21"/>
                <w:highlight w:val="none"/>
                <w:lang w:eastAsia="zh-CN"/>
              </w:rPr>
              <w:t>&lt;</w:t>
            </w:r>
            <w:r>
              <w:rPr>
                <w:rFonts w:hint="default" w:ascii="Times New Roman" w:hAnsi="Times New Roman" w:eastAsia="宋体" w:cs="Times New Roman"/>
                <w:color w:val="auto"/>
                <w:kern w:val="2"/>
                <w:sz w:val="21"/>
                <w:szCs w:val="21"/>
                <w:highlight w:val="none"/>
              </w:rPr>
              <w:t>1□</w:t>
            </w:r>
          </w:p>
        </w:tc>
        <w:tc>
          <w:tcPr>
            <w:tcW w:w="692" w:type="pct"/>
            <w:gridSpan w:val="2"/>
            <w:tcBorders>
              <w:tl2br w:val="nil"/>
              <w:tr2bl w:val="nil"/>
            </w:tcBorders>
            <w:noWrap w:val="0"/>
            <w:vAlign w:val="center"/>
          </w:tcPr>
          <w:p w14:paraId="66504CD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1≤Q</w:t>
            </w:r>
            <w:r>
              <w:rPr>
                <w:rFonts w:hint="eastAsia" w:ascii="Times New Roman" w:hAnsi="Times New Roman" w:cs="Times New Roman"/>
                <w:color w:val="auto"/>
                <w:kern w:val="2"/>
                <w:sz w:val="21"/>
                <w:szCs w:val="21"/>
                <w:highlight w:val="none"/>
                <w:lang w:eastAsia="zh-CN"/>
              </w:rPr>
              <w:t>&lt;</w:t>
            </w:r>
            <w:r>
              <w:rPr>
                <w:rFonts w:hint="default" w:ascii="Times New Roman" w:hAnsi="Times New Roman" w:eastAsia="宋体" w:cs="Times New Roman"/>
                <w:color w:val="auto"/>
                <w:kern w:val="2"/>
                <w:sz w:val="21"/>
                <w:szCs w:val="21"/>
                <w:highlight w:val="none"/>
              </w:rPr>
              <w:t>10</w:t>
            </w:r>
            <w:r>
              <w:rPr>
                <w:rFonts w:hint="eastAsia" w:ascii="Times New Roman" w:hAnsi="Times New Roman" w:eastAsia="宋体" w:cs="Times New Roman"/>
                <w:color w:val="auto"/>
                <w:kern w:val="2"/>
                <w:sz w:val="21"/>
                <w:szCs w:val="21"/>
                <w:highlight w:val="none"/>
                <w:lang w:eastAsia="zh-CN"/>
              </w:rPr>
              <w:t>□</w:t>
            </w:r>
          </w:p>
        </w:tc>
        <w:tc>
          <w:tcPr>
            <w:tcW w:w="1081" w:type="pct"/>
            <w:gridSpan w:val="3"/>
            <w:tcBorders>
              <w:tl2br w:val="nil"/>
              <w:tr2bl w:val="nil"/>
            </w:tcBorders>
            <w:noWrap w:val="0"/>
            <w:vAlign w:val="center"/>
          </w:tcPr>
          <w:p w14:paraId="318C953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10≤Q</w:t>
            </w:r>
            <w:r>
              <w:rPr>
                <w:rFonts w:hint="eastAsia" w:ascii="Times New Roman" w:hAnsi="Times New Roman" w:cs="Times New Roman"/>
                <w:color w:val="auto"/>
                <w:kern w:val="2"/>
                <w:sz w:val="21"/>
                <w:szCs w:val="21"/>
                <w:highlight w:val="none"/>
                <w:lang w:eastAsia="zh-CN"/>
              </w:rPr>
              <w:t>&lt;</w:t>
            </w:r>
            <w:r>
              <w:rPr>
                <w:rFonts w:hint="default" w:ascii="Times New Roman" w:hAnsi="Times New Roman" w:eastAsia="宋体" w:cs="Times New Roman"/>
                <w:color w:val="auto"/>
                <w:kern w:val="2"/>
                <w:sz w:val="21"/>
                <w:szCs w:val="21"/>
                <w:highlight w:val="none"/>
              </w:rPr>
              <w:t>100</w:t>
            </w:r>
            <w:r>
              <w:rPr>
                <w:rFonts w:hint="eastAsia" w:ascii="Times New Roman" w:hAnsi="Times New Roman" w:eastAsia="宋体" w:cs="Times New Roman"/>
                <w:color w:val="auto"/>
                <w:kern w:val="2"/>
                <w:sz w:val="21"/>
                <w:szCs w:val="21"/>
                <w:highlight w:val="none"/>
                <w:lang w:eastAsia="zh-CN"/>
              </w:rPr>
              <w:t>☑</w:t>
            </w:r>
          </w:p>
        </w:tc>
        <w:tc>
          <w:tcPr>
            <w:tcW w:w="913" w:type="pct"/>
            <w:tcBorders>
              <w:tl2br w:val="nil"/>
              <w:tr2bl w:val="nil"/>
            </w:tcBorders>
            <w:noWrap w:val="0"/>
            <w:vAlign w:val="center"/>
          </w:tcPr>
          <w:p w14:paraId="40EF3E5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Q</w:t>
            </w:r>
            <w:r>
              <w:rPr>
                <w:rFonts w:hint="eastAsia" w:ascii="Times New Roman" w:hAnsi="Times New Roman" w:cs="Times New Roman"/>
                <w:color w:val="auto"/>
                <w:kern w:val="2"/>
                <w:sz w:val="21"/>
                <w:szCs w:val="21"/>
                <w:highlight w:val="none"/>
                <w:lang w:eastAsia="zh-CN"/>
              </w:rPr>
              <w:t>&gt;</w:t>
            </w:r>
            <w:r>
              <w:rPr>
                <w:rFonts w:hint="default" w:ascii="Times New Roman" w:hAnsi="Times New Roman" w:eastAsia="宋体" w:cs="Times New Roman"/>
                <w:color w:val="auto"/>
                <w:kern w:val="2"/>
                <w:sz w:val="21"/>
                <w:szCs w:val="21"/>
                <w:highlight w:val="none"/>
              </w:rPr>
              <w:t>100□</w:t>
            </w:r>
          </w:p>
        </w:tc>
      </w:tr>
      <w:tr w14:paraId="322B3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continue"/>
            <w:tcBorders>
              <w:tl2br w:val="nil"/>
              <w:tr2bl w:val="nil"/>
            </w:tcBorders>
            <w:noWrap w:val="0"/>
            <w:vAlign w:val="center"/>
          </w:tcPr>
          <w:p w14:paraId="4725A99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56CAA8C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M值</w:t>
            </w:r>
          </w:p>
        </w:tc>
        <w:tc>
          <w:tcPr>
            <w:tcW w:w="889" w:type="pct"/>
            <w:gridSpan w:val="3"/>
            <w:tcBorders>
              <w:tl2br w:val="nil"/>
              <w:tr2bl w:val="nil"/>
            </w:tcBorders>
            <w:noWrap w:val="0"/>
            <w:vAlign w:val="center"/>
          </w:tcPr>
          <w:p w14:paraId="31E75E6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M1□</w:t>
            </w:r>
          </w:p>
        </w:tc>
        <w:tc>
          <w:tcPr>
            <w:tcW w:w="692" w:type="pct"/>
            <w:gridSpan w:val="2"/>
            <w:tcBorders>
              <w:tl2br w:val="nil"/>
              <w:tr2bl w:val="nil"/>
            </w:tcBorders>
            <w:noWrap w:val="0"/>
            <w:vAlign w:val="center"/>
          </w:tcPr>
          <w:p w14:paraId="0D41A16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M2□</w:t>
            </w:r>
          </w:p>
        </w:tc>
        <w:tc>
          <w:tcPr>
            <w:tcW w:w="1081" w:type="pct"/>
            <w:gridSpan w:val="3"/>
            <w:tcBorders>
              <w:tl2br w:val="nil"/>
              <w:tr2bl w:val="nil"/>
            </w:tcBorders>
            <w:noWrap w:val="0"/>
            <w:vAlign w:val="center"/>
          </w:tcPr>
          <w:p w14:paraId="6A30275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M3□</w:t>
            </w:r>
          </w:p>
        </w:tc>
        <w:tc>
          <w:tcPr>
            <w:tcW w:w="913" w:type="pct"/>
            <w:tcBorders>
              <w:tl2br w:val="nil"/>
              <w:tr2bl w:val="nil"/>
            </w:tcBorders>
            <w:noWrap w:val="0"/>
            <w:vAlign w:val="center"/>
          </w:tcPr>
          <w:p w14:paraId="18FC6C9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M4</w:t>
            </w:r>
            <w:r>
              <w:rPr>
                <w:rFonts w:hint="eastAsia" w:ascii="Times New Roman" w:hAnsi="Times New Roman" w:eastAsia="宋体" w:cs="Times New Roman"/>
                <w:color w:val="auto"/>
                <w:kern w:val="2"/>
                <w:sz w:val="21"/>
                <w:szCs w:val="21"/>
                <w:highlight w:val="none"/>
                <w:lang w:eastAsia="zh-CN"/>
              </w:rPr>
              <w:t>☑</w:t>
            </w:r>
          </w:p>
        </w:tc>
      </w:tr>
      <w:tr w14:paraId="6CBF8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continue"/>
            <w:tcBorders>
              <w:tl2br w:val="nil"/>
              <w:tr2bl w:val="nil"/>
            </w:tcBorders>
            <w:noWrap w:val="0"/>
            <w:vAlign w:val="center"/>
          </w:tcPr>
          <w:p w14:paraId="74211CB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15DB0A7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P值</w:t>
            </w:r>
          </w:p>
        </w:tc>
        <w:tc>
          <w:tcPr>
            <w:tcW w:w="889" w:type="pct"/>
            <w:gridSpan w:val="3"/>
            <w:tcBorders>
              <w:tl2br w:val="nil"/>
              <w:tr2bl w:val="nil"/>
            </w:tcBorders>
            <w:noWrap w:val="0"/>
            <w:vAlign w:val="center"/>
          </w:tcPr>
          <w:p w14:paraId="72FC77B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P1□</w:t>
            </w:r>
          </w:p>
        </w:tc>
        <w:tc>
          <w:tcPr>
            <w:tcW w:w="692" w:type="pct"/>
            <w:gridSpan w:val="2"/>
            <w:tcBorders>
              <w:tl2br w:val="nil"/>
              <w:tr2bl w:val="nil"/>
            </w:tcBorders>
            <w:noWrap w:val="0"/>
            <w:vAlign w:val="center"/>
          </w:tcPr>
          <w:p w14:paraId="4B8F16D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P2□</w:t>
            </w:r>
          </w:p>
        </w:tc>
        <w:tc>
          <w:tcPr>
            <w:tcW w:w="1081" w:type="pct"/>
            <w:gridSpan w:val="3"/>
            <w:tcBorders>
              <w:tl2br w:val="nil"/>
              <w:tr2bl w:val="nil"/>
            </w:tcBorders>
            <w:noWrap w:val="0"/>
            <w:vAlign w:val="center"/>
          </w:tcPr>
          <w:p w14:paraId="7A3BBFA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P3□</w:t>
            </w:r>
          </w:p>
        </w:tc>
        <w:tc>
          <w:tcPr>
            <w:tcW w:w="913" w:type="pct"/>
            <w:tcBorders>
              <w:tl2br w:val="nil"/>
              <w:tr2bl w:val="nil"/>
            </w:tcBorders>
            <w:noWrap w:val="0"/>
            <w:vAlign w:val="center"/>
          </w:tcPr>
          <w:p w14:paraId="7D23F85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P4</w:t>
            </w:r>
            <w:r>
              <w:rPr>
                <w:rFonts w:hint="eastAsia" w:ascii="Times New Roman" w:hAnsi="Times New Roman" w:eastAsia="宋体" w:cs="Times New Roman"/>
                <w:color w:val="auto"/>
                <w:kern w:val="2"/>
                <w:sz w:val="21"/>
                <w:szCs w:val="21"/>
                <w:highlight w:val="none"/>
                <w:lang w:eastAsia="zh-CN"/>
              </w:rPr>
              <w:t>☑</w:t>
            </w:r>
          </w:p>
        </w:tc>
      </w:tr>
      <w:tr w14:paraId="2B0DA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restart"/>
            <w:tcBorders>
              <w:tl2br w:val="nil"/>
              <w:tr2bl w:val="nil"/>
            </w:tcBorders>
            <w:noWrap w:val="0"/>
            <w:vAlign w:val="center"/>
          </w:tcPr>
          <w:p w14:paraId="2062AF5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环境敏感程度</w:t>
            </w:r>
          </w:p>
        </w:tc>
        <w:tc>
          <w:tcPr>
            <w:tcW w:w="613" w:type="pct"/>
            <w:tcBorders>
              <w:tl2br w:val="nil"/>
              <w:tr2bl w:val="nil"/>
            </w:tcBorders>
            <w:noWrap w:val="0"/>
            <w:vAlign w:val="center"/>
          </w:tcPr>
          <w:p w14:paraId="6592601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w:t>
            </w:r>
          </w:p>
        </w:tc>
        <w:tc>
          <w:tcPr>
            <w:tcW w:w="889" w:type="pct"/>
            <w:gridSpan w:val="3"/>
            <w:tcBorders>
              <w:tl2br w:val="nil"/>
              <w:tr2bl w:val="nil"/>
            </w:tcBorders>
            <w:noWrap w:val="0"/>
            <w:vAlign w:val="center"/>
          </w:tcPr>
          <w:p w14:paraId="52E693E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E1□</w:t>
            </w:r>
          </w:p>
        </w:tc>
        <w:tc>
          <w:tcPr>
            <w:tcW w:w="1436" w:type="pct"/>
            <w:gridSpan w:val="3"/>
            <w:tcBorders>
              <w:tl2br w:val="nil"/>
              <w:tr2bl w:val="nil"/>
            </w:tcBorders>
            <w:noWrap w:val="0"/>
            <w:vAlign w:val="center"/>
          </w:tcPr>
          <w:p w14:paraId="0CD3F5C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E2□</w:t>
            </w:r>
          </w:p>
        </w:tc>
        <w:tc>
          <w:tcPr>
            <w:tcW w:w="1251" w:type="pct"/>
            <w:gridSpan w:val="3"/>
            <w:tcBorders>
              <w:tl2br w:val="nil"/>
              <w:tr2bl w:val="nil"/>
            </w:tcBorders>
            <w:noWrap w:val="0"/>
            <w:vAlign w:val="center"/>
          </w:tcPr>
          <w:p w14:paraId="09A92CA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E3</w:t>
            </w:r>
            <w:r>
              <w:rPr>
                <w:rFonts w:hint="eastAsia" w:ascii="Times New Roman" w:hAnsi="Times New Roman" w:eastAsia="宋体" w:cs="Times New Roman"/>
                <w:color w:val="auto"/>
                <w:kern w:val="2"/>
                <w:sz w:val="21"/>
                <w:szCs w:val="21"/>
                <w:highlight w:val="none"/>
                <w:lang w:eastAsia="zh-CN"/>
              </w:rPr>
              <w:t>☑</w:t>
            </w:r>
          </w:p>
        </w:tc>
      </w:tr>
      <w:tr w14:paraId="27893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continue"/>
            <w:tcBorders>
              <w:tl2br w:val="nil"/>
              <w:tr2bl w:val="nil"/>
            </w:tcBorders>
            <w:noWrap w:val="0"/>
            <w:vAlign w:val="center"/>
          </w:tcPr>
          <w:p w14:paraId="15FCF7D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52C00E4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w:t>
            </w:r>
          </w:p>
        </w:tc>
        <w:tc>
          <w:tcPr>
            <w:tcW w:w="889" w:type="pct"/>
            <w:gridSpan w:val="3"/>
            <w:tcBorders>
              <w:tl2br w:val="nil"/>
              <w:tr2bl w:val="nil"/>
            </w:tcBorders>
            <w:noWrap w:val="0"/>
            <w:vAlign w:val="center"/>
          </w:tcPr>
          <w:p w14:paraId="4B31A63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E1□</w:t>
            </w:r>
          </w:p>
        </w:tc>
        <w:tc>
          <w:tcPr>
            <w:tcW w:w="1436" w:type="pct"/>
            <w:gridSpan w:val="3"/>
            <w:tcBorders>
              <w:tl2br w:val="nil"/>
              <w:tr2bl w:val="nil"/>
            </w:tcBorders>
            <w:noWrap w:val="0"/>
            <w:vAlign w:val="center"/>
          </w:tcPr>
          <w:p w14:paraId="5079FB6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E2□</w:t>
            </w:r>
          </w:p>
        </w:tc>
        <w:tc>
          <w:tcPr>
            <w:tcW w:w="1251" w:type="pct"/>
            <w:gridSpan w:val="3"/>
            <w:tcBorders>
              <w:tl2br w:val="nil"/>
              <w:tr2bl w:val="nil"/>
            </w:tcBorders>
            <w:noWrap w:val="0"/>
            <w:vAlign w:val="center"/>
          </w:tcPr>
          <w:p w14:paraId="0A389AE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E3□</w:t>
            </w:r>
          </w:p>
        </w:tc>
      </w:tr>
      <w:tr w14:paraId="4F0D9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continue"/>
            <w:tcBorders>
              <w:tl2br w:val="nil"/>
              <w:tr2bl w:val="nil"/>
            </w:tcBorders>
            <w:noWrap w:val="0"/>
            <w:vAlign w:val="center"/>
          </w:tcPr>
          <w:p w14:paraId="52304BA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67E3231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w:t>
            </w:r>
          </w:p>
        </w:tc>
        <w:tc>
          <w:tcPr>
            <w:tcW w:w="889" w:type="pct"/>
            <w:gridSpan w:val="3"/>
            <w:tcBorders>
              <w:tl2br w:val="nil"/>
              <w:tr2bl w:val="nil"/>
            </w:tcBorders>
            <w:noWrap w:val="0"/>
            <w:vAlign w:val="center"/>
          </w:tcPr>
          <w:p w14:paraId="1C7415E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E1□</w:t>
            </w:r>
          </w:p>
        </w:tc>
        <w:tc>
          <w:tcPr>
            <w:tcW w:w="1436" w:type="pct"/>
            <w:gridSpan w:val="3"/>
            <w:tcBorders>
              <w:tl2br w:val="nil"/>
              <w:tr2bl w:val="nil"/>
            </w:tcBorders>
            <w:noWrap w:val="0"/>
            <w:vAlign w:val="center"/>
          </w:tcPr>
          <w:p w14:paraId="57663F2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E2</w:t>
            </w:r>
            <w:r>
              <w:rPr>
                <w:rFonts w:hint="eastAsia" w:ascii="Times New Roman" w:hAnsi="Times New Roman" w:eastAsia="宋体" w:cs="Times New Roman"/>
                <w:color w:val="auto"/>
                <w:kern w:val="2"/>
                <w:sz w:val="21"/>
                <w:szCs w:val="21"/>
                <w:highlight w:val="none"/>
                <w:lang w:eastAsia="zh-CN"/>
              </w:rPr>
              <w:t>☑</w:t>
            </w:r>
          </w:p>
        </w:tc>
        <w:tc>
          <w:tcPr>
            <w:tcW w:w="1251" w:type="pct"/>
            <w:gridSpan w:val="3"/>
            <w:tcBorders>
              <w:tl2br w:val="nil"/>
              <w:tr2bl w:val="nil"/>
            </w:tcBorders>
            <w:noWrap w:val="0"/>
            <w:vAlign w:val="center"/>
          </w:tcPr>
          <w:p w14:paraId="50840E2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E3</w:t>
            </w:r>
            <w:r>
              <w:rPr>
                <w:rFonts w:hint="eastAsia" w:ascii="Times New Roman" w:hAnsi="Times New Roman" w:eastAsia="宋体" w:cs="Times New Roman"/>
                <w:color w:val="auto"/>
                <w:kern w:val="2"/>
                <w:sz w:val="21"/>
                <w:szCs w:val="21"/>
                <w:highlight w:val="none"/>
                <w:lang w:eastAsia="zh-CN"/>
              </w:rPr>
              <w:t>□</w:t>
            </w:r>
          </w:p>
        </w:tc>
      </w:tr>
      <w:tr w14:paraId="27BDE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0BF9088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环境风险潜势</w:t>
            </w:r>
          </w:p>
        </w:tc>
        <w:tc>
          <w:tcPr>
            <w:tcW w:w="613" w:type="pct"/>
            <w:tcBorders>
              <w:tl2br w:val="nil"/>
              <w:tr2bl w:val="nil"/>
            </w:tcBorders>
            <w:noWrap w:val="0"/>
            <w:vAlign w:val="center"/>
          </w:tcPr>
          <w:p w14:paraId="0B6D6FA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Ⅳ</w:t>
            </w:r>
            <w:r>
              <w:rPr>
                <w:rFonts w:hint="default" w:ascii="Times New Roman" w:hAnsi="Times New Roman" w:eastAsia="宋体" w:cs="Times New Roman"/>
                <w:color w:val="auto"/>
                <w:kern w:val="2"/>
                <w:sz w:val="21"/>
                <w:szCs w:val="21"/>
                <w:highlight w:val="none"/>
                <w:vertAlign w:val="superscript"/>
              </w:rPr>
              <w:t>+</w:t>
            </w:r>
            <w:r>
              <w:rPr>
                <w:rFonts w:hint="default" w:ascii="Times New Roman" w:hAnsi="Times New Roman" w:eastAsia="宋体" w:cs="Times New Roman"/>
                <w:color w:val="auto"/>
                <w:kern w:val="2"/>
                <w:sz w:val="21"/>
                <w:szCs w:val="21"/>
                <w:highlight w:val="none"/>
              </w:rPr>
              <w:t>□</w:t>
            </w:r>
          </w:p>
        </w:tc>
        <w:tc>
          <w:tcPr>
            <w:tcW w:w="889" w:type="pct"/>
            <w:gridSpan w:val="3"/>
            <w:tcBorders>
              <w:tl2br w:val="nil"/>
              <w:tr2bl w:val="nil"/>
            </w:tcBorders>
            <w:noWrap w:val="0"/>
            <w:vAlign w:val="center"/>
          </w:tcPr>
          <w:p w14:paraId="10C7D35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Ⅳ□</w:t>
            </w:r>
          </w:p>
        </w:tc>
        <w:tc>
          <w:tcPr>
            <w:tcW w:w="692" w:type="pct"/>
            <w:gridSpan w:val="2"/>
            <w:tcBorders>
              <w:tl2br w:val="nil"/>
              <w:tr2bl w:val="nil"/>
            </w:tcBorders>
            <w:noWrap w:val="0"/>
            <w:vAlign w:val="center"/>
          </w:tcPr>
          <w:p w14:paraId="5EF4965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Ⅲ□</w:t>
            </w:r>
          </w:p>
        </w:tc>
        <w:tc>
          <w:tcPr>
            <w:tcW w:w="1081" w:type="pct"/>
            <w:gridSpan w:val="3"/>
            <w:tcBorders>
              <w:tl2br w:val="nil"/>
              <w:tr2bl w:val="nil"/>
            </w:tcBorders>
            <w:noWrap w:val="0"/>
            <w:vAlign w:val="center"/>
          </w:tcPr>
          <w:p w14:paraId="4C5478A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Ⅱ</w:t>
            </w:r>
            <w:r>
              <w:rPr>
                <w:rFonts w:hint="eastAsia" w:ascii="Times New Roman" w:hAnsi="Times New Roman" w:eastAsia="宋体" w:cs="Times New Roman"/>
                <w:color w:val="auto"/>
                <w:kern w:val="2"/>
                <w:sz w:val="21"/>
                <w:szCs w:val="21"/>
                <w:highlight w:val="none"/>
                <w:lang w:eastAsia="zh-CN"/>
              </w:rPr>
              <w:t>☑</w:t>
            </w:r>
          </w:p>
        </w:tc>
        <w:tc>
          <w:tcPr>
            <w:tcW w:w="913" w:type="pct"/>
            <w:tcBorders>
              <w:tl2br w:val="nil"/>
              <w:tr2bl w:val="nil"/>
            </w:tcBorders>
            <w:noWrap w:val="0"/>
            <w:vAlign w:val="center"/>
          </w:tcPr>
          <w:p w14:paraId="1690318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I</w:t>
            </w:r>
            <w:r>
              <w:rPr>
                <w:rFonts w:hint="eastAsia" w:ascii="Times New Roman" w:hAnsi="Times New Roman" w:eastAsia="宋体" w:cs="Times New Roman"/>
                <w:color w:val="auto"/>
                <w:kern w:val="2"/>
                <w:sz w:val="21"/>
                <w:szCs w:val="21"/>
                <w:highlight w:val="none"/>
                <w:lang w:eastAsia="zh-CN"/>
              </w:rPr>
              <w:t>☑</w:t>
            </w:r>
          </w:p>
        </w:tc>
      </w:tr>
      <w:tr w14:paraId="06DBF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0D292B5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评价等级</w:t>
            </w:r>
          </w:p>
        </w:tc>
        <w:tc>
          <w:tcPr>
            <w:tcW w:w="1006" w:type="pct"/>
            <w:gridSpan w:val="2"/>
            <w:tcBorders>
              <w:tl2br w:val="nil"/>
              <w:tr2bl w:val="nil"/>
            </w:tcBorders>
            <w:noWrap w:val="0"/>
            <w:vAlign w:val="center"/>
          </w:tcPr>
          <w:p w14:paraId="767D1EF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一级□</w:t>
            </w:r>
          </w:p>
        </w:tc>
        <w:tc>
          <w:tcPr>
            <w:tcW w:w="1061" w:type="pct"/>
            <w:gridSpan w:val="3"/>
            <w:tcBorders>
              <w:tl2br w:val="nil"/>
              <w:tr2bl w:val="nil"/>
            </w:tcBorders>
            <w:noWrap w:val="0"/>
            <w:vAlign w:val="center"/>
          </w:tcPr>
          <w:p w14:paraId="121E6D5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二级□</w:t>
            </w:r>
          </w:p>
        </w:tc>
        <w:tc>
          <w:tcPr>
            <w:tcW w:w="1057" w:type="pct"/>
            <w:gridSpan w:val="3"/>
            <w:tcBorders>
              <w:tl2br w:val="nil"/>
              <w:tr2bl w:val="nil"/>
            </w:tcBorders>
            <w:noWrap w:val="0"/>
            <w:vAlign w:val="center"/>
          </w:tcPr>
          <w:p w14:paraId="131EAE9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三级</w:t>
            </w:r>
            <w:r>
              <w:rPr>
                <w:rFonts w:hint="eastAsia" w:ascii="Times New Roman" w:hAnsi="Times New Roman" w:eastAsia="宋体" w:cs="Times New Roman"/>
                <w:color w:val="auto"/>
                <w:kern w:val="2"/>
                <w:sz w:val="21"/>
                <w:szCs w:val="21"/>
                <w:highlight w:val="none"/>
                <w:lang w:eastAsia="zh-CN"/>
              </w:rPr>
              <w:t>☑</w:t>
            </w:r>
          </w:p>
        </w:tc>
        <w:tc>
          <w:tcPr>
            <w:tcW w:w="1064" w:type="pct"/>
            <w:gridSpan w:val="2"/>
            <w:tcBorders>
              <w:tl2br w:val="nil"/>
              <w:tr2bl w:val="nil"/>
            </w:tcBorders>
            <w:noWrap w:val="0"/>
            <w:vAlign w:val="center"/>
          </w:tcPr>
          <w:p w14:paraId="49ED098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简单分析</w:t>
            </w:r>
            <w:r>
              <w:rPr>
                <w:rFonts w:hint="eastAsia" w:ascii="Times New Roman" w:hAnsi="Times New Roman" w:eastAsia="宋体" w:cs="Times New Roman"/>
                <w:color w:val="auto"/>
                <w:kern w:val="2"/>
                <w:sz w:val="21"/>
                <w:szCs w:val="21"/>
                <w:highlight w:val="none"/>
                <w:lang w:eastAsia="zh-CN"/>
              </w:rPr>
              <w:t>□</w:t>
            </w:r>
          </w:p>
        </w:tc>
      </w:tr>
      <w:tr w14:paraId="7D67D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restart"/>
            <w:tcBorders>
              <w:tl2br w:val="nil"/>
              <w:tr2bl w:val="nil"/>
            </w:tcBorders>
            <w:noWrap w:val="0"/>
            <w:vAlign w:val="center"/>
          </w:tcPr>
          <w:p w14:paraId="0E1DD6D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风险识别</w:t>
            </w:r>
          </w:p>
        </w:tc>
        <w:tc>
          <w:tcPr>
            <w:tcW w:w="587" w:type="pct"/>
            <w:tcBorders>
              <w:tl2br w:val="nil"/>
              <w:tr2bl w:val="nil"/>
            </w:tcBorders>
            <w:noWrap w:val="0"/>
            <w:vAlign w:val="center"/>
          </w:tcPr>
          <w:p w14:paraId="4032F3C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物质危险性</w:t>
            </w:r>
          </w:p>
        </w:tc>
        <w:tc>
          <w:tcPr>
            <w:tcW w:w="2067" w:type="pct"/>
            <w:gridSpan w:val="5"/>
            <w:tcBorders>
              <w:tl2br w:val="nil"/>
              <w:tr2bl w:val="nil"/>
            </w:tcBorders>
            <w:noWrap w:val="0"/>
            <w:vAlign w:val="center"/>
          </w:tcPr>
          <w:p w14:paraId="1CB3445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有毒有害</w:t>
            </w:r>
            <w:r>
              <w:rPr>
                <w:rFonts w:hint="eastAsia" w:ascii="Times New Roman" w:hAnsi="Times New Roman" w:eastAsia="宋体" w:cs="Times New Roman"/>
                <w:color w:val="auto"/>
                <w:kern w:val="2"/>
                <w:sz w:val="21"/>
                <w:szCs w:val="21"/>
                <w:highlight w:val="none"/>
                <w:lang w:eastAsia="zh-CN"/>
              </w:rPr>
              <w:t>☑</w:t>
            </w:r>
          </w:p>
        </w:tc>
        <w:tc>
          <w:tcPr>
            <w:tcW w:w="2122" w:type="pct"/>
            <w:gridSpan w:val="5"/>
            <w:tcBorders>
              <w:tl2br w:val="nil"/>
              <w:tr2bl w:val="nil"/>
            </w:tcBorders>
            <w:noWrap w:val="0"/>
            <w:vAlign w:val="center"/>
          </w:tcPr>
          <w:p w14:paraId="749AA27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易燃易爆</w:t>
            </w:r>
            <w:r>
              <w:rPr>
                <w:rFonts w:hint="eastAsia" w:ascii="Times New Roman" w:hAnsi="Times New Roman" w:eastAsia="宋体" w:cs="Times New Roman"/>
                <w:color w:val="auto"/>
                <w:kern w:val="2"/>
                <w:sz w:val="21"/>
                <w:szCs w:val="21"/>
                <w:highlight w:val="none"/>
                <w:lang w:eastAsia="zh-CN"/>
              </w:rPr>
              <w:t>☑</w:t>
            </w:r>
          </w:p>
        </w:tc>
      </w:tr>
      <w:tr w14:paraId="6E06C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34FF7F5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tcBorders>
              <w:tl2br w:val="nil"/>
              <w:tr2bl w:val="nil"/>
            </w:tcBorders>
            <w:noWrap w:val="0"/>
            <w:vAlign w:val="center"/>
          </w:tcPr>
          <w:p w14:paraId="3541DF3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环境风险类别</w:t>
            </w:r>
          </w:p>
        </w:tc>
        <w:tc>
          <w:tcPr>
            <w:tcW w:w="1499" w:type="pct"/>
            <w:gridSpan w:val="3"/>
            <w:tcBorders>
              <w:tl2br w:val="nil"/>
              <w:tr2bl w:val="nil"/>
            </w:tcBorders>
            <w:noWrap w:val="0"/>
            <w:vAlign w:val="center"/>
          </w:tcPr>
          <w:p w14:paraId="08E5DF0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泄漏</w:t>
            </w:r>
            <w:r>
              <w:rPr>
                <w:rFonts w:hint="eastAsia" w:ascii="Times New Roman" w:hAnsi="Times New Roman" w:eastAsia="宋体" w:cs="Times New Roman"/>
                <w:color w:val="auto"/>
                <w:kern w:val="2"/>
                <w:sz w:val="21"/>
                <w:szCs w:val="21"/>
                <w:highlight w:val="none"/>
                <w:lang w:eastAsia="zh-CN"/>
              </w:rPr>
              <w:t>☑</w:t>
            </w:r>
          </w:p>
        </w:tc>
        <w:tc>
          <w:tcPr>
            <w:tcW w:w="2691" w:type="pct"/>
            <w:gridSpan w:val="7"/>
            <w:tcBorders>
              <w:tl2br w:val="nil"/>
              <w:tr2bl w:val="nil"/>
            </w:tcBorders>
            <w:noWrap w:val="0"/>
            <w:vAlign w:val="center"/>
          </w:tcPr>
          <w:p w14:paraId="1E883B8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火灾、爆炸引发伴生/次生污染物排放</w:t>
            </w:r>
            <w:r>
              <w:rPr>
                <w:rFonts w:hint="eastAsia" w:ascii="Times New Roman" w:hAnsi="Times New Roman" w:eastAsia="宋体" w:cs="Times New Roman"/>
                <w:color w:val="auto"/>
                <w:kern w:val="2"/>
                <w:sz w:val="21"/>
                <w:szCs w:val="21"/>
                <w:highlight w:val="none"/>
                <w:lang w:eastAsia="zh-CN"/>
              </w:rPr>
              <w:t>☑</w:t>
            </w:r>
          </w:p>
        </w:tc>
      </w:tr>
      <w:tr w14:paraId="2A5A8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233B7A9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tcBorders>
              <w:tl2br w:val="nil"/>
              <w:tr2bl w:val="nil"/>
            </w:tcBorders>
            <w:noWrap w:val="0"/>
            <w:vAlign w:val="center"/>
          </w:tcPr>
          <w:p w14:paraId="1FF4C43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影响途径</w:t>
            </w:r>
          </w:p>
        </w:tc>
        <w:tc>
          <w:tcPr>
            <w:tcW w:w="2067" w:type="pct"/>
            <w:gridSpan w:val="5"/>
            <w:tcBorders>
              <w:tl2br w:val="nil"/>
              <w:tr2bl w:val="nil"/>
            </w:tcBorders>
            <w:noWrap w:val="0"/>
            <w:vAlign w:val="center"/>
          </w:tcPr>
          <w:p w14:paraId="464E539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大气</w:t>
            </w:r>
            <w:r>
              <w:rPr>
                <w:rFonts w:hint="eastAsia" w:ascii="Times New Roman" w:hAnsi="Times New Roman" w:eastAsia="宋体" w:cs="Times New Roman"/>
                <w:color w:val="auto"/>
                <w:kern w:val="2"/>
                <w:sz w:val="21"/>
                <w:szCs w:val="21"/>
                <w:highlight w:val="none"/>
                <w:lang w:eastAsia="zh-CN"/>
              </w:rPr>
              <w:t>□</w:t>
            </w:r>
          </w:p>
        </w:tc>
        <w:tc>
          <w:tcPr>
            <w:tcW w:w="1057" w:type="pct"/>
            <w:gridSpan w:val="3"/>
            <w:tcBorders>
              <w:tl2br w:val="nil"/>
              <w:tr2bl w:val="nil"/>
            </w:tcBorders>
            <w:noWrap w:val="0"/>
            <w:vAlign w:val="center"/>
          </w:tcPr>
          <w:p w14:paraId="3B3442F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w:t>
            </w:r>
          </w:p>
        </w:tc>
        <w:tc>
          <w:tcPr>
            <w:tcW w:w="1064" w:type="pct"/>
            <w:gridSpan w:val="2"/>
            <w:tcBorders>
              <w:tl2br w:val="nil"/>
              <w:tr2bl w:val="nil"/>
            </w:tcBorders>
            <w:noWrap w:val="0"/>
            <w:vAlign w:val="center"/>
          </w:tcPr>
          <w:p w14:paraId="3F73C1E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w:t>
            </w:r>
          </w:p>
        </w:tc>
      </w:tr>
      <w:tr w14:paraId="17D8F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6B71E81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事故情形分析</w:t>
            </w:r>
          </w:p>
        </w:tc>
        <w:tc>
          <w:tcPr>
            <w:tcW w:w="1006" w:type="pct"/>
            <w:gridSpan w:val="2"/>
            <w:tcBorders>
              <w:tl2br w:val="nil"/>
              <w:tr2bl w:val="nil"/>
            </w:tcBorders>
            <w:noWrap w:val="0"/>
            <w:vAlign w:val="center"/>
          </w:tcPr>
          <w:p w14:paraId="2F687A5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源强设定方法</w:t>
            </w:r>
          </w:p>
        </w:tc>
        <w:tc>
          <w:tcPr>
            <w:tcW w:w="1061" w:type="pct"/>
            <w:gridSpan w:val="3"/>
            <w:tcBorders>
              <w:tl2br w:val="nil"/>
              <w:tr2bl w:val="nil"/>
            </w:tcBorders>
            <w:noWrap w:val="0"/>
            <w:vAlign w:val="center"/>
          </w:tcPr>
          <w:p w14:paraId="4D6DB04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计算法□</w:t>
            </w:r>
          </w:p>
        </w:tc>
        <w:tc>
          <w:tcPr>
            <w:tcW w:w="1057" w:type="pct"/>
            <w:gridSpan w:val="3"/>
            <w:tcBorders>
              <w:tl2br w:val="nil"/>
              <w:tr2bl w:val="nil"/>
            </w:tcBorders>
            <w:noWrap w:val="0"/>
            <w:vAlign w:val="center"/>
          </w:tcPr>
          <w:p w14:paraId="3EAFE49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经验估算法□</w:t>
            </w:r>
          </w:p>
        </w:tc>
        <w:tc>
          <w:tcPr>
            <w:tcW w:w="1064" w:type="pct"/>
            <w:gridSpan w:val="2"/>
            <w:tcBorders>
              <w:tl2br w:val="nil"/>
              <w:tr2bl w:val="nil"/>
            </w:tcBorders>
            <w:noWrap w:val="0"/>
            <w:vAlign w:val="center"/>
          </w:tcPr>
          <w:p w14:paraId="217B0B4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其他估算法□</w:t>
            </w:r>
          </w:p>
        </w:tc>
      </w:tr>
      <w:tr w14:paraId="29856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restart"/>
            <w:tcBorders>
              <w:tl2br w:val="nil"/>
              <w:tr2bl w:val="nil"/>
            </w:tcBorders>
            <w:noWrap w:val="0"/>
            <w:vAlign w:val="center"/>
          </w:tcPr>
          <w:p w14:paraId="0EC0771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环境风险预测与评价</w:t>
            </w:r>
          </w:p>
        </w:tc>
        <w:tc>
          <w:tcPr>
            <w:tcW w:w="587" w:type="pct"/>
            <w:vMerge w:val="restart"/>
            <w:tcBorders>
              <w:tl2br w:val="nil"/>
              <w:tr2bl w:val="nil"/>
            </w:tcBorders>
            <w:noWrap w:val="0"/>
            <w:vAlign w:val="center"/>
          </w:tcPr>
          <w:p w14:paraId="076EB71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w:t>
            </w:r>
          </w:p>
        </w:tc>
        <w:tc>
          <w:tcPr>
            <w:tcW w:w="1006" w:type="pct"/>
            <w:gridSpan w:val="2"/>
            <w:tcBorders>
              <w:tl2br w:val="nil"/>
              <w:tr2bl w:val="nil"/>
            </w:tcBorders>
            <w:noWrap w:val="0"/>
            <w:vAlign w:val="center"/>
          </w:tcPr>
          <w:p w14:paraId="7B284F8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预测模型</w:t>
            </w:r>
          </w:p>
        </w:tc>
        <w:tc>
          <w:tcPr>
            <w:tcW w:w="1061" w:type="pct"/>
            <w:gridSpan w:val="3"/>
            <w:tcBorders>
              <w:tl2br w:val="nil"/>
              <w:tr2bl w:val="nil"/>
            </w:tcBorders>
            <w:noWrap w:val="0"/>
            <w:vAlign w:val="center"/>
          </w:tcPr>
          <w:p w14:paraId="0451C0D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SLAB□</w:t>
            </w:r>
          </w:p>
        </w:tc>
        <w:tc>
          <w:tcPr>
            <w:tcW w:w="1057" w:type="pct"/>
            <w:gridSpan w:val="3"/>
            <w:tcBorders>
              <w:tl2br w:val="nil"/>
              <w:tr2bl w:val="nil"/>
            </w:tcBorders>
            <w:noWrap w:val="0"/>
            <w:vAlign w:val="center"/>
          </w:tcPr>
          <w:p w14:paraId="0E91B6B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AFTOX□</w:t>
            </w:r>
          </w:p>
        </w:tc>
        <w:tc>
          <w:tcPr>
            <w:tcW w:w="1064" w:type="pct"/>
            <w:gridSpan w:val="2"/>
            <w:tcBorders>
              <w:tl2br w:val="nil"/>
              <w:tr2bl w:val="nil"/>
            </w:tcBorders>
            <w:noWrap w:val="0"/>
            <w:vAlign w:val="center"/>
          </w:tcPr>
          <w:p w14:paraId="23C3340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其他□</w:t>
            </w:r>
          </w:p>
        </w:tc>
      </w:tr>
      <w:tr w14:paraId="6BBF1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1228745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09B13DF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1006" w:type="pct"/>
            <w:gridSpan w:val="2"/>
            <w:vMerge w:val="restart"/>
            <w:tcBorders>
              <w:tl2br w:val="nil"/>
              <w:tr2bl w:val="nil"/>
            </w:tcBorders>
            <w:noWrap w:val="0"/>
            <w:vAlign w:val="center"/>
          </w:tcPr>
          <w:p w14:paraId="0E88636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预测结果</w:t>
            </w:r>
          </w:p>
        </w:tc>
        <w:tc>
          <w:tcPr>
            <w:tcW w:w="3183" w:type="pct"/>
            <w:gridSpan w:val="8"/>
            <w:tcBorders>
              <w:tl2br w:val="nil"/>
              <w:tr2bl w:val="nil"/>
            </w:tcBorders>
            <w:noWrap w:val="0"/>
            <w:vAlign w:val="center"/>
          </w:tcPr>
          <w:p w14:paraId="1D977D2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-大气毒性终点浓度-1最大影响范围-m</w:t>
            </w:r>
          </w:p>
        </w:tc>
      </w:tr>
      <w:tr w14:paraId="63D8E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35A96D8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691B0EB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1006" w:type="pct"/>
            <w:gridSpan w:val="2"/>
            <w:vMerge w:val="continue"/>
            <w:tcBorders>
              <w:tl2br w:val="nil"/>
              <w:tr2bl w:val="nil"/>
            </w:tcBorders>
            <w:noWrap w:val="0"/>
            <w:vAlign w:val="center"/>
          </w:tcPr>
          <w:p w14:paraId="311056A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3183" w:type="pct"/>
            <w:gridSpan w:val="8"/>
            <w:tcBorders>
              <w:tl2br w:val="nil"/>
              <w:tr2bl w:val="nil"/>
            </w:tcBorders>
            <w:noWrap w:val="0"/>
            <w:vAlign w:val="center"/>
          </w:tcPr>
          <w:p w14:paraId="6362808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-大气毒性终点浓度-1最大影响范围-m</w:t>
            </w:r>
          </w:p>
        </w:tc>
      </w:tr>
      <w:tr w14:paraId="1E864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735E8D2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1148AF1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1006" w:type="pct"/>
            <w:gridSpan w:val="2"/>
            <w:vMerge w:val="continue"/>
            <w:tcBorders>
              <w:tl2br w:val="nil"/>
              <w:tr2bl w:val="nil"/>
            </w:tcBorders>
            <w:noWrap w:val="0"/>
            <w:vAlign w:val="center"/>
          </w:tcPr>
          <w:p w14:paraId="141B206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3183" w:type="pct"/>
            <w:gridSpan w:val="8"/>
            <w:tcBorders>
              <w:tl2br w:val="nil"/>
              <w:tr2bl w:val="nil"/>
            </w:tcBorders>
            <w:noWrap w:val="0"/>
            <w:vAlign w:val="center"/>
          </w:tcPr>
          <w:p w14:paraId="351A3C8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-大气毒性终点浓度-2最大影响范围-m</w:t>
            </w:r>
          </w:p>
        </w:tc>
      </w:tr>
      <w:tr w14:paraId="06357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2F60F2E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4D95DFB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1006" w:type="pct"/>
            <w:gridSpan w:val="2"/>
            <w:vMerge w:val="continue"/>
            <w:tcBorders>
              <w:tl2br w:val="nil"/>
              <w:tr2bl w:val="nil"/>
            </w:tcBorders>
            <w:noWrap w:val="0"/>
            <w:vAlign w:val="center"/>
          </w:tcPr>
          <w:p w14:paraId="3B9196D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3183" w:type="pct"/>
            <w:gridSpan w:val="8"/>
            <w:tcBorders>
              <w:tl2br w:val="nil"/>
              <w:tr2bl w:val="nil"/>
            </w:tcBorders>
            <w:noWrap w:val="0"/>
            <w:vAlign w:val="center"/>
          </w:tcPr>
          <w:p w14:paraId="5777D58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-大气毒性终点浓度-2最大影响范围-m</w:t>
            </w:r>
          </w:p>
        </w:tc>
      </w:tr>
      <w:tr w14:paraId="38B54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430F23D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tcBorders>
              <w:tl2br w:val="nil"/>
              <w:tr2bl w:val="nil"/>
            </w:tcBorders>
            <w:noWrap w:val="0"/>
            <w:vAlign w:val="center"/>
          </w:tcPr>
          <w:p w14:paraId="2061BFE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w:t>
            </w:r>
          </w:p>
        </w:tc>
        <w:tc>
          <w:tcPr>
            <w:tcW w:w="4190" w:type="pct"/>
            <w:gridSpan w:val="10"/>
            <w:tcBorders>
              <w:tl2br w:val="nil"/>
              <w:tr2bl w:val="nil"/>
            </w:tcBorders>
            <w:noWrap w:val="0"/>
            <w:vAlign w:val="center"/>
          </w:tcPr>
          <w:p w14:paraId="464CBAC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最近环境敏感目标，到达时间h</w:t>
            </w:r>
          </w:p>
        </w:tc>
      </w:tr>
      <w:tr w14:paraId="2AAED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2CF1BE4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restart"/>
            <w:tcBorders>
              <w:tl2br w:val="nil"/>
              <w:tr2bl w:val="nil"/>
            </w:tcBorders>
            <w:noWrap w:val="0"/>
            <w:vAlign w:val="center"/>
          </w:tcPr>
          <w:p w14:paraId="59F0633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w:t>
            </w:r>
          </w:p>
        </w:tc>
        <w:tc>
          <w:tcPr>
            <w:tcW w:w="4190" w:type="pct"/>
            <w:gridSpan w:val="10"/>
            <w:tcBorders>
              <w:tl2br w:val="nil"/>
              <w:tr2bl w:val="nil"/>
            </w:tcBorders>
            <w:noWrap w:val="0"/>
            <w:vAlign w:val="center"/>
          </w:tcPr>
          <w:p w14:paraId="56B7A00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下游厂区边界到达时间d</w:t>
            </w:r>
          </w:p>
        </w:tc>
      </w:tr>
      <w:tr w14:paraId="75182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2D45918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7254366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4190" w:type="pct"/>
            <w:gridSpan w:val="10"/>
            <w:tcBorders>
              <w:tl2br w:val="nil"/>
              <w:tr2bl w:val="nil"/>
            </w:tcBorders>
            <w:noWrap w:val="0"/>
            <w:vAlign w:val="center"/>
          </w:tcPr>
          <w:p w14:paraId="270E418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最近环境敏感目标，到达时间d</w:t>
            </w:r>
          </w:p>
        </w:tc>
      </w:tr>
      <w:tr w14:paraId="24800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13069FF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重点风险防范</w:t>
            </w:r>
          </w:p>
          <w:p w14:paraId="58CF36C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措施</w:t>
            </w:r>
          </w:p>
        </w:tc>
        <w:tc>
          <w:tcPr>
            <w:tcW w:w="4190" w:type="pct"/>
            <w:gridSpan w:val="10"/>
            <w:tcBorders>
              <w:tl2br w:val="nil"/>
              <w:tr2bl w:val="nil"/>
            </w:tcBorders>
            <w:noWrap w:val="0"/>
            <w:vAlign w:val="center"/>
          </w:tcPr>
          <w:p w14:paraId="055EBA6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详见本章节环境风险防范措施</w:t>
            </w:r>
          </w:p>
        </w:tc>
      </w:tr>
      <w:tr w14:paraId="04B3D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2" w:hRule="atLeast"/>
          <w:jc w:val="center"/>
        </w:trPr>
        <w:tc>
          <w:tcPr>
            <w:tcW w:w="809" w:type="pct"/>
            <w:gridSpan w:val="2"/>
            <w:tcBorders>
              <w:tl2br w:val="nil"/>
              <w:tr2bl w:val="nil"/>
            </w:tcBorders>
            <w:noWrap w:val="0"/>
            <w:vAlign w:val="center"/>
          </w:tcPr>
          <w:p w14:paraId="3B7D1A8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评价结论与建议</w:t>
            </w:r>
          </w:p>
        </w:tc>
        <w:tc>
          <w:tcPr>
            <w:tcW w:w="4190" w:type="pct"/>
            <w:gridSpan w:val="10"/>
            <w:tcBorders>
              <w:tl2br w:val="nil"/>
              <w:tr2bl w:val="nil"/>
            </w:tcBorders>
            <w:noWrap w:val="0"/>
            <w:vAlign w:val="center"/>
          </w:tcPr>
          <w:p w14:paraId="003D37D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在采取本环评要求的环境风险防范措施并严格落实的情况下，本项目环境风险处于可控可接受范围内。</w:t>
            </w:r>
          </w:p>
        </w:tc>
      </w:tr>
      <w:tr w14:paraId="5ECB9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000" w:type="pct"/>
            <w:gridSpan w:val="12"/>
            <w:tcBorders>
              <w:tl2br w:val="nil"/>
              <w:tr2bl w:val="nil"/>
            </w:tcBorders>
            <w:noWrap w:val="0"/>
            <w:vAlign w:val="center"/>
          </w:tcPr>
          <w:p w14:paraId="3A8A729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注：“</w:t>
            </w: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”为勾选项，填“√”；“（）”为内容填写项</w:t>
            </w:r>
          </w:p>
        </w:tc>
      </w:tr>
    </w:tbl>
    <w:p w14:paraId="42779098">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293" w:name="_Toc12659"/>
      <w:bookmarkStart w:id="294" w:name="_Toc26077"/>
      <w:bookmarkStart w:id="295" w:name="_Toc11612"/>
      <w:bookmarkStart w:id="296" w:name="_Toc25528"/>
      <w:r>
        <w:rPr>
          <w:rFonts w:hint="eastAsia" w:ascii="Times New Roman" w:hAnsi="Times New Roman" w:eastAsia="宋体" w:cs="Times New Roman"/>
          <w:color w:val="auto"/>
          <w:highlight w:val="none"/>
          <w:lang w:val="en-US" w:eastAsia="zh-CN"/>
        </w:rPr>
        <w:t>5.9</w:t>
      </w:r>
      <w:r>
        <w:rPr>
          <w:rFonts w:hint="eastAsia" w:ascii="Times New Roman" w:hAnsi="Times New Roman" w:eastAsia="宋体" w:cs="Times New Roman"/>
          <w:color w:val="auto"/>
          <w:highlight w:val="none"/>
        </w:rPr>
        <w:t>碳排放影响评价</w:t>
      </w:r>
      <w:bookmarkEnd w:id="293"/>
      <w:bookmarkEnd w:id="294"/>
      <w:bookmarkEnd w:id="295"/>
      <w:bookmarkEnd w:id="296"/>
    </w:p>
    <w:p w14:paraId="125BA616">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碳排放是关于温室气体排放的一个总称或简称，温室气体中最主要的组成部分是二氧化碳（CO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因此人们简单地将“碳排放”理解为“二氧化碳排放”。伴随全球气候变暖，人们日益关注到温室气体排放对环境产生的不利影响，我国日益注重碳减排工作的推进，在此大背景下，将碳排放纳入环境影响评价中十分必要。</w:t>
      </w:r>
    </w:p>
    <w:p w14:paraId="53510341">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5.9.1</w:t>
      </w:r>
      <w:r>
        <w:rPr>
          <w:rFonts w:hint="default" w:ascii="Times New Roman" w:hAnsi="Times New Roman" w:eastAsia="宋体" w:cs="Times New Roman"/>
          <w:color w:val="auto"/>
          <w:highlight w:val="none"/>
        </w:rPr>
        <w:t>原则依据</w:t>
      </w:r>
    </w:p>
    <w:p w14:paraId="423B8CC7">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依据《企业温室气体排放报告核查指南</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工业企业温室气体排放核算和报告通则》（GB/T32150-2015）、《其他有色金属冶炼和压延加工业企业温室气体排放核算方法与报告指南（试行）》（发改办气候〔2015〕1722号），参照《关于开展重点行业建设项目碳排放环境影响评价试点的通知》（环办环评函〔2021〕346号）等文件规范对本项目的碳排放进行分析。</w:t>
      </w:r>
    </w:p>
    <w:p w14:paraId="1B90D72A">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5.9.2</w:t>
      </w:r>
      <w:r>
        <w:rPr>
          <w:rFonts w:hint="eastAsia" w:ascii="Times New Roman" w:hAnsi="Times New Roman" w:eastAsia="宋体" w:cs="Times New Roman"/>
          <w:color w:val="auto"/>
          <w:highlight w:val="none"/>
        </w:rPr>
        <w:t>核算边界确定</w:t>
      </w:r>
    </w:p>
    <w:p w14:paraId="2C94DC1E">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评价以企业法人的独立核算单位为边界，核算生产系统产生的温室气体排放生产系统包括主要生产系统、辅助生产系统以及直接为生产服务的附属生产系统，其中辅助生产系统包括动力、供电、供水、化验、机修、库房、运输等，附属生产系统包括生产指挥系统（厂部）和厂区内为生产服务的部门和单位（如职工食堂、车间浴室等）。根据《其他有色金属冶炼和压延加工业企业温室气体排放核算方法与报告指南（试行）》（发改办气候〔2015〕1722号）。本项目温室气体核算边界筛查结果如下：</w:t>
      </w:r>
    </w:p>
    <w:p w14:paraId="6B68CA4C">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lang w:bidi="ar"/>
        </w:rPr>
      </w:pPr>
      <w:r>
        <w:rPr>
          <w:rFonts w:ascii="Times New Roman" w:hAnsi="Times New Roman" w:cs="Times New Roman"/>
          <w:b/>
          <w:bCs/>
          <w:color w:val="auto"/>
          <w:sz w:val="21"/>
          <w:szCs w:val="21"/>
          <w:highlight w:val="none"/>
          <w:lang w:bidi="ar"/>
        </w:rPr>
        <w:t>表</w:t>
      </w:r>
      <w:r>
        <w:rPr>
          <w:rFonts w:hint="eastAsia" w:ascii="Times New Roman" w:hAnsi="Times New Roman" w:cs="Times New Roman"/>
          <w:b/>
          <w:bCs/>
          <w:color w:val="auto"/>
          <w:sz w:val="21"/>
          <w:szCs w:val="21"/>
          <w:highlight w:val="none"/>
          <w:lang w:val="en-US" w:eastAsia="zh-CN" w:bidi="ar"/>
        </w:rPr>
        <w:t>5</w:t>
      </w:r>
      <w:r>
        <w:rPr>
          <w:rFonts w:ascii="Times New Roman" w:hAnsi="Times New Roman" w:cs="Times New Roman"/>
          <w:b/>
          <w:bCs/>
          <w:color w:val="auto"/>
          <w:sz w:val="21"/>
          <w:szCs w:val="21"/>
          <w:highlight w:val="none"/>
          <w:lang w:bidi="ar"/>
        </w:rPr>
        <w:t>.</w:t>
      </w:r>
      <w:r>
        <w:rPr>
          <w:rFonts w:hint="eastAsia" w:ascii="Times New Roman" w:hAnsi="Times New Roman" w:cs="Times New Roman"/>
          <w:b/>
          <w:bCs/>
          <w:color w:val="auto"/>
          <w:sz w:val="21"/>
          <w:szCs w:val="21"/>
          <w:highlight w:val="none"/>
          <w:lang w:val="en-US" w:eastAsia="zh-CN" w:bidi="ar"/>
        </w:rPr>
        <w:t>9</w:t>
      </w:r>
      <w:r>
        <w:rPr>
          <w:rFonts w:ascii="Times New Roman" w:hAnsi="Times New Roman" w:cs="Times New Roman"/>
          <w:b/>
          <w:bCs/>
          <w:color w:val="auto"/>
          <w:sz w:val="21"/>
          <w:szCs w:val="21"/>
          <w:highlight w:val="none"/>
          <w:lang w:bidi="ar"/>
        </w:rPr>
        <w:t>-</w:t>
      </w:r>
      <w:r>
        <w:rPr>
          <w:rFonts w:hint="eastAsia" w:ascii="Times New Roman" w:hAnsi="Times New Roman" w:cs="Times New Roman"/>
          <w:b/>
          <w:bCs/>
          <w:color w:val="auto"/>
          <w:sz w:val="21"/>
          <w:szCs w:val="21"/>
          <w:highlight w:val="none"/>
          <w:lang w:bidi="ar"/>
        </w:rPr>
        <w:t>1</w:t>
      </w:r>
      <w:r>
        <w:rPr>
          <w:rFonts w:ascii="Times New Roman" w:hAnsi="Times New Roman" w:cs="Times New Roman"/>
          <w:b/>
          <w:bCs/>
          <w:color w:val="auto"/>
          <w:sz w:val="21"/>
          <w:szCs w:val="21"/>
          <w:highlight w:val="none"/>
          <w:lang w:bidi="ar"/>
        </w:rPr>
        <w:t xml:space="preserve">  </w:t>
      </w:r>
      <w:r>
        <w:rPr>
          <w:rFonts w:hint="eastAsia" w:ascii="Times New Roman" w:hAnsi="Times New Roman" w:cs="Times New Roman"/>
          <w:b/>
          <w:bCs/>
          <w:color w:val="auto"/>
          <w:sz w:val="21"/>
          <w:szCs w:val="21"/>
          <w:highlight w:val="none"/>
          <w:lang w:bidi="ar"/>
        </w:rPr>
        <w:t xml:space="preserve">  </w:t>
      </w:r>
      <w:r>
        <w:rPr>
          <w:rFonts w:ascii="Times New Roman" w:hAnsi="Times New Roman" w:cs="Times New Roman"/>
          <w:b/>
          <w:bCs/>
          <w:color w:val="auto"/>
          <w:sz w:val="21"/>
          <w:szCs w:val="21"/>
          <w:highlight w:val="none"/>
          <w:lang w:bidi="ar"/>
        </w:rPr>
        <w:t>本项目温室气体核算边界筛查结果</w:t>
      </w:r>
    </w:p>
    <w:tbl>
      <w:tblPr>
        <w:tblStyle w:val="33"/>
        <w:tblW w:w="508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55"/>
        <w:gridCol w:w="1793"/>
        <w:gridCol w:w="3680"/>
        <w:gridCol w:w="1583"/>
      </w:tblGrid>
      <w:tr w14:paraId="7063A6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50" w:type="pct"/>
            <w:tcBorders>
              <w:tl2br w:val="nil"/>
              <w:tr2bl w:val="nil"/>
            </w:tcBorders>
            <w:vAlign w:val="center"/>
          </w:tcPr>
          <w:p w14:paraId="05A0C1D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lang w:bidi="ar"/>
              </w:rPr>
            </w:pPr>
            <w:r>
              <w:rPr>
                <w:rFonts w:ascii="Times New Roman" w:hAnsi="Times New Roman" w:cs="Times New Roman"/>
                <w:b/>
                <w:bCs/>
                <w:color w:val="auto"/>
                <w:sz w:val="21"/>
                <w:szCs w:val="21"/>
                <w:highlight w:val="none"/>
                <w:lang w:bidi="ar"/>
              </w:rPr>
              <w:t>排放源类别</w:t>
            </w:r>
          </w:p>
        </w:tc>
        <w:tc>
          <w:tcPr>
            <w:tcW w:w="3141" w:type="pct"/>
            <w:gridSpan w:val="2"/>
            <w:tcBorders>
              <w:tl2br w:val="nil"/>
              <w:tr2bl w:val="nil"/>
            </w:tcBorders>
            <w:vAlign w:val="center"/>
          </w:tcPr>
          <w:p w14:paraId="0CD896E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lang w:bidi="ar"/>
              </w:rPr>
            </w:pPr>
            <w:r>
              <w:rPr>
                <w:rFonts w:ascii="Times New Roman" w:hAnsi="Times New Roman" w:cs="Times New Roman"/>
                <w:b/>
                <w:bCs/>
                <w:color w:val="auto"/>
                <w:sz w:val="21"/>
                <w:szCs w:val="21"/>
                <w:highlight w:val="none"/>
                <w:lang w:bidi="ar"/>
              </w:rPr>
              <w:t>核算单元</w:t>
            </w:r>
          </w:p>
        </w:tc>
        <w:tc>
          <w:tcPr>
            <w:tcW w:w="908" w:type="pct"/>
            <w:tcBorders>
              <w:tl2br w:val="nil"/>
              <w:tr2bl w:val="nil"/>
            </w:tcBorders>
            <w:vAlign w:val="center"/>
          </w:tcPr>
          <w:p w14:paraId="167AD2B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lang w:bidi="ar"/>
              </w:rPr>
            </w:pPr>
            <w:r>
              <w:rPr>
                <w:rFonts w:ascii="Times New Roman" w:hAnsi="Times New Roman" w:cs="Times New Roman"/>
                <w:b/>
                <w:bCs/>
                <w:color w:val="auto"/>
                <w:sz w:val="21"/>
                <w:szCs w:val="21"/>
                <w:highlight w:val="none"/>
                <w:lang w:bidi="ar"/>
              </w:rPr>
              <w:t>温室气体种类</w:t>
            </w:r>
          </w:p>
        </w:tc>
      </w:tr>
      <w:tr w14:paraId="5CCE54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950" w:type="pct"/>
            <w:tcBorders>
              <w:tl2br w:val="nil"/>
              <w:tr2bl w:val="nil"/>
            </w:tcBorders>
            <w:vAlign w:val="center"/>
          </w:tcPr>
          <w:p w14:paraId="5416117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净购入电力产生的排放</w:t>
            </w:r>
          </w:p>
        </w:tc>
        <w:tc>
          <w:tcPr>
            <w:tcW w:w="1029" w:type="pct"/>
            <w:tcBorders>
              <w:tl2br w:val="nil"/>
              <w:tr2bl w:val="nil"/>
            </w:tcBorders>
            <w:vAlign w:val="center"/>
          </w:tcPr>
          <w:p w14:paraId="141F1DD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外购电力消耗</w:t>
            </w:r>
          </w:p>
        </w:tc>
        <w:tc>
          <w:tcPr>
            <w:tcW w:w="2111" w:type="pct"/>
            <w:tcBorders>
              <w:tl2br w:val="nil"/>
              <w:tr2bl w:val="nil"/>
            </w:tcBorders>
            <w:vAlign w:val="center"/>
          </w:tcPr>
          <w:p w14:paraId="6F5E4EB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各种用电设施</w:t>
            </w:r>
          </w:p>
        </w:tc>
        <w:tc>
          <w:tcPr>
            <w:tcW w:w="908" w:type="pct"/>
            <w:tcBorders>
              <w:tl2br w:val="nil"/>
              <w:tr2bl w:val="nil"/>
            </w:tcBorders>
            <w:vAlign w:val="center"/>
          </w:tcPr>
          <w:p w14:paraId="729A2D93">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CO</w:t>
            </w:r>
            <w:r>
              <w:rPr>
                <w:rFonts w:ascii="Times New Roman" w:hAnsi="Times New Roman" w:cs="Times New Roman"/>
                <w:color w:val="auto"/>
                <w:sz w:val="21"/>
                <w:szCs w:val="21"/>
                <w:highlight w:val="none"/>
                <w:vertAlign w:val="subscript"/>
                <w:lang w:bidi="ar"/>
              </w:rPr>
              <w:t>2</w:t>
            </w:r>
          </w:p>
        </w:tc>
      </w:tr>
    </w:tbl>
    <w:p w14:paraId="13D01152">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5.9.3</w:t>
      </w:r>
      <w:r>
        <w:rPr>
          <w:rFonts w:hint="eastAsia" w:ascii="Times New Roman" w:hAnsi="Times New Roman" w:eastAsia="宋体" w:cs="Times New Roman"/>
          <w:color w:val="auto"/>
          <w:highlight w:val="none"/>
        </w:rPr>
        <w:t>核算方法及核算结果</w:t>
      </w:r>
    </w:p>
    <w:p w14:paraId="62930CF5">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排放量根据《重点行业建设项目碳排放环境影响评价试点技术指南（试行）》中燃料燃烧CO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排放量计算公式进行计算。</w:t>
      </w:r>
    </w:p>
    <w:p w14:paraId="6840BF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5</w:t>
      </w:r>
      <w:r>
        <w:rPr>
          <w:rFonts w:hint="eastAsia"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9</w:t>
      </w:r>
      <w:r>
        <w:rPr>
          <w:rFonts w:hint="eastAsia" w:ascii="Times New Roman" w:hAnsi="Times New Roman" w:cs="Times New Roman"/>
          <w:b/>
          <w:bCs/>
          <w:color w:val="auto"/>
          <w:sz w:val="21"/>
          <w:szCs w:val="21"/>
          <w:highlight w:val="none"/>
        </w:rPr>
        <w:t>-2    本项目碳排放统计表</w:t>
      </w:r>
    </w:p>
    <w:tbl>
      <w:tblPr>
        <w:tblStyle w:val="33"/>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22"/>
        <w:gridCol w:w="2027"/>
        <w:gridCol w:w="1374"/>
        <w:gridCol w:w="1838"/>
        <w:gridCol w:w="1712"/>
      </w:tblGrid>
      <w:tr w14:paraId="358A2D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38" w:type="pct"/>
            <w:tcBorders>
              <w:tl2br w:val="nil"/>
              <w:tr2bl w:val="nil"/>
            </w:tcBorders>
            <w:vAlign w:val="center"/>
          </w:tcPr>
          <w:p w14:paraId="272033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类别</w:t>
            </w:r>
          </w:p>
        </w:tc>
        <w:tc>
          <w:tcPr>
            <w:tcW w:w="1155" w:type="pct"/>
            <w:tcBorders>
              <w:tl2br w:val="nil"/>
              <w:tr2bl w:val="nil"/>
            </w:tcBorders>
            <w:vAlign w:val="center"/>
          </w:tcPr>
          <w:p w14:paraId="0B82EA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年消耗量</w:t>
            </w:r>
          </w:p>
        </w:tc>
        <w:tc>
          <w:tcPr>
            <w:tcW w:w="782" w:type="pct"/>
            <w:tcBorders>
              <w:tl2br w:val="nil"/>
              <w:tr2bl w:val="nil"/>
            </w:tcBorders>
            <w:vAlign w:val="center"/>
          </w:tcPr>
          <w:p w14:paraId="65CF67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系数</w:t>
            </w:r>
            <w:r>
              <w:rPr>
                <w:rStyle w:val="125"/>
                <w:b/>
                <w:bCs/>
                <w:color w:val="auto"/>
                <w:sz w:val="21"/>
                <w:szCs w:val="21"/>
                <w:highlight w:val="none"/>
                <w:lang w:bidi="ar"/>
              </w:rPr>
              <w:t>/kgCO</w:t>
            </w:r>
            <w:r>
              <w:rPr>
                <w:rStyle w:val="240"/>
                <w:rFonts w:hint="default" w:ascii="Times New Roman" w:hAnsi="Times New Roman" w:cs="Times New Roman"/>
                <w:b/>
                <w:bCs/>
                <w:color w:val="auto"/>
                <w:sz w:val="21"/>
                <w:szCs w:val="21"/>
                <w:highlight w:val="none"/>
                <w:vertAlign w:val="subscript"/>
                <w:lang w:bidi="ar"/>
              </w:rPr>
              <w:t>2</w:t>
            </w:r>
          </w:p>
        </w:tc>
        <w:tc>
          <w:tcPr>
            <w:tcW w:w="1047" w:type="pct"/>
            <w:tcBorders>
              <w:tl2br w:val="nil"/>
              <w:tr2bl w:val="nil"/>
            </w:tcBorders>
            <w:vAlign w:val="center"/>
          </w:tcPr>
          <w:p w14:paraId="1824D4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Style w:val="125"/>
                <w:b/>
                <w:bCs/>
                <w:color w:val="auto"/>
                <w:sz w:val="21"/>
                <w:szCs w:val="21"/>
                <w:highlight w:val="none"/>
                <w:lang w:bidi="ar"/>
              </w:rPr>
              <w:t>CO</w:t>
            </w:r>
            <w:r>
              <w:rPr>
                <w:rStyle w:val="240"/>
                <w:rFonts w:hint="default" w:ascii="Times New Roman" w:hAnsi="Times New Roman" w:cs="Times New Roman"/>
                <w:b/>
                <w:bCs/>
                <w:color w:val="auto"/>
                <w:sz w:val="21"/>
                <w:szCs w:val="21"/>
                <w:highlight w:val="none"/>
                <w:vertAlign w:val="subscript"/>
                <w:lang w:bidi="ar"/>
              </w:rPr>
              <w:t>2</w:t>
            </w:r>
            <w:r>
              <w:rPr>
                <w:rFonts w:ascii="Times New Roman" w:hAnsi="Times New Roman" w:cs="Times New Roman"/>
                <w:b/>
                <w:bCs/>
                <w:color w:val="auto"/>
                <w:sz w:val="21"/>
                <w:szCs w:val="21"/>
                <w:highlight w:val="none"/>
                <w:lang w:bidi="ar"/>
              </w:rPr>
              <w:t>排放量</w:t>
            </w:r>
            <w:r>
              <w:rPr>
                <w:rStyle w:val="125"/>
                <w:b/>
                <w:bCs/>
                <w:color w:val="auto"/>
                <w:sz w:val="21"/>
                <w:szCs w:val="21"/>
                <w:highlight w:val="none"/>
                <w:lang w:bidi="ar"/>
              </w:rPr>
              <w:t>t/a</w:t>
            </w:r>
          </w:p>
        </w:tc>
        <w:tc>
          <w:tcPr>
            <w:tcW w:w="975" w:type="pct"/>
            <w:tcBorders>
              <w:tl2br w:val="nil"/>
              <w:tr2bl w:val="nil"/>
            </w:tcBorders>
            <w:vAlign w:val="center"/>
          </w:tcPr>
          <w:p w14:paraId="275935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碳排放量</w:t>
            </w:r>
            <w:r>
              <w:rPr>
                <w:rStyle w:val="125"/>
                <w:b/>
                <w:bCs/>
                <w:color w:val="auto"/>
                <w:sz w:val="21"/>
                <w:szCs w:val="21"/>
                <w:highlight w:val="none"/>
                <w:lang w:bidi="ar"/>
              </w:rPr>
              <w:t>t/a</w:t>
            </w:r>
          </w:p>
        </w:tc>
      </w:tr>
      <w:tr w14:paraId="18CE93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l2br w:val="nil"/>
              <w:tr2bl w:val="nil"/>
            </w:tcBorders>
            <w:vAlign w:val="center"/>
          </w:tcPr>
          <w:p w14:paraId="528EC6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sz w:val="21"/>
                <w:szCs w:val="21"/>
                <w:highlight w:val="none"/>
              </w:rPr>
            </w:pPr>
            <w:r>
              <w:rPr>
                <w:rStyle w:val="241"/>
                <w:rFonts w:hint="default" w:ascii="Times New Roman" w:hAnsi="Times New Roman" w:cs="Times New Roman"/>
                <w:color w:val="auto"/>
                <w:sz w:val="21"/>
                <w:szCs w:val="21"/>
                <w:highlight w:val="none"/>
                <w:lang w:bidi="ar"/>
              </w:rPr>
              <w:t>电力消耗</w:t>
            </w:r>
          </w:p>
        </w:tc>
        <w:tc>
          <w:tcPr>
            <w:tcW w:w="1155" w:type="pct"/>
            <w:tcBorders>
              <w:tl2br w:val="nil"/>
              <w:tr2bl w:val="nil"/>
            </w:tcBorders>
            <w:vAlign w:val="center"/>
          </w:tcPr>
          <w:p w14:paraId="7068F3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sz w:val="21"/>
                <w:szCs w:val="21"/>
                <w:highlight w:val="none"/>
              </w:rPr>
            </w:pPr>
            <w:r>
              <w:rPr>
                <w:rStyle w:val="126"/>
                <w:rFonts w:hint="eastAsia" w:ascii="Times New Roman" w:hAnsi="Times New Roman" w:cs="Times New Roman"/>
                <w:color w:val="auto"/>
                <w:sz w:val="21"/>
                <w:szCs w:val="21"/>
                <w:highlight w:val="none"/>
                <w:lang w:val="en-US" w:eastAsia="zh-CN" w:bidi="ar"/>
              </w:rPr>
              <w:t>10.5万</w:t>
            </w:r>
            <w:r>
              <w:rPr>
                <w:rFonts w:hint="eastAsia" w:ascii="Times New Roman" w:hAnsi="Times New Roman" w:cs="Times New Roman"/>
                <w:b w:val="0"/>
                <w:bCs w:val="0"/>
                <w:snapToGrid/>
                <w:color w:val="auto"/>
                <w:kern w:val="2"/>
                <w:sz w:val="21"/>
                <w:szCs w:val="21"/>
                <w:highlight w:val="none"/>
                <w:lang w:eastAsia="zh-CN"/>
              </w:rPr>
              <w:t>kW</w:t>
            </w:r>
            <w:r>
              <w:rPr>
                <w:rFonts w:hint="default" w:ascii="Times New Roman" w:hAnsi="Times New Roman" w:eastAsia="宋体" w:cs="Times New Roman"/>
                <w:b w:val="0"/>
                <w:bCs w:val="0"/>
                <w:snapToGrid/>
                <w:color w:val="auto"/>
                <w:kern w:val="2"/>
                <w:sz w:val="21"/>
                <w:szCs w:val="21"/>
                <w:highlight w:val="none"/>
                <w:lang w:eastAsia="zh-CN"/>
              </w:rPr>
              <w:t>·h</w:t>
            </w:r>
          </w:p>
        </w:tc>
        <w:tc>
          <w:tcPr>
            <w:tcW w:w="782" w:type="pct"/>
            <w:tcBorders>
              <w:tl2br w:val="nil"/>
              <w:tr2bl w:val="nil"/>
            </w:tcBorders>
            <w:vAlign w:val="center"/>
          </w:tcPr>
          <w:p w14:paraId="5C98B7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0.997</w:t>
            </w:r>
          </w:p>
        </w:tc>
        <w:tc>
          <w:tcPr>
            <w:tcW w:w="1047" w:type="pct"/>
            <w:tcBorders>
              <w:tl2br w:val="nil"/>
              <w:tr2bl w:val="nil"/>
            </w:tcBorders>
            <w:vAlign w:val="center"/>
          </w:tcPr>
          <w:p w14:paraId="204577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104.69</w:t>
            </w:r>
          </w:p>
        </w:tc>
        <w:tc>
          <w:tcPr>
            <w:tcW w:w="975" w:type="pct"/>
            <w:tcBorders>
              <w:tl2br w:val="nil"/>
              <w:tr2bl w:val="nil"/>
            </w:tcBorders>
            <w:vAlign w:val="center"/>
          </w:tcPr>
          <w:p w14:paraId="7A31D1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28.55</w:t>
            </w:r>
          </w:p>
        </w:tc>
      </w:tr>
      <w:tr w14:paraId="4CB815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2976" w:type="pct"/>
            <w:gridSpan w:val="3"/>
            <w:tcBorders>
              <w:tl2br w:val="nil"/>
              <w:tr2bl w:val="nil"/>
            </w:tcBorders>
            <w:vAlign w:val="center"/>
          </w:tcPr>
          <w:p w14:paraId="4853EE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kern w:val="0"/>
                <w:sz w:val="21"/>
                <w:szCs w:val="21"/>
                <w:highlight w:val="none"/>
                <w:lang w:bidi="ar"/>
              </w:rPr>
            </w:pPr>
            <w:r>
              <w:rPr>
                <w:rFonts w:ascii="Times New Roman" w:hAnsi="Times New Roman" w:cs="Times New Roman"/>
                <w:color w:val="auto"/>
                <w:kern w:val="0"/>
                <w:sz w:val="21"/>
                <w:szCs w:val="21"/>
                <w:highlight w:val="none"/>
                <w:lang w:bidi="ar"/>
              </w:rPr>
              <w:t>本项目合计</w:t>
            </w:r>
          </w:p>
        </w:tc>
        <w:tc>
          <w:tcPr>
            <w:tcW w:w="1047" w:type="pct"/>
            <w:tcBorders>
              <w:tl2br w:val="nil"/>
              <w:tr2bl w:val="nil"/>
            </w:tcBorders>
            <w:vAlign w:val="center"/>
          </w:tcPr>
          <w:p w14:paraId="6966E5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104.69</w:t>
            </w:r>
          </w:p>
        </w:tc>
        <w:tc>
          <w:tcPr>
            <w:tcW w:w="975" w:type="pct"/>
            <w:tcBorders>
              <w:tl2br w:val="nil"/>
              <w:tr2bl w:val="nil"/>
            </w:tcBorders>
            <w:vAlign w:val="center"/>
          </w:tcPr>
          <w:p w14:paraId="67C0F3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28.55</w:t>
            </w:r>
          </w:p>
        </w:tc>
      </w:tr>
    </w:tbl>
    <w:p w14:paraId="498CC490">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eastAsia" w:ascii="Times New Roman" w:hAnsi="Times New Roman" w:eastAsia="宋体" w:cs="Times New Roman"/>
          <w:color w:val="auto"/>
          <w:highlight w:val="none"/>
        </w:rPr>
      </w:pPr>
      <w:bookmarkStart w:id="297" w:name="_Toc24433"/>
      <w:bookmarkStart w:id="298" w:name="_Toc12240"/>
      <w:r>
        <w:rPr>
          <w:rFonts w:hint="eastAsia" w:ascii="Times New Roman" w:hAnsi="Times New Roman" w:eastAsia="宋体" w:cs="Times New Roman"/>
          <w:color w:val="auto"/>
          <w:highlight w:val="none"/>
          <w:lang w:val="en-US" w:eastAsia="zh-CN"/>
        </w:rPr>
        <w:t>5.9.4</w:t>
      </w:r>
      <w:r>
        <w:rPr>
          <w:rFonts w:hint="eastAsia" w:ascii="Times New Roman" w:hAnsi="Times New Roman" w:eastAsia="宋体" w:cs="Times New Roman"/>
          <w:color w:val="auto"/>
          <w:highlight w:val="none"/>
        </w:rPr>
        <w:t>碳减排评价</w:t>
      </w:r>
      <w:bookmarkEnd w:id="297"/>
      <w:bookmarkEnd w:id="298"/>
    </w:p>
    <w:p w14:paraId="0182DA90">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5.9.4.1厂区内外运输减排措施</w:t>
      </w:r>
    </w:p>
    <w:p w14:paraId="4E73E2F9">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工艺生产的需要，按照工艺流向布置，物料顺行，合理分配运输量，减少物流，减少折返、迂回以及货物的重复装卸和搬运，减少厂内运输货物周转量，缩短运输距离，从而减少厂区内运输车辆、非道路移动机械等移动设备燃烧产生的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排放量。</w:t>
      </w:r>
    </w:p>
    <w:p w14:paraId="076978E7">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5.9.4.2电气设施减污降碳措施</w:t>
      </w:r>
    </w:p>
    <w:p w14:paraId="682E3E18">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本项目在电气设备设施上采用了多种节能措施，从而间接减少了电力隐含CO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排放量。具体措施主要有：</w:t>
      </w:r>
    </w:p>
    <w:p w14:paraId="735DEE0F">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（1）根据项目用电性质、用电容量等选择合理的供电电压和供电方式，有效减少电能损耗。</w:t>
      </w:r>
    </w:p>
    <w:p w14:paraId="342F30D4">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2）选用高功率因数电气设备。采用无功功率补偿，为减少线路损失，设计采用高低压同时补偿的方式。低压设置自动无功补偿电容器装置，高压采用高压并联电容器进行功率因数补偿，补偿后使功率因数在装置负荷正常运行时提高，有效减少无功损耗，从而减少电能损耗，实现节能运行。</w:t>
      </w:r>
    </w:p>
    <w:p w14:paraId="53E1726B">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（3）新增各种电力设备均选用能效等级为1级的节能产品，实际功率和负荷相适应，达到降低能耗，提高工作效率的作用。</w:t>
      </w:r>
    </w:p>
    <w:p w14:paraId="59BEB383">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综上分析，项目在生产装置、厂内外运输、节能设备和管理等方面均采用了当前国内较成熟、先进的减污降碳措施，项目减污降碳措施整体可行。</w:t>
      </w:r>
    </w:p>
    <w:p w14:paraId="5A8B9DD4">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5.9.5</w:t>
      </w:r>
      <w:r>
        <w:rPr>
          <w:rFonts w:hint="default" w:ascii="Times New Roman" w:hAnsi="Times New Roman" w:eastAsia="宋体" w:cs="Times New Roman"/>
          <w:color w:val="auto"/>
          <w:highlight w:val="none"/>
          <w:lang w:val="en-US" w:eastAsia="zh-CN"/>
        </w:rPr>
        <w:t>碳排放结论及建议</w:t>
      </w:r>
    </w:p>
    <w:p w14:paraId="71BB216C">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5.9.5.1</w:t>
      </w:r>
      <w:r>
        <w:rPr>
          <w:rFonts w:hint="default" w:ascii="Times New Roman" w:hAnsi="Times New Roman" w:eastAsia="宋体" w:cs="Times New Roman"/>
          <w:b/>
          <w:color w:val="auto"/>
          <w:szCs w:val="28"/>
          <w:highlight w:val="none"/>
          <w:lang w:val="en-US" w:eastAsia="zh-CN"/>
        </w:rPr>
        <w:t>结论</w:t>
      </w:r>
    </w:p>
    <w:p w14:paraId="323F6C9F">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本项目实施后，在厂内外运输、工艺技术、节能设备和能源及碳排放管理等方面均拟采取先进的减污降碳措施，有利于减少二氧化碳排放。</w:t>
      </w:r>
    </w:p>
    <w:p w14:paraId="1764495B">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5.9.5.2</w:t>
      </w:r>
      <w:r>
        <w:rPr>
          <w:rFonts w:hint="default" w:ascii="Times New Roman" w:hAnsi="Times New Roman" w:eastAsia="宋体" w:cs="Times New Roman"/>
          <w:b/>
          <w:color w:val="auto"/>
          <w:szCs w:val="28"/>
          <w:highlight w:val="none"/>
          <w:lang w:val="en-US" w:eastAsia="zh-CN"/>
        </w:rPr>
        <w:t>建议</w:t>
      </w:r>
    </w:p>
    <w:p w14:paraId="02E78A51">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（1）加强企业能源管理，提高资源利用率，并定期开展能源及碳排放管理培训，提升管理水平；</w:t>
      </w:r>
    </w:p>
    <w:p w14:paraId="1E9EA321">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（2）积极开展源头控制，优先选择绿色节能工艺、产品和技术，降低资源能源消费量；</w:t>
      </w:r>
    </w:p>
    <w:p w14:paraId="1E1766CE">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sectPr>
          <w:footerReference r:id="rId25" w:type="default"/>
          <w:pgSz w:w="11910" w:h="16845"/>
          <w:pgMar w:top="1200" w:right="1666" w:bottom="1246" w:left="1681" w:header="866" w:footer="991" w:gutter="0"/>
          <w:pgBorders>
            <w:top w:val="none" w:sz="0" w:space="0"/>
            <w:left w:val="none" w:sz="0" w:space="0"/>
            <w:bottom w:val="none" w:sz="0" w:space="0"/>
            <w:right w:val="none" w:sz="0" w:space="0"/>
          </w:pgBorders>
          <w:pgNumType w:fmt="decimal"/>
          <w:cols w:equalWidth="0" w:num="1">
            <w:col w:w="8562"/>
          </w:cols>
        </w:sectPr>
      </w:pPr>
      <w:r>
        <w:rPr>
          <w:rFonts w:hint="default" w:ascii="Times New Roman" w:hAnsi="Times New Roman" w:eastAsia="宋体" w:cs="Times New Roman"/>
          <w:color w:val="auto"/>
          <w:highlight w:val="none"/>
        </w:rPr>
        <w:t>（3）优化能源使用结构，尽可能多</w:t>
      </w:r>
      <w:r>
        <w:rPr>
          <w:rFonts w:hint="eastAsia" w:cs="Times New Roman"/>
          <w:color w:val="auto"/>
          <w:highlight w:val="none"/>
          <w:lang w:eastAsia="zh-CN"/>
        </w:rPr>
        <w:t>地</w:t>
      </w:r>
      <w:r>
        <w:rPr>
          <w:rFonts w:hint="default" w:ascii="Times New Roman" w:hAnsi="Times New Roman" w:eastAsia="宋体" w:cs="Times New Roman"/>
          <w:color w:val="auto"/>
          <w:highlight w:val="none"/>
        </w:rPr>
        <w:t>采用绿电，减少煤炭使用量；厂内运输优先采用电动运输车辆，如电动叉车、电动自卸车、电动平板车等替代燃油车。</w:t>
      </w:r>
    </w:p>
    <w:p w14:paraId="1FC2E47A">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299" w:name="_Toc3653"/>
      <w:bookmarkStart w:id="300" w:name="_Toc7561"/>
      <w:r>
        <w:rPr>
          <w:rFonts w:hint="default" w:ascii="Times New Roman" w:hAnsi="Times New Roman" w:eastAsia="宋体" w:cs="Times New Roman"/>
          <w:color w:val="auto"/>
          <w:highlight w:val="none"/>
        </w:rPr>
        <w:t>6 环境保护措施及其可行性论证</w:t>
      </w:r>
      <w:bookmarkEnd w:id="299"/>
      <w:bookmarkEnd w:id="300"/>
    </w:p>
    <w:p w14:paraId="4179CE69">
      <w:pPr>
        <w:pStyle w:val="141"/>
        <w:pageBreakBefore w:val="0"/>
        <w:wordWrap/>
        <w:topLinePunct w:val="0"/>
        <w:bidi w:val="0"/>
        <w:adjustRightInd w:val="0"/>
        <w:snapToGrid w:val="0"/>
        <w:spacing w:before="0" w:after="0" w:line="360" w:lineRule="auto"/>
        <w:ind w:left="0" w:leftChars="0" w:right="0" w:firstLine="0" w:firstLineChars="0"/>
        <w:rPr>
          <w:rFonts w:hint="default" w:ascii="Times New Roman" w:hAnsi="Times New Roman" w:cs="Times New Roman"/>
          <w:color w:val="auto"/>
          <w:highlight w:val="none"/>
        </w:rPr>
      </w:pPr>
      <w:bookmarkStart w:id="301" w:name="_Toc24458"/>
      <w:bookmarkStart w:id="302" w:name="_Toc29054"/>
      <w:bookmarkStart w:id="303" w:name="_Toc527982459"/>
      <w:r>
        <w:rPr>
          <w:rFonts w:hint="default" w:ascii="Times New Roman" w:hAnsi="Times New Roman" w:cs="Times New Roman"/>
          <w:color w:val="auto"/>
          <w:highlight w:val="none"/>
        </w:rPr>
        <w:t>6.1</w:t>
      </w:r>
      <w:bookmarkStart w:id="304" w:name="_Toc12628"/>
      <w:bookmarkStart w:id="305" w:name="_Toc474770783"/>
      <w:bookmarkStart w:id="306" w:name="_Toc8256"/>
      <w:bookmarkStart w:id="307" w:name="_Toc32487"/>
      <w:r>
        <w:rPr>
          <w:rFonts w:hint="default" w:ascii="Times New Roman" w:hAnsi="Times New Roman" w:cs="Times New Roman"/>
          <w:color w:val="auto"/>
          <w:highlight w:val="none"/>
        </w:rPr>
        <w:t xml:space="preserve"> 施工期污染防治措施分析</w:t>
      </w:r>
      <w:bookmarkEnd w:id="301"/>
      <w:bookmarkEnd w:id="302"/>
      <w:bookmarkEnd w:id="304"/>
      <w:bookmarkEnd w:id="305"/>
      <w:bookmarkEnd w:id="306"/>
      <w:bookmarkEnd w:id="307"/>
    </w:p>
    <w:p w14:paraId="084A913E">
      <w:pPr>
        <w:pageBreakBefore w:val="0"/>
        <w:wordWrap/>
        <w:topLinePunct w:val="0"/>
        <w:bidi w:val="0"/>
        <w:adjustRightInd w:val="0"/>
        <w:snapToGrid w:val="0"/>
        <w:ind w:left="0" w:leftChars="0" w:right="0" w:firstLine="562"/>
        <w:outlineLvl w:val="2"/>
        <w:rPr>
          <w:rFonts w:hint="default" w:ascii="Times New Roman" w:hAnsi="Times New Roman" w:cs="Times New Roman"/>
          <w:b/>
          <w:bCs/>
          <w:color w:val="auto"/>
          <w:sz w:val="28"/>
          <w:szCs w:val="28"/>
          <w:highlight w:val="none"/>
        </w:rPr>
      </w:pPr>
      <w:bookmarkStart w:id="308" w:name="_Toc21266"/>
      <w:r>
        <w:rPr>
          <w:rFonts w:hint="default" w:ascii="Times New Roman" w:hAnsi="Times New Roman" w:cs="Times New Roman"/>
          <w:b/>
          <w:bCs/>
          <w:color w:val="auto"/>
          <w:sz w:val="28"/>
          <w:szCs w:val="28"/>
          <w:highlight w:val="none"/>
        </w:rPr>
        <w:t>6.1.1施工期环境空气污染防治对策</w:t>
      </w:r>
      <w:bookmarkEnd w:id="308"/>
    </w:p>
    <w:p w14:paraId="60467B0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单位应严格实施建筑工地“六个百分之百”标准，即施工工地周边100%围挡；物料堆放100%覆盖；出入车辆100%冲洗；施工现场地面100%硬化；拆迁工地100%湿法作业；渣土车辆100%密闭运输。施工现场边界设置围挡，高度不得小于2m，阻挡建筑工程现场的扬尘，围挡宜采用连续封闭的可重复利用围挡，同时应安全、整洁、美观和环境保持协调。</w:t>
      </w:r>
    </w:p>
    <w:p w14:paraId="6FBBE54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物料运输车辆必须进行苫盖、密闭严实，苫布边缘至少要遮住槽帮上沿以下15cm，保证物料、渣土、垃圾等不露出；车辆应按照批准的路线和时间进行物料、渣土、垃圾的运输；车辆严禁超载，物料、渣土、垃圾等装载高度不得超过车辆槽帮上沿，运输路线应避开环境空气敏感目标，选择对周围环境影响最小的运输路线；运输车辆进厂后必须限速行驶，并对路面进行洒水降尘。</w:t>
      </w:r>
    </w:p>
    <w:p w14:paraId="204024E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（3）为减轻施工扬尘环境影响，环评要求本项目施工期采用商品混凝土，不得在项目区内设置混凝土搅拌站；浇筑混凝土前清理灰尘和垃圾时，应减少扬尘，不应使用吹风器等易产生扬尘的设备。</w:t>
      </w:r>
    </w:p>
    <w:p w14:paraId="43C7F45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（4）土方作业</w:t>
      </w:r>
      <w:r>
        <w:rPr>
          <w:rFonts w:hint="eastAsia" w:cs="Times New Roman"/>
          <w:color w:val="auto"/>
          <w:highlight w:val="none"/>
          <w:lang w:eastAsia="zh-CN"/>
        </w:rPr>
        <w:t>阶段</w:t>
      </w:r>
      <w:r>
        <w:rPr>
          <w:rFonts w:hint="default" w:ascii="Times New Roman" w:hAnsi="Times New Roman" w:cs="Times New Roman"/>
          <w:color w:val="auto"/>
          <w:highlight w:val="none"/>
        </w:rPr>
        <w:t>应采取洒水、覆盖等措施，达到作业区目测扬尘高度小于1.5m，不得扩散到厂区外；堆场场地平整、沉淀池开挖等易起尘作业过程中，应辅以洒水压尘，尽量缩短起尘操作时间。禁止在风天进行土渣堆放作业，当出现风速过大或不利天气状况时应停止施工作业。</w:t>
      </w:r>
    </w:p>
    <w:p w14:paraId="51839FE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施工现场对粉状材料必须封闭存放，对易产生扬尘的堆放材料应采取封闭、半封闭和覆盖措施；对可能引起扬尘的材料及建筑垃圾搬运时必须有防尘措施；渣土、建筑垃圾以及易起尘物料应集中分类堆存，临时堆放点应设置围挡，采用防尘网进行苫盖，并及时进行清运。</w:t>
      </w:r>
    </w:p>
    <w:p w14:paraId="70008D6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由于道路和扬尘量与车辆的行驶速度有关，速度越快，扬尘量越大。因此，在施工场地对施工车辆必须实施限速行驶，同时施工现场主要运输道路尽量采用硬化路面并进行洒水降尘；自卸车、垃圾运输车等运输车辆不允许超载，选择对周围环境影响较小的运输路线，定时对运输路线进行清扫，运输车辆出场时必须封闭，避免在运输过程中的抛洒现象。</w:t>
      </w:r>
    </w:p>
    <w:p w14:paraId="30050FA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（7）遇到四级以上大风天气，不应进行土方回填、转运以及其他可能产生扬尘污染的施工，五级以上大风天气，施工现场应停止工地室外作业，并对作业面进行覆盖。</w:t>
      </w:r>
    </w:p>
    <w:p w14:paraId="61D98D0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（8）施工材料装卸过程应控制落差，减少装卸料过程起尘，并在厂区内临时设置雾炮机进行降尘。</w:t>
      </w:r>
    </w:p>
    <w:p w14:paraId="072141D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（9）选择环保型机械设备，运输车辆按规定方向进出，减少怠速</w:t>
      </w:r>
      <w:r>
        <w:rPr>
          <w:rFonts w:hint="eastAsia" w:cs="Times New Roman"/>
          <w:color w:val="auto"/>
          <w:highlight w:val="none"/>
          <w:lang w:eastAsia="zh-CN"/>
        </w:rPr>
        <w:t>行驶</w:t>
      </w:r>
      <w:r>
        <w:rPr>
          <w:rFonts w:hint="default" w:ascii="Times New Roman" w:hAnsi="Times New Roman" w:cs="Times New Roman"/>
          <w:color w:val="auto"/>
          <w:highlight w:val="none"/>
        </w:rPr>
        <w:t>，将尾气排放降到最低。施工单位在施工期内安排专人注意加强施工机械维护，确保机械设备正常运行，提高设备原料的利用率；运送土方、垃圾、设备及建筑垃圾等不得污损场外道路，施工现场大门口必须设置冲洗车辆设施，运送车辆必须采取防护措施，保证物料不得散落、飞扬和遗漏。</w:t>
      </w:r>
    </w:p>
    <w:p w14:paraId="0FD7543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（10）建设单位和施工单位应建立绿色环保施工管理机构，负责绿色施工管理；施工单位应加</w:t>
      </w:r>
      <w:r>
        <w:rPr>
          <w:rFonts w:hint="eastAsia" w:cs="Times New Roman"/>
          <w:color w:val="auto"/>
          <w:highlight w:val="none"/>
          <w:lang w:eastAsia="zh-CN"/>
        </w:rPr>
        <w:t>强对</w:t>
      </w:r>
      <w:r>
        <w:rPr>
          <w:rFonts w:hint="default" w:ascii="Times New Roman" w:hAnsi="Times New Roman" w:cs="Times New Roman"/>
          <w:color w:val="auto"/>
          <w:highlight w:val="none"/>
        </w:rPr>
        <w:t>管理人员、技术人员和一线建筑工人绿色环保施工的培训，</w:t>
      </w:r>
      <w:r>
        <w:rPr>
          <w:rFonts w:hint="eastAsia" w:cs="Times New Roman"/>
          <w:color w:val="auto"/>
          <w:highlight w:val="none"/>
          <w:lang w:eastAsia="zh-CN"/>
        </w:rPr>
        <w:t>增强</w:t>
      </w:r>
      <w:r>
        <w:rPr>
          <w:rFonts w:hint="default" w:ascii="Times New Roman" w:hAnsi="Times New Roman" w:cs="Times New Roman"/>
          <w:color w:val="auto"/>
          <w:highlight w:val="none"/>
        </w:rPr>
        <w:t>环保意识；施工现场的施工管理由专人负责，并设定专门负责人定期对该区的施工扬尘污染防治措施以及环保管理进行检查和核实，严格按扬尘污染管理的有关规定和规范进行治理，尽量减少扬尘对环境的影响程度。</w:t>
      </w:r>
    </w:p>
    <w:p w14:paraId="3D2B191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（11）施工机械及施工车辆采用符合国家标准的油品，加强检维修，保证其正常运行。</w:t>
      </w:r>
    </w:p>
    <w:p w14:paraId="48E77D4E">
      <w:pPr>
        <w:pageBreakBefore w:val="0"/>
        <w:wordWrap/>
        <w:topLinePunct w:val="0"/>
        <w:bidi w:val="0"/>
        <w:adjustRightInd w:val="0"/>
        <w:snapToGrid w:val="0"/>
        <w:ind w:left="0" w:leftChars="0" w:right="0" w:firstLine="562"/>
        <w:outlineLvl w:val="2"/>
        <w:rPr>
          <w:rFonts w:hint="default" w:ascii="Times New Roman" w:hAnsi="Times New Roman" w:cs="Times New Roman"/>
          <w:b/>
          <w:bCs/>
          <w:color w:val="auto"/>
          <w:sz w:val="28"/>
          <w:szCs w:val="28"/>
          <w:highlight w:val="none"/>
        </w:rPr>
      </w:pPr>
      <w:bookmarkStart w:id="309" w:name="_Toc28057"/>
      <w:r>
        <w:rPr>
          <w:rFonts w:hint="default" w:ascii="Times New Roman" w:hAnsi="Times New Roman" w:cs="Times New Roman"/>
          <w:b/>
          <w:bCs/>
          <w:color w:val="auto"/>
          <w:sz w:val="28"/>
          <w:szCs w:val="28"/>
          <w:highlight w:val="none"/>
        </w:rPr>
        <w:t>6.1.2施工期水污染防治对策</w:t>
      </w:r>
      <w:bookmarkEnd w:id="309"/>
    </w:p>
    <w:p w14:paraId="7CB4F84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（1）施工人员生活污水排入现有工程</w:t>
      </w:r>
      <w:r>
        <w:rPr>
          <w:rFonts w:hint="eastAsia" w:cs="Times New Roman"/>
          <w:color w:val="auto"/>
          <w:highlight w:val="none"/>
          <w:lang w:eastAsia="zh-CN"/>
        </w:rPr>
        <w:t>化粪池</w:t>
      </w:r>
      <w:r>
        <w:rPr>
          <w:rFonts w:hint="default" w:ascii="Times New Roman" w:hAnsi="Times New Roman" w:cs="Times New Roman"/>
          <w:color w:val="auto"/>
          <w:highlight w:val="none"/>
        </w:rPr>
        <w:t>。</w:t>
      </w:r>
    </w:p>
    <w:p w14:paraId="1C42B0E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（2）施工现场设置临时沉淀池，生产废水中含泥沙污水排入沉淀池，经沉淀处理后进行回用，不外排。</w:t>
      </w:r>
    </w:p>
    <w:p w14:paraId="57EB239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（3）加强施工期环境管理工作，由专人负责，加强对人员的环保宣传教育，文明施工，禁止不按规定排放废水。</w:t>
      </w:r>
    </w:p>
    <w:p w14:paraId="5FA505FB">
      <w:pPr>
        <w:pageBreakBefore w:val="0"/>
        <w:wordWrap/>
        <w:topLinePunct w:val="0"/>
        <w:bidi w:val="0"/>
        <w:adjustRightInd w:val="0"/>
        <w:snapToGrid w:val="0"/>
        <w:ind w:left="0" w:leftChars="0" w:right="0" w:firstLine="562"/>
        <w:outlineLvl w:val="2"/>
        <w:rPr>
          <w:rFonts w:hint="default" w:ascii="Times New Roman" w:hAnsi="Times New Roman" w:cs="Times New Roman"/>
          <w:b/>
          <w:bCs/>
          <w:color w:val="auto"/>
          <w:sz w:val="28"/>
          <w:szCs w:val="28"/>
          <w:highlight w:val="none"/>
        </w:rPr>
      </w:pPr>
      <w:bookmarkStart w:id="310" w:name="_Toc26269"/>
      <w:r>
        <w:rPr>
          <w:rFonts w:hint="default" w:ascii="Times New Roman" w:hAnsi="Times New Roman" w:cs="Times New Roman"/>
          <w:b/>
          <w:bCs/>
          <w:color w:val="auto"/>
          <w:sz w:val="28"/>
          <w:szCs w:val="28"/>
          <w:highlight w:val="none"/>
        </w:rPr>
        <w:t>6.1.3施工期噪声污染防治对策</w:t>
      </w:r>
      <w:bookmarkEnd w:id="310"/>
    </w:p>
    <w:p w14:paraId="6C49173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中噪声污染防治应从施工机械、运输工具、施工方法及对施工人员采取保护为原则，噪声控制要严格按《建筑施工场界环境噪声排放标准》（GB12523-2011）执行，尽量减少施工噪声对施工人员及周围环境的影响。</w:t>
      </w:r>
    </w:p>
    <w:p w14:paraId="1CE6C98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（1）选用低噪声设备，合理安排施工机械的使用，减少或限制高噪声设备的使用时间，加强各种施工机械的维修保养；对高音设备采取隔音、隔振等措施。</w:t>
      </w:r>
    </w:p>
    <w:p w14:paraId="3EFAA60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（2）施工区域设置围挡，合理布局，噪声设备尽量布置在远离厂界的位置。</w:t>
      </w:r>
    </w:p>
    <w:p w14:paraId="090FCDE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（4）合理安排运输车辆的路线和行驶速度，应尽量避开噪声敏感区域和噪声敏感时段；运输材料的车辆进入施工现场，严禁鸣笛，装卸材料应做到轻拿轻放。</w:t>
      </w:r>
    </w:p>
    <w:p w14:paraId="35049C0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（5）禁止夜间施工，具体施工时间应根据当地居民生活习惯，合理安排高噪声设备的使用时间。</w:t>
      </w:r>
    </w:p>
    <w:p w14:paraId="16583E3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（6）加强施工期环境管理工作，由专人负责，加强对人员的环保宣传教育，文明施工，严格按照规定使用机械设备。</w:t>
      </w:r>
    </w:p>
    <w:p w14:paraId="5A65AAD2">
      <w:pPr>
        <w:pageBreakBefore w:val="0"/>
        <w:wordWrap/>
        <w:topLinePunct w:val="0"/>
        <w:bidi w:val="0"/>
        <w:adjustRightInd w:val="0"/>
        <w:snapToGrid w:val="0"/>
        <w:ind w:left="0" w:leftChars="0" w:right="0" w:firstLine="562"/>
        <w:outlineLvl w:val="2"/>
        <w:rPr>
          <w:rFonts w:hint="default" w:ascii="Times New Roman" w:hAnsi="Times New Roman" w:cs="Times New Roman"/>
          <w:b/>
          <w:bCs/>
          <w:color w:val="auto"/>
          <w:sz w:val="28"/>
          <w:szCs w:val="28"/>
          <w:highlight w:val="none"/>
        </w:rPr>
      </w:pPr>
      <w:bookmarkStart w:id="311" w:name="_Toc14518"/>
      <w:r>
        <w:rPr>
          <w:rFonts w:hint="default" w:ascii="Times New Roman" w:hAnsi="Times New Roman" w:cs="Times New Roman"/>
          <w:b/>
          <w:bCs/>
          <w:color w:val="auto"/>
          <w:sz w:val="28"/>
          <w:szCs w:val="28"/>
          <w:highlight w:val="none"/>
        </w:rPr>
        <w:t>6.1.4施工期固体废物处置措施</w:t>
      </w:r>
      <w:bookmarkEnd w:id="311"/>
    </w:p>
    <w:p w14:paraId="7BD3A97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（1）施工期设置生活垃圾收集箱，生活垃圾集中收集后由环卫部门统一收集清运。</w:t>
      </w:r>
    </w:p>
    <w:p w14:paraId="6E0B0C4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（2）建设单位应制定建筑垃圾减量化计划，按照不同的建筑施工内容，核定建筑垃圾排放量，对建筑垃圾进行分类统计。</w:t>
      </w:r>
    </w:p>
    <w:p w14:paraId="01FD66D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（3）施工单位应严格按照《中华人民共和国固体废物污染环境防治法》的要求对建筑垃圾进行妥善处置，具体措施如下：</w:t>
      </w:r>
    </w:p>
    <w:p w14:paraId="755783D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①编制建筑垃圾处理方案，采取污染防治措施，并报相关人民政府环境卫生主管部门备案。</w:t>
      </w:r>
    </w:p>
    <w:p w14:paraId="63CE465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②及时清运工程施工过程中产生的建筑垃圾等固体废物，并按照当地环境卫生主管部门的规定进行利用或者处置。施工建筑垃圾中的一部分如建筑废模块、建筑材料</w:t>
      </w:r>
      <w:r>
        <w:rPr>
          <w:rFonts w:hint="eastAsia" w:cs="Times New Roman"/>
          <w:color w:val="auto"/>
          <w:highlight w:val="none"/>
          <w:lang w:eastAsia="zh-CN"/>
        </w:rPr>
        <w:t>下脚料</w:t>
      </w:r>
      <w:r>
        <w:rPr>
          <w:rFonts w:hint="default" w:ascii="Times New Roman" w:hAnsi="Times New Roman" w:cs="Times New Roman"/>
          <w:color w:val="auto"/>
          <w:highlight w:val="none"/>
        </w:rPr>
        <w:t>、废管材、断残钢筋头等可以回收利用的优先回收利用；另一部分无法回收利用的，施工单位集中收集后送至当地建筑垃圾填埋场处理。</w:t>
      </w:r>
    </w:p>
    <w:p w14:paraId="51344D8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③不得擅自倾倒、抛撒或者堆放工程施工过程中产生的建筑垃圾，做到及时处置，避免占用土地对城市景观造成不良影响。</w:t>
      </w:r>
    </w:p>
    <w:p w14:paraId="3D251760">
      <w:pPr>
        <w:pStyle w:val="3"/>
        <w:keepNext w:val="0"/>
        <w:keepLines w:val="0"/>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12" w:name="_Toc24292"/>
      <w:bookmarkStart w:id="313" w:name="_Toc5147"/>
      <w:r>
        <w:rPr>
          <w:rFonts w:hint="default" w:ascii="Times New Roman" w:hAnsi="Times New Roman" w:eastAsia="宋体" w:cs="Times New Roman"/>
          <w:color w:val="auto"/>
          <w:highlight w:val="none"/>
        </w:rPr>
        <w:t>6.2 运营期污染防治措施分析</w:t>
      </w:r>
      <w:bookmarkEnd w:id="312"/>
      <w:bookmarkEnd w:id="313"/>
    </w:p>
    <w:p w14:paraId="3CFF0A3B">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bookmarkStart w:id="314" w:name="_Hlk149948254"/>
      <w:r>
        <w:rPr>
          <w:rFonts w:hint="default" w:ascii="Times New Roman" w:hAnsi="Times New Roman" w:cs="Times New Roman"/>
          <w:b/>
          <w:bCs/>
          <w:color w:val="auto"/>
          <w:sz w:val="28"/>
          <w:szCs w:val="28"/>
          <w:highlight w:val="none"/>
        </w:rPr>
        <w:t>6.2.1废气治理措施及可行性论证</w:t>
      </w:r>
      <w:bookmarkEnd w:id="303"/>
    </w:p>
    <w:bookmarkEnd w:id="314"/>
    <w:p w14:paraId="54F1EEF5">
      <w:pPr>
        <w:pageBreakBefore w:val="0"/>
        <w:wordWrap/>
        <w:topLinePunct w:val="0"/>
        <w:bidi w:val="0"/>
        <w:adjustRightInd w:val="0"/>
        <w:snapToGrid w:val="0"/>
        <w:spacing w:line="440" w:lineRule="exact"/>
        <w:ind w:left="0" w:leftChars="0" w:right="0" w:firstLine="482"/>
        <w:outlineLvl w:val="3"/>
        <w:rPr>
          <w:rFonts w:hint="default" w:ascii="Times New Roman" w:hAnsi="Times New Roman" w:eastAsia="宋体" w:cs="Times New Roman"/>
          <w:b/>
          <w:color w:val="auto"/>
          <w:szCs w:val="28"/>
          <w:highlight w:val="none"/>
          <w:lang w:val="en-US" w:eastAsia="zh-CN"/>
        </w:rPr>
      </w:pPr>
      <w:bookmarkStart w:id="315" w:name="_Toc527982460"/>
      <w:r>
        <w:rPr>
          <w:rFonts w:hint="eastAsia" w:ascii="Times New Roman" w:hAnsi="Times New Roman" w:eastAsia="宋体" w:cs="Times New Roman"/>
          <w:b/>
          <w:color w:val="auto"/>
          <w:szCs w:val="28"/>
          <w:highlight w:val="none"/>
          <w:lang w:val="en-US" w:eastAsia="zh-CN"/>
        </w:rPr>
        <w:t>6.2.1.1</w:t>
      </w:r>
      <w:r>
        <w:rPr>
          <w:rFonts w:hint="default" w:ascii="Times New Roman" w:hAnsi="Times New Roman" w:eastAsia="宋体" w:cs="Times New Roman"/>
          <w:b/>
          <w:color w:val="auto"/>
          <w:szCs w:val="28"/>
          <w:highlight w:val="none"/>
          <w:lang w:val="en-US" w:eastAsia="zh-CN"/>
        </w:rPr>
        <w:t>有组织废气处置措施</w:t>
      </w:r>
    </w:p>
    <w:p w14:paraId="208FD350">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本项目破碎系统</w:t>
      </w:r>
      <w:r>
        <w:rPr>
          <w:rFonts w:hint="default" w:ascii="Times New Roman" w:hAnsi="Times New Roman" w:eastAsia="宋体" w:cs="Times New Roman"/>
          <w:color w:val="auto"/>
          <w:highlight w:val="none"/>
        </w:rPr>
        <w:t>在运行过程中会产生粉尘排放，</w:t>
      </w:r>
      <w:r>
        <w:rPr>
          <w:rFonts w:hint="eastAsia" w:cs="Times New Roman"/>
          <w:color w:val="auto"/>
          <w:highlight w:val="none"/>
          <w:lang w:val="en-US" w:eastAsia="zh-CN"/>
        </w:rPr>
        <w:t>一、二级破碎</w:t>
      </w:r>
      <w:r>
        <w:rPr>
          <w:rFonts w:hint="eastAsia" w:ascii="Times New Roman" w:hAnsi="Times New Roman" w:eastAsia="宋体" w:cs="Times New Roman"/>
          <w:color w:val="auto"/>
          <w:highlight w:val="none"/>
          <w:lang w:eastAsia="zh-CN"/>
        </w:rPr>
        <w:t>均</w:t>
      </w:r>
      <w:r>
        <w:rPr>
          <w:rFonts w:hint="default" w:ascii="Times New Roman" w:hAnsi="Times New Roman" w:eastAsia="宋体" w:cs="Times New Roman"/>
          <w:color w:val="auto"/>
          <w:highlight w:val="none"/>
        </w:rPr>
        <w:t>设置</w:t>
      </w:r>
      <w:r>
        <w:rPr>
          <w:rFonts w:hint="default" w:ascii="Times New Roman" w:hAnsi="Times New Roman" w:eastAsia="宋体" w:cs="Times New Roman"/>
          <w:color w:val="auto"/>
          <w:highlight w:val="none"/>
          <w:lang w:eastAsia="zh-CN"/>
        </w:rPr>
        <w:t>除尘系统</w:t>
      </w:r>
      <w:r>
        <w:rPr>
          <w:rFonts w:hint="default" w:ascii="Times New Roman" w:hAnsi="Times New Roman" w:eastAsia="宋体" w:cs="Times New Roman"/>
          <w:color w:val="auto"/>
          <w:highlight w:val="none"/>
        </w:rPr>
        <w:t>，除尘效率</w:t>
      </w:r>
      <w:r>
        <w:rPr>
          <w:rFonts w:hint="eastAsia" w:ascii="Times New Roman" w:hAnsi="Times New Roman" w:eastAsia="宋体" w:cs="Times New Roman"/>
          <w:color w:val="auto"/>
          <w:highlight w:val="none"/>
          <w:lang w:val="en-US" w:eastAsia="zh-CN"/>
        </w:rPr>
        <w:t>约</w:t>
      </w:r>
      <w:r>
        <w:rPr>
          <w:rFonts w:hint="default" w:ascii="Times New Roman" w:hAnsi="Times New Roman" w:eastAsia="宋体" w:cs="Times New Roman"/>
          <w:color w:val="auto"/>
          <w:highlight w:val="none"/>
        </w:rPr>
        <w:t>99</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%，净化后粉尘排放浓度均满足《铜、镍、钴工业污染物排放标准》（GB25467-2010）中</w:t>
      </w:r>
      <w:r>
        <w:rPr>
          <w:rFonts w:hint="eastAsia" w:cs="Times New Roman"/>
          <w:color w:val="auto"/>
          <w:highlight w:val="none"/>
          <w:lang w:val="en-US" w:eastAsia="zh-CN"/>
        </w:rPr>
        <w:t>颗粒物</w:t>
      </w:r>
      <w:r>
        <w:rPr>
          <w:rFonts w:hint="default" w:ascii="Times New Roman" w:hAnsi="Times New Roman" w:eastAsia="宋体" w:cs="Times New Roman"/>
          <w:color w:val="auto"/>
          <w:highlight w:val="none"/>
        </w:rPr>
        <w:t>浓度排放限值的要求。</w:t>
      </w:r>
    </w:p>
    <w:p w14:paraId="106F40F2">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有组织粉尘处理的方法主要有以下四种方式：①机械式除尘器（旋风除尘器）；②滤筒式、袋式除尘器；③电除尘器；④湿式除尘器等。以上几种除尘器的性能比较见</w:t>
      </w:r>
      <w:r>
        <w:rPr>
          <w:rFonts w:hint="eastAsia" w:ascii="Times New Roman" w:hAnsi="Times New Roman" w:eastAsia="宋体" w:cs="Times New Roman"/>
          <w:color w:val="auto"/>
          <w:highlight w:val="none"/>
          <w:lang w:val="en-US" w:eastAsia="zh-CN"/>
        </w:rPr>
        <w:t>6.2-1</w:t>
      </w:r>
      <w:r>
        <w:rPr>
          <w:rFonts w:hint="default" w:ascii="Times New Roman" w:hAnsi="Times New Roman" w:eastAsia="宋体" w:cs="Times New Roman"/>
          <w:color w:val="auto"/>
          <w:highlight w:val="none"/>
        </w:rPr>
        <w:t>。</w:t>
      </w:r>
    </w:p>
    <w:p w14:paraId="6E0903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smallCaps w:val="0"/>
          <w:color w:val="auto"/>
          <w:kern w:val="0"/>
          <w:sz w:val="21"/>
          <w:szCs w:val="21"/>
          <w:highlight w:val="none"/>
        </w:rPr>
      </w:pPr>
      <w:bookmarkStart w:id="316" w:name="_Ref478812601"/>
      <w:r>
        <w:rPr>
          <w:rFonts w:hint="default" w:ascii="Times New Roman" w:hAnsi="Times New Roman" w:eastAsia="宋体" w:cs="Times New Roman"/>
          <w:b/>
          <w:caps w:val="0"/>
          <w:smallCaps w:val="0"/>
          <w:color w:val="auto"/>
          <w:sz w:val="21"/>
          <w:szCs w:val="21"/>
          <w:highlight w:val="none"/>
        </w:rPr>
        <w:t>表</w:t>
      </w:r>
      <w:bookmarkEnd w:id="316"/>
      <w:r>
        <w:rPr>
          <w:rFonts w:hint="eastAsia" w:cs="Times New Roman"/>
          <w:b/>
          <w:caps w:val="0"/>
          <w:smallCaps w:val="0"/>
          <w:color w:val="auto"/>
          <w:sz w:val="21"/>
          <w:szCs w:val="21"/>
          <w:highlight w:val="none"/>
          <w:lang w:val="en-US" w:eastAsia="zh-CN"/>
        </w:rPr>
        <w:t>6.2</w:t>
      </w:r>
      <w:r>
        <w:rPr>
          <w:rFonts w:hint="default" w:ascii="Times New Roman" w:hAnsi="Times New Roman" w:eastAsia="宋体" w:cs="Times New Roman"/>
          <w:b/>
          <w:caps w:val="0"/>
          <w:smallCaps w:val="0"/>
          <w:color w:val="auto"/>
          <w:sz w:val="21"/>
          <w:szCs w:val="21"/>
          <w:highlight w:val="none"/>
        </w:rPr>
        <w:t xml:space="preserve">-1   </w:t>
      </w:r>
      <w:r>
        <w:rPr>
          <w:rFonts w:hint="default" w:ascii="Times New Roman" w:hAnsi="Times New Roman" w:eastAsia="宋体" w:cs="Times New Roman"/>
          <w:b/>
          <w:caps w:val="0"/>
          <w:smallCaps w:val="0"/>
          <w:color w:val="auto"/>
          <w:kern w:val="0"/>
          <w:sz w:val="21"/>
          <w:szCs w:val="21"/>
          <w:highlight w:val="none"/>
        </w:rPr>
        <w:t>有组织粉尘除尘器性能一览表</w:t>
      </w:r>
    </w:p>
    <w:tbl>
      <w:tblPr>
        <w:tblStyle w:val="33"/>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932"/>
        <w:gridCol w:w="1067"/>
        <w:gridCol w:w="2668"/>
        <w:gridCol w:w="2668"/>
      </w:tblGrid>
      <w:tr w14:paraId="15112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tcBorders>
              <w:tl2br w:val="nil"/>
              <w:tr2bl w:val="nil"/>
            </w:tcBorders>
            <w:noWrap w:val="0"/>
            <w:vAlign w:val="center"/>
          </w:tcPr>
          <w:p w14:paraId="1706F8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除尘器</w:t>
            </w:r>
          </w:p>
          <w:p w14:paraId="287694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类型</w:t>
            </w:r>
          </w:p>
        </w:tc>
        <w:tc>
          <w:tcPr>
            <w:tcW w:w="932" w:type="dxa"/>
            <w:tcBorders>
              <w:tl2br w:val="nil"/>
              <w:tr2bl w:val="nil"/>
            </w:tcBorders>
            <w:noWrap w:val="0"/>
            <w:vAlign w:val="center"/>
          </w:tcPr>
          <w:p w14:paraId="6E0F54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除尘效率（%）</w:t>
            </w:r>
          </w:p>
        </w:tc>
        <w:tc>
          <w:tcPr>
            <w:tcW w:w="1067" w:type="dxa"/>
            <w:tcBorders>
              <w:tl2br w:val="nil"/>
              <w:tr2bl w:val="nil"/>
            </w:tcBorders>
            <w:noWrap w:val="0"/>
            <w:vAlign w:val="center"/>
          </w:tcPr>
          <w:p w14:paraId="4BA515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适用范围</w:t>
            </w:r>
          </w:p>
        </w:tc>
        <w:tc>
          <w:tcPr>
            <w:tcW w:w="2668" w:type="dxa"/>
            <w:tcBorders>
              <w:tl2br w:val="nil"/>
              <w:tr2bl w:val="nil"/>
            </w:tcBorders>
            <w:noWrap w:val="0"/>
            <w:vAlign w:val="center"/>
          </w:tcPr>
          <w:p w14:paraId="3F4226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优点</w:t>
            </w:r>
          </w:p>
        </w:tc>
        <w:tc>
          <w:tcPr>
            <w:tcW w:w="2668" w:type="dxa"/>
            <w:tcBorders>
              <w:tl2br w:val="nil"/>
              <w:tr2bl w:val="nil"/>
            </w:tcBorders>
            <w:noWrap w:val="0"/>
            <w:vAlign w:val="center"/>
          </w:tcPr>
          <w:p w14:paraId="7933AA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缺点</w:t>
            </w:r>
          </w:p>
        </w:tc>
      </w:tr>
      <w:tr w14:paraId="7BCB5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tcBorders>
              <w:tl2br w:val="nil"/>
              <w:tr2bl w:val="nil"/>
            </w:tcBorders>
            <w:noWrap w:val="0"/>
            <w:vAlign w:val="center"/>
          </w:tcPr>
          <w:p w14:paraId="27D274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旋风</w:t>
            </w:r>
          </w:p>
          <w:p w14:paraId="1AAAB0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除尘器</w:t>
            </w:r>
          </w:p>
        </w:tc>
        <w:tc>
          <w:tcPr>
            <w:tcW w:w="932" w:type="dxa"/>
            <w:tcBorders>
              <w:tl2br w:val="nil"/>
              <w:tr2bl w:val="nil"/>
            </w:tcBorders>
            <w:noWrap w:val="0"/>
            <w:vAlign w:val="center"/>
          </w:tcPr>
          <w:p w14:paraId="6B73EE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83</w:t>
            </w:r>
            <w:r>
              <w:rPr>
                <w:rFonts w:hint="eastAsia" w:eastAsia="宋体" w:cs="Times New Roman"/>
                <w:caps w:val="0"/>
                <w:smallCaps w:val="0"/>
                <w:color w:val="auto"/>
                <w:kern w:val="0"/>
                <w:sz w:val="21"/>
                <w:szCs w:val="21"/>
                <w:highlight w:val="none"/>
                <w:lang w:eastAsia="zh-CN"/>
              </w:rPr>
              <w:t>~</w:t>
            </w:r>
            <w:r>
              <w:rPr>
                <w:rFonts w:hint="default" w:ascii="Times New Roman" w:hAnsi="Times New Roman" w:eastAsia="宋体" w:cs="Times New Roman"/>
                <w:caps w:val="0"/>
                <w:smallCaps w:val="0"/>
                <w:color w:val="auto"/>
                <w:kern w:val="0"/>
                <w:sz w:val="21"/>
                <w:szCs w:val="21"/>
                <w:highlight w:val="none"/>
              </w:rPr>
              <w:t>90</w:t>
            </w:r>
          </w:p>
        </w:tc>
        <w:tc>
          <w:tcPr>
            <w:tcW w:w="1067" w:type="dxa"/>
            <w:tcBorders>
              <w:tl2br w:val="nil"/>
              <w:tr2bl w:val="nil"/>
            </w:tcBorders>
            <w:noWrap w:val="0"/>
            <w:vAlign w:val="center"/>
          </w:tcPr>
          <w:p w14:paraId="295DD9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小型</w:t>
            </w:r>
          </w:p>
          <w:p w14:paraId="196494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机组</w:t>
            </w:r>
          </w:p>
        </w:tc>
        <w:tc>
          <w:tcPr>
            <w:tcW w:w="2668" w:type="dxa"/>
            <w:tcBorders>
              <w:tl2br w:val="nil"/>
              <w:tr2bl w:val="nil"/>
            </w:tcBorders>
            <w:noWrap w:val="0"/>
            <w:vAlign w:val="center"/>
          </w:tcPr>
          <w:p w14:paraId="3F7198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结构简单，制造安装费用低，耐高温，不耗水。适用于粗尘</w:t>
            </w:r>
          </w:p>
        </w:tc>
        <w:tc>
          <w:tcPr>
            <w:tcW w:w="2668" w:type="dxa"/>
            <w:tcBorders>
              <w:tl2br w:val="nil"/>
              <w:tr2bl w:val="nil"/>
            </w:tcBorders>
            <w:noWrap w:val="0"/>
            <w:vAlign w:val="center"/>
          </w:tcPr>
          <w:p w14:paraId="15745A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除尘效率低，不能实现达标排放。</w:t>
            </w:r>
          </w:p>
        </w:tc>
      </w:tr>
      <w:tr w14:paraId="7D36B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7" w:type="dxa"/>
            <w:tcBorders>
              <w:tl2br w:val="nil"/>
              <w:tr2bl w:val="nil"/>
            </w:tcBorders>
            <w:noWrap w:val="0"/>
            <w:vAlign w:val="center"/>
          </w:tcPr>
          <w:p w14:paraId="4F01C7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湿式</w:t>
            </w:r>
          </w:p>
          <w:p w14:paraId="798EE2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除尘器</w:t>
            </w:r>
          </w:p>
        </w:tc>
        <w:tc>
          <w:tcPr>
            <w:tcW w:w="932" w:type="dxa"/>
            <w:tcBorders>
              <w:tl2br w:val="nil"/>
              <w:tr2bl w:val="nil"/>
            </w:tcBorders>
            <w:noWrap w:val="0"/>
            <w:vAlign w:val="center"/>
          </w:tcPr>
          <w:p w14:paraId="3D9CE5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90</w:t>
            </w:r>
            <w:r>
              <w:rPr>
                <w:rFonts w:hint="eastAsia" w:eastAsia="宋体" w:cs="Times New Roman"/>
                <w:caps w:val="0"/>
                <w:smallCaps w:val="0"/>
                <w:color w:val="auto"/>
                <w:kern w:val="0"/>
                <w:sz w:val="21"/>
                <w:szCs w:val="21"/>
                <w:highlight w:val="none"/>
                <w:lang w:eastAsia="zh-CN"/>
              </w:rPr>
              <w:t>~</w:t>
            </w:r>
            <w:r>
              <w:rPr>
                <w:rFonts w:hint="default" w:ascii="Times New Roman" w:hAnsi="Times New Roman" w:eastAsia="宋体" w:cs="Times New Roman"/>
                <w:caps w:val="0"/>
                <w:smallCaps w:val="0"/>
                <w:color w:val="auto"/>
                <w:kern w:val="0"/>
                <w:sz w:val="21"/>
                <w:szCs w:val="21"/>
                <w:highlight w:val="none"/>
              </w:rPr>
              <w:t>95</w:t>
            </w:r>
          </w:p>
        </w:tc>
        <w:tc>
          <w:tcPr>
            <w:tcW w:w="1067" w:type="dxa"/>
            <w:tcBorders>
              <w:tl2br w:val="nil"/>
              <w:tr2bl w:val="nil"/>
            </w:tcBorders>
            <w:noWrap w:val="0"/>
            <w:vAlign w:val="center"/>
          </w:tcPr>
          <w:p w14:paraId="71BB3B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中小型</w:t>
            </w:r>
          </w:p>
          <w:p w14:paraId="527820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机组</w:t>
            </w:r>
          </w:p>
        </w:tc>
        <w:tc>
          <w:tcPr>
            <w:tcW w:w="2668" w:type="dxa"/>
            <w:tcBorders>
              <w:tl2br w:val="nil"/>
              <w:tr2bl w:val="nil"/>
            </w:tcBorders>
            <w:noWrap w:val="0"/>
            <w:vAlign w:val="center"/>
          </w:tcPr>
          <w:p w14:paraId="484E2A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结构简单，造价低，维护管理方便，对SO</w:t>
            </w:r>
            <w:r>
              <w:rPr>
                <w:rFonts w:hint="default" w:ascii="Times New Roman" w:hAnsi="Times New Roman" w:eastAsia="宋体" w:cs="Times New Roman"/>
                <w:caps w:val="0"/>
                <w:smallCaps w:val="0"/>
                <w:color w:val="auto"/>
                <w:kern w:val="0"/>
                <w:sz w:val="21"/>
                <w:szCs w:val="21"/>
                <w:highlight w:val="none"/>
                <w:vertAlign w:val="subscript"/>
              </w:rPr>
              <w:t>2</w:t>
            </w:r>
            <w:r>
              <w:rPr>
                <w:rFonts w:hint="default" w:ascii="Times New Roman" w:hAnsi="Times New Roman" w:eastAsia="宋体" w:cs="Times New Roman"/>
                <w:caps w:val="0"/>
                <w:smallCaps w:val="0"/>
                <w:color w:val="auto"/>
                <w:kern w:val="0"/>
                <w:sz w:val="21"/>
                <w:szCs w:val="21"/>
                <w:highlight w:val="none"/>
              </w:rPr>
              <w:t>气体有一定去除效果。适用于粗尘、细粉尘</w:t>
            </w:r>
          </w:p>
        </w:tc>
        <w:tc>
          <w:tcPr>
            <w:tcW w:w="2668" w:type="dxa"/>
            <w:tcBorders>
              <w:tl2br w:val="nil"/>
              <w:tr2bl w:val="nil"/>
            </w:tcBorders>
            <w:noWrap w:val="0"/>
            <w:vAlign w:val="center"/>
          </w:tcPr>
          <w:p w14:paraId="574C0B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需消耗一定的水量，需处理灰水，排烟温度低，湿灰不利于综合利用。</w:t>
            </w:r>
          </w:p>
        </w:tc>
      </w:tr>
      <w:tr w14:paraId="7AD54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7" w:type="dxa"/>
            <w:tcBorders>
              <w:tl2br w:val="nil"/>
              <w:tr2bl w:val="nil"/>
            </w:tcBorders>
            <w:noWrap w:val="0"/>
            <w:vAlign w:val="center"/>
          </w:tcPr>
          <w:p w14:paraId="2A26E5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滤筒式、袋式除尘器</w:t>
            </w:r>
          </w:p>
        </w:tc>
        <w:tc>
          <w:tcPr>
            <w:tcW w:w="932" w:type="dxa"/>
            <w:tcBorders>
              <w:tl2br w:val="nil"/>
              <w:tr2bl w:val="nil"/>
            </w:tcBorders>
            <w:noWrap w:val="0"/>
            <w:vAlign w:val="center"/>
          </w:tcPr>
          <w:p w14:paraId="025601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99</w:t>
            </w:r>
            <w:r>
              <w:rPr>
                <w:rFonts w:hint="eastAsia" w:eastAsia="宋体" w:cs="Times New Roman"/>
                <w:caps w:val="0"/>
                <w:smallCaps w:val="0"/>
                <w:color w:val="auto"/>
                <w:kern w:val="0"/>
                <w:sz w:val="21"/>
                <w:szCs w:val="21"/>
                <w:highlight w:val="none"/>
                <w:lang w:eastAsia="zh-CN"/>
              </w:rPr>
              <w:t>~</w:t>
            </w:r>
            <w:r>
              <w:rPr>
                <w:rFonts w:hint="default" w:ascii="Times New Roman" w:hAnsi="Times New Roman" w:eastAsia="宋体" w:cs="Times New Roman"/>
                <w:caps w:val="0"/>
                <w:smallCaps w:val="0"/>
                <w:color w:val="auto"/>
                <w:kern w:val="0"/>
                <w:sz w:val="21"/>
                <w:szCs w:val="21"/>
                <w:highlight w:val="none"/>
              </w:rPr>
              <w:t>99.9</w:t>
            </w:r>
          </w:p>
        </w:tc>
        <w:tc>
          <w:tcPr>
            <w:tcW w:w="1067" w:type="dxa"/>
            <w:tcBorders>
              <w:tl2br w:val="nil"/>
              <w:tr2bl w:val="nil"/>
            </w:tcBorders>
            <w:noWrap w:val="0"/>
            <w:vAlign w:val="center"/>
          </w:tcPr>
          <w:p w14:paraId="1D98E8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大中小</w:t>
            </w:r>
          </w:p>
          <w:p w14:paraId="338A05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型机组</w:t>
            </w:r>
          </w:p>
        </w:tc>
        <w:tc>
          <w:tcPr>
            <w:tcW w:w="2668" w:type="dxa"/>
            <w:tcBorders>
              <w:tl2br w:val="nil"/>
              <w:tr2bl w:val="nil"/>
            </w:tcBorders>
            <w:noWrap w:val="0"/>
            <w:vAlign w:val="center"/>
          </w:tcPr>
          <w:p w14:paraId="0F6896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除尘效率高。结构较简单，维护操作较方便。在同样高的除尘效率条件下，采用耐高温滤料时，可在≤200℃下运行。适用于各种尘粒（粗尘、细粉尘、超细粉尘）</w:t>
            </w:r>
          </w:p>
        </w:tc>
        <w:tc>
          <w:tcPr>
            <w:tcW w:w="2668" w:type="dxa"/>
            <w:tcBorders>
              <w:tl2br w:val="nil"/>
              <w:tr2bl w:val="nil"/>
            </w:tcBorders>
            <w:noWrap w:val="0"/>
            <w:vAlign w:val="center"/>
          </w:tcPr>
          <w:p w14:paraId="557BB6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体积与占地面积较大，压力损失大，滤筒、滤袋质量要求严格，造价较高，运行费用高。</w:t>
            </w:r>
          </w:p>
        </w:tc>
      </w:tr>
      <w:tr w14:paraId="4AA50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tcBorders>
              <w:tl2br w:val="nil"/>
              <w:tr2bl w:val="nil"/>
            </w:tcBorders>
            <w:noWrap w:val="0"/>
            <w:vAlign w:val="center"/>
          </w:tcPr>
          <w:p w14:paraId="402099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电除尘器</w:t>
            </w:r>
          </w:p>
        </w:tc>
        <w:tc>
          <w:tcPr>
            <w:tcW w:w="932" w:type="dxa"/>
            <w:tcBorders>
              <w:tl2br w:val="nil"/>
              <w:tr2bl w:val="nil"/>
            </w:tcBorders>
            <w:noWrap w:val="0"/>
            <w:vAlign w:val="center"/>
          </w:tcPr>
          <w:p w14:paraId="301494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98</w:t>
            </w:r>
            <w:r>
              <w:rPr>
                <w:rFonts w:hint="eastAsia" w:eastAsia="宋体" w:cs="Times New Roman"/>
                <w:caps w:val="0"/>
                <w:smallCaps w:val="0"/>
                <w:color w:val="auto"/>
                <w:kern w:val="0"/>
                <w:sz w:val="21"/>
                <w:szCs w:val="21"/>
                <w:highlight w:val="none"/>
                <w:lang w:eastAsia="zh-CN"/>
              </w:rPr>
              <w:t>~</w:t>
            </w:r>
            <w:r>
              <w:rPr>
                <w:rFonts w:hint="default" w:ascii="Times New Roman" w:hAnsi="Times New Roman" w:eastAsia="宋体" w:cs="Times New Roman"/>
                <w:caps w:val="0"/>
                <w:smallCaps w:val="0"/>
                <w:color w:val="auto"/>
                <w:kern w:val="0"/>
                <w:sz w:val="21"/>
                <w:szCs w:val="21"/>
                <w:highlight w:val="none"/>
              </w:rPr>
              <w:t>99.9</w:t>
            </w:r>
          </w:p>
        </w:tc>
        <w:tc>
          <w:tcPr>
            <w:tcW w:w="1067" w:type="dxa"/>
            <w:tcBorders>
              <w:tl2br w:val="nil"/>
              <w:tr2bl w:val="nil"/>
            </w:tcBorders>
            <w:noWrap w:val="0"/>
            <w:vAlign w:val="center"/>
          </w:tcPr>
          <w:p w14:paraId="41C61D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大中型</w:t>
            </w:r>
          </w:p>
          <w:p w14:paraId="13B533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机组</w:t>
            </w:r>
          </w:p>
        </w:tc>
        <w:tc>
          <w:tcPr>
            <w:tcW w:w="2668" w:type="dxa"/>
            <w:tcBorders>
              <w:tl2br w:val="nil"/>
              <w:tr2bl w:val="nil"/>
            </w:tcBorders>
            <w:noWrap w:val="0"/>
            <w:vAlign w:val="center"/>
          </w:tcPr>
          <w:p w14:paraId="1D70D3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除尘效率高。能耗低，处理烟气量大，耐高温，运行费用低。适用于各种尘粒</w:t>
            </w:r>
          </w:p>
        </w:tc>
        <w:tc>
          <w:tcPr>
            <w:tcW w:w="2668" w:type="dxa"/>
            <w:tcBorders>
              <w:tl2br w:val="nil"/>
              <w:tr2bl w:val="nil"/>
            </w:tcBorders>
            <w:noWrap w:val="0"/>
            <w:vAlign w:val="center"/>
          </w:tcPr>
          <w:p w14:paraId="15C57A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耗钢量大，占地面积大，一次性投资量大，对制造安装要求严格。应用范围受粉尘比电阻限制。适用于比电阻范围在1（10</w:t>
            </w:r>
            <w:r>
              <w:rPr>
                <w:rFonts w:hint="default" w:ascii="Times New Roman" w:hAnsi="Times New Roman" w:eastAsia="宋体" w:cs="Times New Roman"/>
                <w:caps w:val="0"/>
                <w:smallCaps w:val="0"/>
                <w:color w:val="auto"/>
                <w:kern w:val="0"/>
                <w:sz w:val="21"/>
                <w:szCs w:val="21"/>
                <w:highlight w:val="none"/>
                <w:vertAlign w:val="superscript"/>
              </w:rPr>
              <w:t>4</w:t>
            </w:r>
            <w:r>
              <w:rPr>
                <w:rFonts w:hint="default" w:ascii="Times New Roman" w:hAnsi="Times New Roman" w:eastAsia="宋体" w:cs="Times New Roman"/>
                <w:caps w:val="0"/>
                <w:smallCaps w:val="0"/>
                <w:color w:val="auto"/>
                <w:kern w:val="0"/>
                <w:sz w:val="21"/>
                <w:szCs w:val="21"/>
                <w:highlight w:val="none"/>
              </w:rPr>
              <w:t>～5（10</w:t>
            </w:r>
            <w:r>
              <w:rPr>
                <w:rFonts w:hint="default" w:ascii="Times New Roman" w:hAnsi="Times New Roman" w:eastAsia="宋体" w:cs="Times New Roman"/>
                <w:caps w:val="0"/>
                <w:smallCaps w:val="0"/>
                <w:color w:val="auto"/>
                <w:kern w:val="0"/>
                <w:sz w:val="21"/>
                <w:szCs w:val="21"/>
                <w:highlight w:val="none"/>
                <w:vertAlign w:val="superscript"/>
              </w:rPr>
              <w:t>11</w:t>
            </w:r>
            <w:r>
              <w:rPr>
                <w:rFonts w:hint="default" w:ascii="Times New Roman" w:hAnsi="Times New Roman" w:eastAsia="宋体" w:cs="Times New Roman"/>
                <w:caps w:val="0"/>
                <w:smallCaps w:val="0"/>
                <w:color w:val="auto"/>
                <w:kern w:val="0"/>
                <w:sz w:val="21"/>
                <w:szCs w:val="21"/>
                <w:highlight w:val="none"/>
              </w:rPr>
              <w:t>Ω·cm之间。</w:t>
            </w:r>
          </w:p>
        </w:tc>
      </w:tr>
    </w:tbl>
    <w:p w14:paraId="7EC1F07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由</w:t>
      </w:r>
      <w:r>
        <w:rPr>
          <w:rFonts w:hint="eastAsia" w:ascii="Times New Roman" w:hAnsi="Times New Roman" w:eastAsia="宋体" w:cs="Times New Roman"/>
          <w:b w:val="0"/>
          <w:bCs w:val="0"/>
          <w:color w:val="auto"/>
          <w:sz w:val="24"/>
          <w:szCs w:val="24"/>
          <w:highlight w:val="none"/>
          <w:lang w:val="en-US" w:eastAsia="zh-CN"/>
        </w:rPr>
        <w:t>6.2-1</w:t>
      </w:r>
      <w:r>
        <w:rPr>
          <w:rFonts w:hint="default" w:ascii="Times New Roman" w:hAnsi="Times New Roman" w:eastAsia="宋体" w:cs="Times New Roman"/>
          <w:b w:val="0"/>
          <w:bCs w:val="0"/>
          <w:color w:val="auto"/>
          <w:sz w:val="24"/>
          <w:szCs w:val="24"/>
          <w:highlight w:val="none"/>
        </w:rPr>
        <w:t>可知，只有滤筒式、袋式除尘器、电除尘器除尘效率能达到98%以上，企业粉尘颗粒较大，</w:t>
      </w:r>
      <w:r>
        <w:rPr>
          <w:rFonts w:hint="eastAsia" w:ascii="Times New Roman" w:hAnsi="Times New Roman" w:eastAsia="宋体" w:cs="Times New Roman"/>
          <w:b w:val="0"/>
          <w:bCs w:val="0"/>
          <w:color w:val="auto"/>
          <w:sz w:val="24"/>
          <w:szCs w:val="24"/>
          <w:highlight w:val="none"/>
          <w:lang w:eastAsia="zh-CN"/>
        </w:rPr>
        <w:t>静电除尘器</w:t>
      </w:r>
      <w:r>
        <w:rPr>
          <w:rFonts w:hint="default" w:ascii="Times New Roman" w:hAnsi="Times New Roman" w:eastAsia="宋体" w:cs="Times New Roman"/>
          <w:b w:val="0"/>
          <w:bCs w:val="0"/>
          <w:color w:val="auto"/>
          <w:sz w:val="24"/>
          <w:szCs w:val="24"/>
          <w:highlight w:val="none"/>
        </w:rPr>
        <w:t>能耗高，投资大，适合处理电厂等企业的细粒粉尘，滤筒和袋式除尘器体积与占地面积较大，压力损失大，滤筒、滤袋质量要求严格，容易烧袋、破损，需要定期更换，造价较高，运行费用高。本项目配套的</w:t>
      </w:r>
      <w:r>
        <w:rPr>
          <w:rFonts w:hint="eastAsia" w:ascii="Times New Roman" w:hAnsi="Times New Roman" w:eastAsia="宋体" w:cs="Times New Roman"/>
          <w:b w:val="0"/>
          <w:bCs w:val="0"/>
          <w:color w:val="auto"/>
          <w:sz w:val="24"/>
          <w:szCs w:val="24"/>
          <w:highlight w:val="none"/>
          <w:lang w:eastAsia="zh-CN"/>
        </w:rPr>
        <w:t>脉冲袋式除尘器</w:t>
      </w:r>
      <w:r>
        <w:rPr>
          <w:rFonts w:hint="default" w:ascii="Times New Roman" w:hAnsi="Times New Roman" w:eastAsia="宋体" w:cs="Times New Roman"/>
          <w:b w:val="0"/>
          <w:bCs w:val="0"/>
          <w:color w:val="auto"/>
          <w:sz w:val="24"/>
          <w:szCs w:val="24"/>
          <w:highlight w:val="none"/>
        </w:rPr>
        <w:t>兼具湿式除尘、干法除尘和电除尘优点，技术可靠，工艺成熟，经济可行。</w:t>
      </w:r>
    </w:p>
    <w:p w14:paraId="786D235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（2）</w:t>
      </w:r>
      <w:r>
        <w:rPr>
          <w:rFonts w:ascii="Times New Roman" w:hAnsi="Times New Roman" w:eastAsia="宋体" w:cs="Times New Roman"/>
          <w:b w:val="0"/>
          <w:bCs w:val="0"/>
          <w:color w:val="auto"/>
          <w:sz w:val="24"/>
          <w:szCs w:val="24"/>
          <w:highlight w:val="none"/>
        </w:rPr>
        <w:t>本项目生产过程中所排放的工艺废气主要为</w:t>
      </w:r>
      <w:r>
        <w:rPr>
          <w:rFonts w:hint="eastAsia" w:ascii="Times New Roman" w:hAnsi="Times New Roman" w:eastAsia="宋体" w:cs="Times New Roman"/>
          <w:b w:val="0"/>
          <w:bCs w:val="0"/>
          <w:color w:val="auto"/>
          <w:sz w:val="24"/>
          <w:szCs w:val="24"/>
          <w:highlight w:val="none"/>
        </w:rPr>
        <w:t>硫酸雾，</w:t>
      </w:r>
      <w:r>
        <w:rPr>
          <w:rFonts w:hint="eastAsia" w:cs="Times New Roman"/>
          <w:b w:val="0"/>
          <w:bCs w:val="0"/>
          <w:color w:val="auto"/>
          <w:sz w:val="24"/>
          <w:szCs w:val="24"/>
          <w:highlight w:val="none"/>
          <w:lang w:eastAsia="zh-CN"/>
        </w:rPr>
        <w:t>电积槽</w:t>
      </w:r>
      <w:r>
        <w:rPr>
          <w:rFonts w:ascii="Times New Roman" w:hAnsi="Times New Roman" w:eastAsia="宋体" w:cs="Times New Roman"/>
          <w:b w:val="0"/>
          <w:bCs w:val="0"/>
          <w:color w:val="auto"/>
          <w:sz w:val="24"/>
          <w:szCs w:val="24"/>
          <w:highlight w:val="none"/>
        </w:rPr>
        <w:t>内加入酸雾抑制剂FC-1100来减少酸雾的挥发，酸雾抑制剂在电积开始前直接加入到电积槽中，</w:t>
      </w:r>
      <w:r>
        <w:rPr>
          <w:rFonts w:hint="eastAsia" w:ascii="Times New Roman" w:hAnsi="Times New Roman" w:eastAsia="宋体" w:cs="Times New Roman"/>
          <w:b w:val="0"/>
          <w:bCs w:val="0"/>
          <w:color w:val="auto"/>
          <w:sz w:val="24"/>
          <w:szCs w:val="24"/>
          <w:highlight w:val="none"/>
        </w:rPr>
        <w:t>可减少</w:t>
      </w:r>
      <w:r>
        <w:rPr>
          <w:rFonts w:hint="eastAsia" w:ascii="Times New Roman" w:hAnsi="Times New Roman" w:eastAsia="宋体" w:cs="Times New Roman"/>
          <w:b w:val="0"/>
          <w:bCs w:val="0"/>
          <w:color w:val="auto"/>
          <w:sz w:val="24"/>
          <w:szCs w:val="24"/>
          <w:highlight w:val="none"/>
          <w:lang w:val="en-US" w:eastAsia="zh-CN"/>
        </w:rPr>
        <w:t>50</w:t>
      </w:r>
      <w:r>
        <w:rPr>
          <w:rFonts w:hint="eastAsia" w:ascii="Times New Roman" w:hAnsi="Times New Roman" w:eastAsia="宋体" w:cs="Times New Roman"/>
          <w:b w:val="0"/>
          <w:bCs w:val="0"/>
          <w:color w:val="auto"/>
          <w:sz w:val="24"/>
          <w:szCs w:val="24"/>
          <w:highlight w:val="none"/>
        </w:rPr>
        <w:t>%硫酸雾挥发，</w:t>
      </w:r>
      <w:r>
        <w:rPr>
          <w:rFonts w:ascii="Times New Roman" w:hAnsi="Times New Roman" w:eastAsia="宋体" w:cs="Times New Roman"/>
          <w:b w:val="0"/>
          <w:bCs w:val="0"/>
          <w:color w:val="auto"/>
          <w:sz w:val="24"/>
          <w:szCs w:val="24"/>
          <w:highlight w:val="none"/>
        </w:rPr>
        <w:t>电积槽</w:t>
      </w:r>
      <w:r>
        <w:rPr>
          <w:rFonts w:hint="eastAsia" w:ascii="Times New Roman" w:hAnsi="Times New Roman" w:eastAsia="宋体" w:cs="Times New Roman"/>
          <w:b w:val="0"/>
          <w:bCs w:val="0"/>
          <w:color w:val="auto"/>
          <w:sz w:val="24"/>
          <w:szCs w:val="24"/>
          <w:highlight w:val="none"/>
        </w:rPr>
        <w:t>上方设置集气收集装置，硫酸雾经集气罩收集后经1座碱液吸收塔处理，处理后经15m高的排气筒排放，主要污染物硫酸雾集气罩收集效率为95%，去除效率为</w:t>
      </w:r>
      <w:r>
        <w:rPr>
          <w:rFonts w:hint="eastAsia" w:ascii="Times New Roman" w:hAnsi="Times New Roman" w:eastAsia="宋体" w:cs="Times New Roman"/>
          <w:b w:val="0"/>
          <w:bCs w:val="0"/>
          <w:color w:val="auto"/>
          <w:sz w:val="24"/>
          <w:szCs w:val="24"/>
          <w:highlight w:val="none"/>
          <w:lang w:val="en-US" w:eastAsia="zh-CN"/>
        </w:rPr>
        <w:t>80</w:t>
      </w:r>
      <w:r>
        <w:rPr>
          <w:rFonts w:hint="eastAsia" w:ascii="Times New Roman" w:hAnsi="Times New Roman" w:eastAsia="宋体" w:cs="Times New Roman"/>
          <w:b w:val="0"/>
          <w:bCs w:val="0"/>
          <w:color w:val="auto"/>
          <w:sz w:val="24"/>
          <w:szCs w:val="24"/>
          <w:highlight w:val="none"/>
        </w:rPr>
        <w:t>%。</w:t>
      </w:r>
    </w:p>
    <w:p w14:paraId="1F4D739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尾气处理采用</w:t>
      </w:r>
      <w:r>
        <w:rPr>
          <w:rFonts w:hint="eastAsia" w:ascii="Times New Roman" w:hAnsi="Times New Roman" w:eastAsia="宋体" w:cs="Times New Roman"/>
          <w:b w:val="0"/>
          <w:bCs w:val="0"/>
          <w:color w:val="auto"/>
          <w:sz w:val="24"/>
          <w:szCs w:val="24"/>
          <w:highlight w:val="none"/>
        </w:rPr>
        <w:t>碱液</w:t>
      </w:r>
      <w:r>
        <w:rPr>
          <w:rFonts w:ascii="Times New Roman" w:hAnsi="Times New Roman" w:eastAsia="宋体" w:cs="Times New Roman"/>
          <w:b w:val="0"/>
          <w:bCs w:val="0"/>
          <w:color w:val="auto"/>
          <w:sz w:val="24"/>
          <w:szCs w:val="24"/>
          <w:highlight w:val="none"/>
        </w:rPr>
        <w:t>吸收塔</w:t>
      </w:r>
      <w:r>
        <w:rPr>
          <w:rFonts w:hint="eastAsia" w:ascii="Times New Roman" w:hAnsi="Times New Roman" w:eastAsia="宋体" w:cs="Times New Roman"/>
          <w:b w:val="0"/>
          <w:bCs w:val="0"/>
          <w:color w:val="auto"/>
          <w:sz w:val="24"/>
          <w:szCs w:val="24"/>
          <w:highlight w:val="none"/>
          <w:lang w:val="en-US" w:eastAsia="zh-CN"/>
        </w:rPr>
        <w:t>进行处理</w:t>
      </w:r>
      <w:r>
        <w:rPr>
          <w:rFonts w:ascii="Times New Roman" w:hAnsi="Times New Roman" w:eastAsia="宋体" w:cs="Times New Roman"/>
          <w:b w:val="0"/>
          <w:bCs w:val="0"/>
          <w:color w:val="auto"/>
          <w:sz w:val="24"/>
          <w:szCs w:val="24"/>
          <w:highlight w:val="none"/>
        </w:rPr>
        <w:t>，以</w:t>
      </w:r>
      <w:r>
        <w:rPr>
          <w:rFonts w:hint="eastAsia" w:ascii="Times New Roman" w:hAnsi="Times New Roman" w:eastAsia="宋体" w:cs="Times New Roman"/>
          <w:b w:val="0"/>
          <w:bCs w:val="0"/>
          <w:color w:val="auto"/>
          <w:sz w:val="24"/>
          <w:szCs w:val="24"/>
          <w:highlight w:val="none"/>
          <w:lang w:val="en-US" w:eastAsia="zh-CN"/>
        </w:rPr>
        <w:t>氢氧化钠</w:t>
      </w:r>
      <w:r>
        <w:rPr>
          <w:rFonts w:hint="eastAsia" w:ascii="Times New Roman" w:hAnsi="Times New Roman" w:eastAsia="宋体" w:cs="Times New Roman"/>
          <w:b w:val="0"/>
          <w:bCs w:val="0"/>
          <w:color w:val="auto"/>
          <w:sz w:val="24"/>
          <w:szCs w:val="24"/>
          <w:highlight w:val="none"/>
        </w:rPr>
        <w:t>溶液</w:t>
      </w:r>
      <w:r>
        <w:rPr>
          <w:rFonts w:ascii="Times New Roman" w:hAnsi="Times New Roman" w:eastAsia="宋体" w:cs="Times New Roman"/>
          <w:b w:val="0"/>
          <w:bCs w:val="0"/>
          <w:color w:val="auto"/>
          <w:sz w:val="24"/>
          <w:szCs w:val="24"/>
          <w:highlight w:val="none"/>
        </w:rPr>
        <w:t>为吸收液，通过泵循环将吸收液均匀喷洒塔内，吸收排出</w:t>
      </w:r>
      <w:r>
        <w:rPr>
          <w:rFonts w:hint="eastAsia" w:ascii="Times New Roman" w:hAnsi="Times New Roman" w:eastAsia="宋体" w:cs="Times New Roman"/>
          <w:b w:val="0"/>
          <w:bCs w:val="0"/>
          <w:color w:val="auto"/>
          <w:sz w:val="24"/>
          <w:szCs w:val="24"/>
          <w:highlight w:val="none"/>
        </w:rPr>
        <w:t>硫酸雾</w:t>
      </w:r>
      <w:r>
        <w:rPr>
          <w:rFonts w:ascii="Times New Roman" w:hAnsi="Times New Roman" w:eastAsia="宋体" w:cs="Times New Roman"/>
          <w:b w:val="0"/>
          <w:bCs w:val="0"/>
          <w:color w:val="auto"/>
          <w:sz w:val="24"/>
          <w:szCs w:val="24"/>
          <w:highlight w:val="none"/>
        </w:rPr>
        <w:t>，处理效率</w:t>
      </w:r>
      <w:r>
        <w:rPr>
          <w:rFonts w:hint="eastAsia" w:ascii="Times New Roman" w:hAnsi="Times New Roman" w:eastAsia="宋体" w:cs="Times New Roman"/>
          <w:b w:val="0"/>
          <w:bCs w:val="0"/>
          <w:color w:val="auto"/>
          <w:sz w:val="24"/>
          <w:szCs w:val="24"/>
          <w:highlight w:val="none"/>
          <w:lang w:val="en-US" w:eastAsia="zh-CN"/>
        </w:rPr>
        <w:t>80</w:t>
      </w:r>
      <w:r>
        <w:rPr>
          <w:rFonts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最终废碱液作为危废进行处置</w:t>
      </w:r>
      <w:r>
        <w:rPr>
          <w:rFonts w:hint="eastAsia" w:ascii="Times New Roman" w:hAnsi="Times New Roman" w:eastAsia="宋体" w:cs="Times New Roman"/>
          <w:b w:val="0"/>
          <w:bCs w:val="0"/>
          <w:color w:val="auto"/>
          <w:sz w:val="24"/>
          <w:szCs w:val="24"/>
          <w:highlight w:val="none"/>
        </w:rPr>
        <w:t>。</w:t>
      </w:r>
    </w:p>
    <w:p w14:paraId="1F889DA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碱液吸收塔工作原理是将气体中的污染物质分离出来，转化为无害物质，以达到净化气体的目的。它属于微分接触逆流式，塔体内的填料是气液两相接触的基本构件。塔体外部的气体进入塔体后进入填料层，填料层上有</w:t>
      </w:r>
      <w:r>
        <w:rPr>
          <w:rFonts w:hint="eastAsia" w:ascii="Times New Roman" w:hAnsi="Times New Roman" w:eastAsia="宋体" w:cs="Times New Roman"/>
          <w:b w:val="0"/>
          <w:bCs w:val="0"/>
          <w:color w:val="auto"/>
          <w:sz w:val="24"/>
          <w:szCs w:val="24"/>
          <w:highlight w:val="none"/>
          <w:lang w:eastAsia="zh-CN"/>
        </w:rPr>
        <w:t>来自</w:t>
      </w:r>
      <w:r>
        <w:rPr>
          <w:rFonts w:hint="eastAsia" w:ascii="Times New Roman" w:hAnsi="Times New Roman" w:eastAsia="宋体" w:cs="Times New Roman"/>
          <w:b w:val="0"/>
          <w:bCs w:val="0"/>
          <w:color w:val="auto"/>
          <w:sz w:val="24"/>
          <w:szCs w:val="24"/>
          <w:highlight w:val="none"/>
        </w:rPr>
        <w:t>顶部的喷淋液形成的液膜，气体流经填料空隙时，与填料液膜接触并进行吸收或中和反应，填料层能提供足够大的表面积，对气体流动又不致造成过大的阻力，经吸收或中和后的气体经除雾器收集后，经出风口排出塔外。</w:t>
      </w:r>
    </w:p>
    <w:p w14:paraId="54689A8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废气由</w:t>
      </w:r>
      <w:r>
        <w:rPr>
          <w:rFonts w:hint="eastAsia" w:ascii="Times New Roman" w:hAnsi="Times New Roman" w:eastAsia="宋体" w:cs="Times New Roman"/>
          <w:b w:val="0"/>
          <w:bCs w:val="0"/>
          <w:color w:val="auto"/>
          <w:sz w:val="24"/>
          <w:szCs w:val="24"/>
          <w:highlight w:val="none"/>
        </w:rPr>
        <w:t>氮气吹扫</w:t>
      </w:r>
      <w:r>
        <w:rPr>
          <w:rFonts w:ascii="Times New Roman" w:hAnsi="Times New Roman" w:eastAsia="宋体" w:cs="Times New Roman"/>
          <w:b w:val="0"/>
          <w:bCs w:val="0"/>
          <w:color w:val="auto"/>
          <w:sz w:val="24"/>
          <w:szCs w:val="24"/>
          <w:highlight w:val="none"/>
        </w:rPr>
        <w:t>，自下而上穿过填料层；循环吸收剂由塔顶通过液体分布器，均匀地喷淋到填料层中，沿着填料层表面向下流动，进入循环水箱。由于上升气流和下降吸收剂在填料中不断接触，上升气流中流质的浓度越来越低，到塔顶时达到排放要求。液膜上的液体在重力作用下流入储液箱，并由循环泵抽出循环。</w:t>
      </w:r>
    </w:p>
    <w:p w14:paraId="6DB62CD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吸收剂是处理废气的主要媒体，本项目选用</w:t>
      </w:r>
      <w:r>
        <w:rPr>
          <w:rFonts w:hint="eastAsia" w:ascii="Times New Roman" w:hAnsi="Times New Roman" w:eastAsia="宋体" w:cs="Times New Roman"/>
          <w:b w:val="0"/>
          <w:bCs w:val="0"/>
          <w:color w:val="auto"/>
          <w:sz w:val="24"/>
          <w:szCs w:val="24"/>
          <w:highlight w:val="none"/>
          <w:lang w:val="en-US" w:eastAsia="zh-CN"/>
        </w:rPr>
        <w:t>氢氧化钠</w:t>
      </w:r>
      <w:r>
        <w:rPr>
          <w:rFonts w:hint="eastAsia" w:ascii="Times New Roman" w:hAnsi="Times New Roman" w:eastAsia="宋体" w:cs="Times New Roman"/>
          <w:b w:val="0"/>
          <w:bCs w:val="0"/>
          <w:color w:val="auto"/>
          <w:sz w:val="24"/>
          <w:szCs w:val="24"/>
          <w:highlight w:val="none"/>
        </w:rPr>
        <w:t>作为吸收剂，装置吸收的气体主要为硫酸雾。</w:t>
      </w:r>
    </w:p>
    <w:p w14:paraId="09C91A4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本项目生产过程中所排放的工艺废气主要为硫酸雾</w:t>
      </w:r>
      <w:r>
        <w:rPr>
          <w:rFonts w:hint="eastAsia" w:ascii="Times New Roman" w:hAnsi="Times New Roman" w:eastAsia="宋体" w:cs="Times New Roman"/>
          <w:b w:val="0"/>
          <w:bCs w:val="0"/>
          <w:color w:val="auto"/>
          <w:sz w:val="24"/>
          <w:szCs w:val="24"/>
          <w:highlight w:val="none"/>
          <w:lang w:val="en-US" w:eastAsia="zh-CN"/>
        </w:rPr>
        <w:t>及非甲烷总烃</w:t>
      </w:r>
      <w:r>
        <w:rPr>
          <w:rFonts w:hint="eastAsia"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eastAsia="zh-CN"/>
        </w:rPr>
        <w:t>电积槽</w:t>
      </w:r>
      <w:r>
        <w:rPr>
          <w:rFonts w:hint="eastAsia" w:ascii="Times New Roman" w:hAnsi="Times New Roman" w:eastAsia="宋体" w:cs="Times New Roman"/>
          <w:b w:val="0"/>
          <w:bCs w:val="0"/>
          <w:color w:val="auto"/>
          <w:sz w:val="24"/>
          <w:szCs w:val="24"/>
          <w:highlight w:val="none"/>
        </w:rPr>
        <w:t>内加入酸雾抑制剂FC-1100来减少酸雾的挥发，可减少</w:t>
      </w:r>
      <w:r>
        <w:rPr>
          <w:rFonts w:hint="eastAsia" w:ascii="Times New Roman" w:hAnsi="Times New Roman" w:eastAsia="宋体" w:cs="Times New Roman"/>
          <w:b w:val="0"/>
          <w:bCs w:val="0"/>
          <w:color w:val="auto"/>
          <w:sz w:val="24"/>
          <w:szCs w:val="24"/>
          <w:highlight w:val="none"/>
          <w:lang w:val="en-US" w:eastAsia="zh-CN"/>
        </w:rPr>
        <w:t>50</w:t>
      </w:r>
      <w:r>
        <w:rPr>
          <w:rFonts w:hint="eastAsia" w:ascii="Times New Roman" w:hAnsi="Times New Roman" w:eastAsia="宋体" w:cs="Times New Roman"/>
          <w:b w:val="0"/>
          <w:bCs w:val="0"/>
          <w:color w:val="auto"/>
          <w:sz w:val="24"/>
          <w:szCs w:val="24"/>
          <w:highlight w:val="none"/>
        </w:rPr>
        <w:t>%硫酸雾挥发，电积槽上方设置集气收集装置，硫酸雾经集气罩收集后经碱液吸收塔处理，处理后经15m高的排气筒排放，外排废气浓度能够满足《铜、镍、钴工业污染物排放标准》（GB25467-2010）大气污染物浓度限值（40mg/m</w:t>
      </w:r>
      <w:r>
        <w:rPr>
          <w:rFonts w:hint="eastAsia" w:ascii="Times New Roman" w:hAnsi="Times New Roman" w:eastAsia="宋体" w:cs="Times New Roman"/>
          <w:b w:val="0"/>
          <w:bCs w:val="0"/>
          <w:color w:val="auto"/>
          <w:sz w:val="24"/>
          <w:szCs w:val="24"/>
          <w:highlight w:val="none"/>
          <w:vertAlign w:val="superscript"/>
        </w:rPr>
        <w:t>3</w:t>
      </w:r>
      <w:r>
        <w:rPr>
          <w:rFonts w:hint="eastAsia"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非甲烷总烃</w:t>
      </w:r>
      <w:r>
        <w:rPr>
          <w:rFonts w:hint="eastAsia" w:ascii="Times New Roman" w:hAnsi="Times New Roman" w:eastAsia="宋体" w:cs="Times New Roman"/>
          <w:b w:val="0"/>
          <w:bCs w:val="0"/>
          <w:color w:val="auto"/>
          <w:sz w:val="24"/>
          <w:szCs w:val="24"/>
          <w:highlight w:val="none"/>
        </w:rPr>
        <w:t>废气</w:t>
      </w:r>
      <w:r>
        <w:rPr>
          <w:rFonts w:hint="eastAsia" w:ascii="Times New Roman" w:hAnsi="Times New Roman" w:eastAsia="宋体" w:cs="Times New Roman"/>
          <w:b w:val="0"/>
          <w:bCs w:val="0"/>
          <w:color w:val="auto"/>
          <w:sz w:val="24"/>
          <w:szCs w:val="24"/>
          <w:highlight w:val="none"/>
          <w:lang w:val="en-US" w:eastAsia="zh-CN"/>
        </w:rPr>
        <w:t>排放</w:t>
      </w:r>
      <w:r>
        <w:rPr>
          <w:rFonts w:hint="eastAsia" w:ascii="Times New Roman" w:hAnsi="Times New Roman" w:eastAsia="宋体" w:cs="Times New Roman"/>
          <w:b w:val="0"/>
          <w:bCs w:val="0"/>
          <w:color w:val="auto"/>
          <w:sz w:val="24"/>
          <w:szCs w:val="24"/>
          <w:highlight w:val="none"/>
        </w:rPr>
        <w:t>浓度能够满足《大气污染物综合排放标准》（GB16297-1996）表2新污染源大气污染物排放限值。</w:t>
      </w:r>
    </w:p>
    <w:p w14:paraId="278E4AC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该措施属于《铜冶炼污染防治可行技术指南（试行）》中湿法炼铜污染防治可行措施，</w:t>
      </w:r>
      <w:r>
        <w:rPr>
          <w:rFonts w:hint="eastAsia" w:ascii="Times New Roman" w:hAnsi="Times New Roman" w:eastAsia="宋体" w:cs="Times New Roman"/>
          <w:b w:val="0"/>
          <w:bCs w:val="0"/>
          <w:color w:val="auto"/>
          <w:sz w:val="24"/>
          <w:szCs w:val="24"/>
          <w:highlight w:val="none"/>
        </w:rPr>
        <w:t>因此本项目硫酸雾处理措施可行。</w:t>
      </w:r>
    </w:p>
    <w:p w14:paraId="6C2EB2A3">
      <w:pPr>
        <w:pageBreakBefore w:val="0"/>
        <w:wordWrap/>
        <w:topLinePunct w:val="0"/>
        <w:bidi w:val="0"/>
        <w:adjustRightInd w:val="0"/>
        <w:snapToGrid w:val="0"/>
        <w:spacing w:line="440" w:lineRule="exact"/>
        <w:ind w:left="0" w:leftChars="0" w:right="0" w:firstLine="482"/>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6.2.1.2无组织废气处置措施</w:t>
      </w:r>
    </w:p>
    <w:p w14:paraId="43CBBAF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kern w:val="2"/>
          <w:sz w:val="24"/>
          <w:szCs w:val="24"/>
          <w:highlight w:val="none"/>
          <w:lang w:val="en-US" w:eastAsia="zh-CN" w:bidi="ar-SA"/>
        </w:rPr>
        <w:t>（1）</w:t>
      </w:r>
      <w:r>
        <w:rPr>
          <w:rFonts w:hint="eastAsia" w:ascii="Times New Roman" w:hAnsi="Times New Roman" w:eastAsia="宋体" w:cs="Times New Roman"/>
          <w:b w:val="0"/>
          <w:bCs w:val="0"/>
          <w:color w:val="auto"/>
          <w:sz w:val="24"/>
          <w:szCs w:val="24"/>
          <w:highlight w:val="none"/>
        </w:rPr>
        <w:t>装卸粉尘</w:t>
      </w:r>
    </w:p>
    <w:p w14:paraId="219DACA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本项目低品位铜矿原料露天堆存，在装卸过程中产生一定的粉尘，为无组织排放。建设单位拟采取洒水降尘、降低装卸高度、禁止大风天作业等措施可减少扬尘约</w:t>
      </w:r>
      <w:r>
        <w:rPr>
          <w:rFonts w:hint="eastAsia" w:eastAsia="宋体" w:cs="Times New Roman"/>
          <w:b w:val="0"/>
          <w:bCs w:val="0"/>
          <w:color w:val="auto"/>
          <w:sz w:val="24"/>
          <w:szCs w:val="24"/>
          <w:highlight w:val="none"/>
          <w:lang w:val="en-US" w:eastAsia="zh-CN"/>
        </w:rPr>
        <w:t>80</w:t>
      </w:r>
      <w:r>
        <w:rPr>
          <w:rFonts w:ascii="Times New Roman" w:hAnsi="Times New Roman" w:eastAsia="宋体" w:cs="Times New Roman"/>
          <w:b w:val="0"/>
          <w:bCs w:val="0"/>
          <w:color w:val="auto"/>
          <w:sz w:val="24"/>
          <w:szCs w:val="24"/>
          <w:highlight w:val="none"/>
        </w:rPr>
        <w:t>%。</w:t>
      </w:r>
    </w:p>
    <w:p w14:paraId="20B1AB8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kern w:val="2"/>
          <w:sz w:val="24"/>
          <w:szCs w:val="24"/>
          <w:highlight w:val="none"/>
          <w:lang w:val="en-US" w:eastAsia="zh-CN" w:bidi="ar-SA"/>
        </w:rPr>
        <w:t>（2）</w:t>
      </w:r>
      <w:r>
        <w:rPr>
          <w:rFonts w:ascii="Times New Roman" w:hAnsi="Times New Roman" w:eastAsia="宋体" w:cs="Times New Roman"/>
          <w:b w:val="0"/>
          <w:bCs w:val="0"/>
          <w:color w:val="auto"/>
          <w:sz w:val="24"/>
          <w:szCs w:val="24"/>
          <w:highlight w:val="none"/>
        </w:rPr>
        <w:t>道路运输扬尘</w:t>
      </w:r>
    </w:p>
    <w:p w14:paraId="77C02BF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①加强道路养护。厂内及外部联络道路路面定期维护，可保证汽车平稳行驶，防止因汽车剧烈颠簸造成的扬尘。</w:t>
      </w:r>
    </w:p>
    <w:p w14:paraId="7D82267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②对工业场地内的道路进行硬化处理。</w:t>
      </w:r>
    </w:p>
    <w:p w14:paraId="2F4E1EE5">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③根据路面状况，经常清扫路面，定时洒水抑尘。</w:t>
      </w:r>
    </w:p>
    <w:p w14:paraId="0A49A17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④运输车辆加盖苫布，车速限制在15km/h以下，可有效控制粉尘的产生。</w:t>
      </w:r>
    </w:p>
    <w:p w14:paraId="20BB747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道路扬尘与车辆的沿路抛洒、路面结构及粉尘含水量有直接关系。通过道路的平整、控制车速及车辆苫盖等措施可有效减少物料的沿程抛洒；对工业场地内的道路硬化，并定期清扫，并对矿区联络道路每日定期洒水抑尘，可有效减少道路扬尘量的产生。道路硬化、洒水抑尘、限制车速、车辆加盖篷布或使用带盖箱体密封车是常用的道路扬尘治理技术，在矿山使用普遍，效果明显。评价认为上述道路扬尘污染防治措施是可行的</w:t>
      </w:r>
      <w:r>
        <w:rPr>
          <w:rFonts w:ascii="Times New Roman" w:hAnsi="Times New Roman" w:eastAsia="宋体" w:cs="Times New Roman"/>
          <w:b w:val="0"/>
          <w:bCs w:val="0"/>
          <w:color w:val="auto"/>
          <w:sz w:val="24"/>
          <w:szCs w:val="24"/>
          <w:highlight w:val="none"/>
        </w:rPr>
        <w:t>。</w:t>
      </w:r>
    </w:p>
    <w:p w14:paraId="24F8A811">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3</w:t>
      </w:r>
      <w:r>
        <w:rPr>
          <w:rFonts w:hint="eastAsia" w:ascii="Times New Roman" w:hAnsi="Times New Roman" w:cs="Times New Roman"/>
          <w:b w:val="0"/>
          <w:bCs w:val="0"/>
          <w:color w:val="auto"/>
          <w:sz w:val="24"/>
          <w:szCs w:val="24"/>
          <w:highlight w:val="none"/>
          <w:lang w:val="en-US" w:eastAsia="zh-CN"/>
        </w:rPr>
        <w:t>）硫酸储罐无组织废气</w:t>
      </w:r>
    </w:p>
    <w:p w14:paraId="1E72DEC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val="en-US" w:eastAsia="zh-CN"/>
        </w:rPr>
        <w:t>物料装卸时</w:t>
      </w:r>
      <w:r>
        <w:rPr>
          <w:rFonts w:hint="eastAsia" w:ascii="宋体" w:hAnsi="宋体" w:cs="宋体"/>
          <w:b w:val="0"/>
          <w:bCs w:val="0"/>
          <w:color w:val="auto"/>
          <w:sz w:val="24"/>
          <w:szCs w:val="24"/>
          <w:highlight w:val="none"/>
        </w:rPr>
        <w:t>保障物料的密封或密闭，减少过程损耗及排放</w:t>
      </w:r>
      <w:r>
        <w:rPr>
          <w:rFonts w:hint="eastAsia" w:ascii="宋体" w:hAnsi="宋体" w:cs="宋体"/>
          <w:b w:val="0"/>
          <w:bCs w:val="0"/>
          <w:color w:val="auto"/>
          <w:sz w:val="24"/>
          <w:szCs w:val="24"/>
          <w:highlight w:val="none"/>
          <w:lang w:eastAsia="zh-CN"/>
        </w:rPr>
        <w:t>。</w:t>
      </w:r>
      <w:r>
        <w:rPr>
          <w:rFonts w:ascii="Times New Roman" w:hAnsi="Times New Roman" w:eastAsia="宋体" w:cs="Times New Roman"/>
          <w:b w:val="0"/>
          <w:bCs w:val="0"/>
          <w:color w:val="auto"/>
          <w:sz w:val="24"/>
          <w:szCs w:val="24"/>
          <w:highlight w:val="none"/>
        </w:rPr>
        <w:t>对设备、管道、阀门经常检查、检修，保持装置气密性良好；加强管理，所有操作严格按照既定的规程进行</w:t>
      </w:r>
      <w:r>
        <w:rPr>
          <w:rFonts w:hint="eastAsia" w:ascii="Times New Roman" w:hAnsi="Times New Roman" w:eastAsia="宋体" w:cs="Times New Roman"/>
          <w:b w:val="0"/>
          <w:bCs w:val="0"/>
          <w:color w:val="auto"/>
          <w:sz w:val="24"/>
          <w:szCs w:val="24"/>
          <w:highlight w:val="none"/>
          <w:lang w:eastAsia="zh-CN"/>
        </w:rPr>
        <w:t>。</w:t>
      </w:r>
    </w:p>
    <w:p w14:paraId="0D52230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sz w:val="24"/>
          <w:szCs w:val="24"/>
          <w:highlight w:val="none"/>
          <w:lang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4</w:t>
      </w:r>
      <w:r>
        <w:rPr>
          <w:rFonts w:hint="eastAsia" w:cs="Times New Roman"/>
          <w:b w:val="0"/>
          <w:bCs w:val="0"/>
          <w:color w:val="auto"/>
          <w:sz w:val="24"/>
          <w:szCs w:val="24"/>
          <w:highlight w:val="none"/>
          <w:lang w:eastAsia="zh-CN"/>
        </w:rPr>
        <w:t>）萃取-电积间废气</w:t>
      </w:r>
    </w:p>
    <w:p w14:paraId="47739DE3">
      <w:pPr>
        <w:keepNext w:val="0"/>
        <w:keepLines w:val="0"/>
        <w:pageBreakBefore w:val="0"/>
        <w:kinsoku/>
        <w:wordWrap/>
        <w:overflowPunct/>
        <w:topLinePunct w:val="0"/>
        <w:autoSpaceDE/>
        <w:autoSpaceDN/>
        <w:bidi w:val="0"/>
        <w:snapToGrid w:val="0"/>
        <w:spacing w:line="360" w:lineRule="auto"/>
        <w:ind w:firstLine="464" w:firstLineChars="200"/>
        <w:textAlignment w:val="auto"/>
        <w:rPr>
          <w:rFonts w:ascii="Times New Roman" w:hAnsi="Times New Roman" w:eastAsia="宋体" w:cs="Times New Roman"/>
          <w:color w:val="auto"/>
          <w:spacing w:val="-4"/>
          <w:szCs w:val="20"/>
          <w:highlight w:val="none"/>
        </w:rPr>
      </w:pPr>
      <w:r>
        <w:rPr>
          <w:rFonts w:ascii="Times New Roman" w:hAnsi="Times New Roman" w:eastAsia="宋体" w:cs="Times New Roman"/>
          <w:color w:val="auto"/>
          <w:spacing w:val="-4"/>
          <w:szCs w:val="20"/>
          <w:highlight w:val="none"/>
        </w:rPr>
        <w:t>本项目生产过程中所排放的工艺废气主要为</w:t>
      </w:r>
      <w:r>
        <w:rPr>
          <w:rFonts w:hint="eastAsia" w:ascii="Times New Roman" w:hAnsi="Times New Roman" w:eastAsia="宋体" w:cs="Times New Roman"/>
          <w:color w:val="auto"/>
          <w:spacing w:val="-4"/>
          <w:szCs w:val="20"/>
          <w:highlight w:val="none"/>
        </w:rPr>
        <w:t>硫酸雾</w:t>
      </w:r>
      <w:r>
        <w:rPr>
          <w:rFonts w:hint="eastAsia" w:ascii="Times New Roman" w:hAnsi="Times New Roman" w:eastAsia="宋体" w:cs="Times New Roman"/>
          <w:color w:val="auto"/>
          <w:spacing w:val="-4"/>
          <w:szCs w:val="20"/>
          <w:highlight w:val="none"/>
          <w:lang w:val="en-US" w:eastAsia="zh-CN"/>
        </w:rPr>
        <w:t>及非甲烷总烃</w:t>
      </w:r>
      <w:r>
        <w:rPr>
          <w:rFonts w:hint="eastAsia" w:ascii="Times New Roman" w:hAnsi="Times New Roman" w:eastAsia="宋体" w:cs="Times New Roman"/>
          <w:color w:val="auto"/>
          <w:spacing w:val="-4"/>
          <w:szCs w:val="20"/>
          <w:highlight w:val="none"/>
        </w:rPr>
        <w:t>，</w:t>
      </w:r>
      <w:r>
        <w:rPr>
          <w:rFonts w:hint="eastAsia" w:cs="Times New Roman"/>
          <w:color w:val="auto"/>
          <w:spacing w:val="-4"/>
          <w:szCs w:val="20"/>
          <w:highlight w:val="none"/>
          <w:lang w:eastAsia="zh-CN"/>
        </w:rPr>
        <w:t>电积槽</w:t>
      </w:r>
      <w:r>
        <w:rPr>
          <w:rFonts w:ascii="Times New Roman" w:hAnsi="Times New Roman" w:eastAsia="宋体" w:cs="Times New Roman"/>
          <w:color w:val="auto"/>
          <w:spacing w:val="-4"/>
          <w:szCs w:val="20"/>
          <w:highlight w:val="none"/>
        </w:rPr>
        <w:t>内加入酸雾抑制剂FC-1100来减少酸雾的挥发，酸雾抑制剂在电积开始前直接加入到电积槽中，</w:t>
      </w:r>
      <w:r>
        <w:rPr>
          <w:rFonts w:hint="eastAsia" w:ascii="Times New Roman" w:hAnsi="Times New Roman" w:eastAsia="宋体" w:cs="Times New Roman"/>
          <w:color w:val="auto"/>
          <w:spacing w:val="-4"/>
          <w:szCs w:val="20"/>
          <w:highlight w:val="none"/>
        </w:rPr>
        <w:t>可减少</w:t>
      </w:r>
      <w:r>
        <w:rPr>
          <w:rFonts w:hint="eastAsia" w:ascii="Times New Roman" w:hAnsi="Times New Roman" w:eastAsia="宋体" w:cs="Times New Roman"/>
          <w:color w:val="auto"/>
          <w:spacing w:val="-4"/>
          <w:szCs w:val="20"/>
          <w:highlight w:val="none"/>
          <w:lang w:val="en-US" w:eastAsia="zh-CN"/>
        </w:rPr>
        <w:t>50</w:t>
      </w:r>
      <w:r>
        <w:rPr>
          <w:rFonts w:hint="eastAsia" w:ascii="Times New Roman" w:hAnsi="Times New Roman" w:eastAsia="宋体" w:cs="Times New Roman"/>
          <w:color w:val="auto"/>
          <w:spacing w:val="-4"/>
          <w:szCs w:val="20"/>
          <w:highlight w:val="none"/>
        </w:rPr>
        <w:t>%硫酸雾挥发，</w:t>
      </w:r>
      <w:r>
        <w:rPr>
          <w:rFonts w:hint="eastAsia" w:ascii="Times New Roman" w:hAnsi="Times New Roman" w:eastAsia="宋体" w:cs="Times New Roman"/>
          <w:color w:val="auto"/>
          <w:spacing w:val="-4"/>
          <w:szCs w:val="20"/>
          <w:highlight w:val="none"/>
          <w:lang w:val="en-US" w:eastAsia="zh-CN"/>
        </w:rPr>
        <w:t>车间采取通风措施</w:t>
      </w:r>
      <w:r>
        <w:rPr>
          <w:rFonts w:hint="eastAsia" w:ascii="Times New Roman" w:hAnsi="Times New Roman" w:eastAsia="宋体" w:cs="Times New Roman"/>
          <w:color w:val="auto"/>
          <w:spacing w:val="-4"/>
          <w:szCs w:val="20"/>
          <w:highlight w:val="none"/>
        </w:rPr>
        <w:t>。</w:t>
      </w:r>
    </w:p>
    <w:p w14:paraId="220A0229">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（5）矿仓无组织排放</w:t>
      </w:r>
    </w:p>
    <w:p w14:paraId="6AD329ED">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原矿仓位于选厂车间内，原矿在装入矿仓过程中会产生无组织排放。通过采用封闭式原料仓，并喷雾洒水抑尘等措施。在采取上述措施后，达到《大气污染物综合排放标准》无组织排放监控颗粒物浓度限值要求。</w:t>
      </w:r>
    </w:p>
    <w:p w14:paraId="750E05A0">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该法为矿山企业普遍采用的措施，技术成熟可靠，效果好，经济可行。</w:t>
      </w:r>
    </w:p>
    <w:p w14:paraId="37E3B6D8">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（6）其他无组织排放</w:t>
      </w:r>
    </w:p>
    <w:p w14:paraId="13DF8AD4">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其他无组织排放扬尘包括其他松散物料装卸、露天临时堆放物料产生的扬尘，汽车倒运及选厂内运输道路扬尘等。</w:t>
      </w:r>
    </w:p>
    <w:p w14:paraId="5F2F2C24">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采取抑尘措施主要是：松散物料运输采用密闭车辆运输；松散物料露天临时堆放表面进行遮盖等，选矿厂内道路定期洒水抑尘等。这些方法为矿山企业普遍采用的措施，技术成熟可靠，效果好，经济可行。评价认为上述措施可行。</w:t>
      </w:r>
    </w:p>
    <w:p w14:paraId="6BB8C6EE">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ascii="Times New Roman" w:hAnsi="Times New Roman" w:eastAsia="宋体"/>
          <w:b w:val="0"/>
          <w:bCs w:val="0"/>
          <w:color w:val="auto"/>
          <w:sz w:val="24"/>
          <w:szCs w:val="24"/>
          <w:highlight w:val="none"/>
        </w:rPr>
      </w:pPr>
      <w:r>
        <w:rPr>
          <w:rFonts w:ascii="Times New Roman" w:hAnsi="Times New Roman" w:eastAsia="宋体" w:cs="Times New Roman"/>
          <w:b w:val="0"/>
          <w:bCs w:val="0"/>
          <w:color w:val="auto"/>
          <w:sz w:val="24"/>
          <w:szCs w:val="24"/>
          <w:highlight w:val="none"/>
        </w:rPr>
        <w:t>综上，项目区域无组织排放颗粒物得到了妥善的处置，且根据预测可知颗粒物</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硫酸雾</w:t>
      </w:r>
      <w:r>
        <w:rPr>
          <w:rFonts w:ascii="Times New Roman" w:hAnsi="Times New Roman" w:eastAsia="宋体" w:cs="Times New Roman"/>
          <w:b w:val="0"/>
          <w:bCs w:val="0"/>
          <w:color w:val="auto"/>
          <w:sz w:val="24"/>
          <w:szCs w:val="24"/>
          <w:highlight w:val="none"/>
        </w:rPr>
        <w:t>排放浓度满足《铜、镍、钴工业污染物排放标准》（GB25467-2010）大气污染物浓度限值（1mg/m</w:t>
      </w:r>
      <w:r>
        <w:rPr>
          <w:rFonts w:ascii="Times New Roman" w:hAnsi="Times New Roman" w:eastAsia="宋体" w:cs="Times New Roman"/>
          <w:b w:val="0"/>
          <w:bCs w:val="0"/>
          <w:color w:val="auto"/>
          <w:sz w:val="24"/>
          <w:szCs w:val="24"/>
          <w:highlight w:val="none"/>
          <w:vertAlign w:val="superscript"/>
        </w:rPr>
        <w:t>3</w:t>
      </w:r>
      <w:r>
        <w:rPr>
          <w:rFonts w:ascii="Times New Roman" w:hAnsi="Times New Roman" w:eastAsia="宋体" w:cs="Times New Roman"/>
          <w:b w:val="0"/>
          <w:bCs w:val="0"/>
          <w:color w:val="auto"/>
          <w:sz w:val="24"/>
          <w:szCs w:val="24"/>
          <w:highlight w:val="none"/>
        </w:rPr>
        <w:t>）的要求，合理可行。在工程设计时，尽量避免造成无组织排放。</w:t>
      </w:r>
      <w:r>
        <w:rPr>
          <w:rFonts w:ascii="Times New Roman" w:hAnsi="Times New Roman" w:eastAsia="宋体"/>
          <w:b w:val="0"/>
          <w:bCs w:val="0"/>
          <w:color w:val="auto"/>
          <w:sz w:val="24"/>
          <w:szCs w:val="24"/>
          <w:highlight w:val="none"/>
        </w:rPr>
        <w:t>项目采取的废气治理措施充分利用项目废气特性，有针对性地对污染物进行治理后，实现达标排放，技术成熟、运行可靠。项目废气治理措施从经济、技术角度可行。</w:t>
      </w:r>
    </w:p>
    <w:p w14:paraId="6E252571">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6.2.2废水治理措施及可行性论证</w:t>
      </w:r>
      <w:bookmarkEnd w:id="315"/>
    </w:p>
    <w:p w14:paraId="6894EF07">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本项目生产过程中主要是</w:t>
      </w:r>
      <w:r>
        <w:rPr>
          <w:rFonts w:hint="eastAsia" w:cs="Times New Roman"/>
          <w:color w:val="auto"/>
          <w:highlight w:val="none"/>
          <w:lang w:val="en-US" w:eastAsia="zh-CN"/>
        </w:rPr>
        <w:t>球磨筛分</w:t>
      </w:r>
      <w:r>
        <w:rPr>
          <w:rFonts w:hint="default" w:ascii="Times New Roman" w:hAnsi="Times New Roman" w:cs="Times New Roman"/>
          <w:color w:val="auto"/>
          <w:highlight w:val="none"/>
        </w:rPr>
        <w:t>、浸出、萃取、电积车间产生废水。</w:t>
      </w:r>
    </w:p>
    <w:p w14:paraId="090B0442">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（1）生产废水</w:t>
      </w:r>
    </w:p>
    <w:p w14:paraId="04C5C7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ascii="Times New Roman" w:hAnsi="Times New Roman" w:eastAsia="宋体" w:cs="Times New Roman"/>
          <w:caps w:val="0"/>
          <w:smallCaps w:val="0"/>
          <w:snapToGrid w:val="0"/>
          <w:color w:val="auto"/>
          <w:kern w:val="0"/>
          <w:sz w:val="24"/>
          <w:szCs w:val="24"/>
          <w:lang w:eastAsia="zh-CN"/>
        </w:rPr>
        <w:t>本项目过程中主要是</w:t>
      </w:r>
      <w:r>
        <w:rPr>
          <w:rFonts w:hint="eastAsia" w:cs="Times New Roman"/>
          <w:caps w:val="0"/>
          <w:smallCaps w:val="0"/>
          <w:snapToGrid w:val="0"/>
          <w:color w:val="auto"/>
          <w:kern w:val="0"/>
          <w:sz w:val="24"/>
          <w:szCs w:val="24"/>
          <w:lang w:val="en-US" w:eastAsia="zh-CN"/>
        </w:rPr>
        <w:t>球磨筛分、浸出</w:t>
      </w:r>
      <w:r>
        <w:rPr>
          <w:rFonts w:hint="eastAsia" w:ascii="Times New Roman" w:hAnsi="Times New Roman" w:eastAsia="宋体" w:cs="Times New Roman"/>
          <w:caps w:val="0"/>
          <w:smallCaps w:val="0"/>
          <w:snapToGrid w:val="0"/>
          <w:color w:val="auto"/>
          <w:kern w:val="0"/>
          <w:sz w:val="24"/>
          <w:szCs w:val="24"/>
          <w:lang w:eastAsia="zh-CN"/>
        </w:rPr>
        <w:t>系统、萃取</w:t>
      </w:r>
      <w:r>
        <w:rPr>
          <w:rFonts w:hint="eastAsia" w:cs="Times New Roman"/>
          <w:caps w:val="0"/>
          <w:smallCaps w:val="0"/>
          <w:snapToGrid w:val="0"/>
          <w:color w:val="auto"/>
          <w:kern w:val="0"/>
          <w:sz w:val="24"/>
          <w:szCs w:val="24"/>
          <w:lang w:val="en-US" w:eastAsia="zh-CN"/>
        </w:rPr>
        <w:t>-</w:t>
      </w:r>
      <w:r>
        <w:rPr>
          <w:rFonts w:hint="eastAsia" w:ascii="Times New Roman" w:hAnsi="Times New Roman" w:eastAsia="宋体" w:cs="Times New Roman"/>
          <w:caps w:val="0"/>
          <w:smallCaps w:val="0"/>
          <w:snapToGrid w:val="0"/>
          <w:color w:val="auto"/>
          <w:kern w:val="0"/>
          <w:sz w:val="24"/>
          <w:szCs w:val="24"/>
          <w:lang w:eastAsia="zh-CN"/>
        </w:rPr>
        <w:t>电积车间及碱式喷淋塔产生废水。其中</w:t>
      </w:r>
      <w:r>
        <w:rPr>
          <w:rFonts w:hint="eastAsia" w:cs="Times New Roman"/>
          <w:caps w:val="0"/>
          <w:smallCaps w:val="0"/>
          <w:snapToGrid w:val="0"/>
          <w:color w:val="auto"/>
          <w:kern w:val="0"/>
          <w:sz w:val="24"/>
          <w:szCs w:val="24"/>
          <w:lang w:val="en-US" w:eastAsia="zh-CN"/>
        </w:rPr>
        <w:t>球磨筛分用水量为</w:t>
      </w:r>
      <w:r>
        <w:rPr>
          <w:rFonts w:hint="default" w:ascii="Times New Roman" w:hAnsi="Times New Roman" w:eastAsia="宋体" w:cs="Times New Roman"/>
          <w:color w:val="auto"/>
          <w:sz w:val="24"/>
          <w:szCs w:val="24"/>
          <w:highlight w:val="none"/>
          <w:lang w:val="en-US" w:eastAsia="zh-CN"/>
        </w:rPr>
        <w:t>3360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w:t>
      </w:r>
      <w:r>
        <w:rPr>
          <w:rFonts w:hint="eastAsia" w:cs="Times New Roman"/>
          <w:caps w:val="0"/>
          <w:smallCaps w:val="0"/>
          <w:snapToGrid w:val="0"/>
          <w:color w:val="auto"/>
          <w:kern w:val="0"/>
          <w:sz w:val="24"/>
          <w:szCs w:val="24"/>
          <w:lang w:eastAsia="zh-CN"/>
        </w:rPr>
        <w:t>，</w:t>
      </w:r>
      <w:r>
        <w:rPr>
          <w:rFonts w:hint="eastAsia" w:cs="Times New Roman"/>
          <w:caps w:val="0"/>
          <w:smallCaps w:val="0"/>
          <w:snapToGrid w:val="0"/>
          <w:color w:val="auto"/>
          <w:kern w:val="0"/>
          <w:sz w:val="24"/>
          <w:szCs w:val="24"/>
          <w:lang w:val="en-US" w:eastAsia="zh-CN"/>
        </w:rPr>
        <w:t>除少部分用水随矿石进入下一生产环节，其余水量回用；浸出</w:t>
      </w:r>
      <w:r>
        <w:rPr>
          <w:rFonts w:hint="eastAsia" w:ascii="Times New Roman" w:hAnsi="Times New Roman" w:eastAsia="宋体" w:cs="Times New Roman"/>
          <w:caps w:val="0"/>
          <w:smallCaps w:val="0"/>
          <w:snapToGrid w:val="0"/>
          <w:color w:val="auto"/>
          <w:kern w:val="0"/>
          <w:sz w:val="24"/>
          <w:szCs w:val="24"/>
          <w:lang w:eastAsia="zh-CN"/>
        </w:rPr>
        <w:t>用水</w:t>
      </w:r>
      <w:r>
        <w:rPr>
          <w:rFonts w:hint="default" w:ascii="Times New Roman" w:hAnsi="Times New Roman" w:eastAsia="宋体" w:cs="Times New Roman"/>
          <w:b w:val="0"/>
          <w:bCs w:val="0"/>
          <w:snapToGrid/>
          <w:color w:val="auto"/>
          <w:kern w:val="2"/>
          <w:sz w:val="24"/>
          <w:szCs w:val="24"/>
          <w:highlight w:val="none"/>
          <w:lang w:val="en-US" w:eastAsia="zh-CN"/>
        </w:rPr>
        <w:t>540m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/d，由于同时加入稀硫酸进行调节pH，因此</w:t>
      </w:r>
      <w:r>
        <w:rPr>
          <w:rFonts w:hint="eastAsia" w:cs="Times New Roman"/>
          <w:caps w:val="0"/>
          <w:smallCaps w:val="0"/>
          <w:snapToGrid w:val="0"/>
          <w:color w:val="auto"/>
          <w:kern w:val="0"/>
          <w:sz w:val="24"/>
          <w:szCs w:val="24"/>
          <w:lang w:val="en-US" w:eastAsia="zh-CN"/>
        </w:rPr>
        <w:t>浸出</w:t>
      </w:r>
      <w:r>
        <w:rPr>
          <w:rFonts w:hint="eastAsia" w:ascii="Times New Roman" w:hAnsi="Times New Roman" w:eastAsia="宋体" w:cs="Times New Roman"/>
          <w:caps w:val="0"/>
          <w:smallCaps w:val="0"/>
          <w:snapToGrid w:val="0"/>
          <w:color w:val="auto"/>
          <w:kern w:val="0"/>
          <w:sz w:val="24"/>
          <w:szCs w:val="24"/>
          <w:lang w:eastAsia="zh-CN"/>
        </w:rPr>
        <w:t>液主要污染物为pH、Cu，</w:t>
      </w:r>
      <w:r>
        <w:rPr>
          <w:rFonts w:hint="eastAsia" w:cs="Times New Roman"/>
          <w:caps w:val="0"/>
          <w:smallCaps w:val="0"/>
          <w:snapToGrid w:val="0"/>
          <w:color w:val="auto"/>
          <w:kern w:val="0"/>
          <w:sz w:val="24"/>
          <w:szCs w:val="24"/>
          <w:lang w:eastAsia="zh-CN"/>
        </w:rPr>
        <w:t>浸出液</w:t>
      </w:r>
      <w:r>
        <w:rPr>
          <w:rFonts w:hint="eastAsia" w:ascii="Times New Roman" w:hAnsi="Times New Roman" w:eastAsia="宋体" w:cs="Times New Roman"/>
          <w:caps w:val="0"/>
          <w:smallCaps w:val="0"/>
          <w:snapToGrid w:val="0"/>
          <w:color w:val="auto"/>
          <w:kern w:val="0"/>
          <w:sz w:val="24"/>
          <w:szCs w:val="24"/>
          <w:lang w:eastAsia="zh-CN"/>
        </w:rPr>
        <w:t>进入萃取</w:t>
      </w:r>
      <w:r>
        <w:rPr>
          <w:rFonts w:hint="eastAsia" w:cs="Times New Roman"/>
          <w:caps w:val="0"/>
          <w:smallCaps w:val="0"/>
          <w:snapToGrid w:val="0"/>
          <w:color w:val="auto"/>
          <w:kern w:val="0"/>
          <w:sz w:val="24"/>
          <w:szCs w:val="24"/>
          <w:lang w:val="en-US" w:eastAsia="zh-CN"/>
        </w:rPr>
        <w:t>-电积</w:t>
      </w:r>
      <w:r>
        <w:rPr>
          <w:rFonts w:hint="eastAsia" w:ascii="Times New Roman" w:hAnsi="Times New Roman" w:eastAsia="宋体" w:cs="Times New Roman"/>
          <w:caps w:val="0"/>
          <w:smallCaps w:val="0"/>
          <w:snapToGrid w:val="0"/>
          <w:color w:val="auto"/>
          <w:kern w:val="0"/>
          <w:sz w:val="24"/>
          <w:szCs w:val="24"/>
          <w:lang w:eastAsia="zh-CN"/>
        </w:rPr>
        <w:t>环节循环使用，形成萃余液，萃余液仍属于含酸废水，再循环至</w:t>
      </w:r>
      <w:r>
        <w:rPr>
          <w:rFonts w:hint="eastAsia" w:cs="Times New Roman"/>
          <w:caps w:val="0"/>
          <w:smallCaps w:val="0"/>
          <w:snapToGrid w:val="0"/>
          <w:color w:val="auto"/>
          <w:kern w:val="0"/>
          <w:sz w:val="24"/>
          <w:szCs w:val="24"/>
          <w:lang w:eastAsia="zh-CN"/>
        </w:rPr>
        <w:t>浸出系统</w:t>
      </w:r>
      <w:r>
        <w:rPr>
          <w:rFonts w:hint="eastAsia" w:ascii="Times New Roman" w:hAnsi="Times New Roman" w:eastAsia="宋体" w:cs="Times New Roman"/>
          <w:caps w:val="0"/>
          <w:smallCaps w:val="0"/>
          <w:snapToGrid w:val="0"/>
          <w:color w:val="auto"/>
          <w:kern w:val="0"/>
          <w:sz w:val="24"/>
          <w:szCs w:val="24"/>
          <w:lang w:eastAsia="zh-CN"/>
        </w:rPr>
        <w:t>形成闭路循环使用。</w:t>
      </w:r>
      <w:r>
        <w:rPr>
          <w:rFonts w:hint="eastAsia" w:cs="Times New Roman"/>
          <w:caps w:val="0"/>
          <w:smallCaps w:val="0"/>
          <w:snapToGrid w:val="0"/>
          <w:color w:val="auto"/>
          <w:kern w:val="0"/>
          <w:sz w:val="24"/>
          <w:szCs w:val="24"/>
          <w:lang w:eastAsia="zh-CN"/>
        </w:rPr>
        <w:t>萃余液</w:t>
      </w:r>
      <w:r>
        <w:rPr>
          <w:rFonts w:hint="eastAsia" w:ascii="Times New Roman" w:hAnsi="Times New Roman" w:eastAsia="宋体" w:cs="Times New Roman"/>
          <w:caps w:val="0"/>
          <w:smallCaps w:val="0"/>
          <w:snapToGrid w:val="0"/>
          <w:color w:val="auto"/>
          <w:kern w:val="0"/>
          <w:sz w:val="24"/>
          <w:szCs w:val="24"/>
          <w:lang w:eastAsia="zh-CN"/>
        </w:rPr>
        <w:t>部分</w:t>
      </w:r>
      <w:r>
        <w:rPr>
          <w:rFonts w:hint="eastAsia" w:cs="Times New Roman"/>
          <w:caps w:val="0"/>
          <w:smallCaps w:val="0"/>
          <w:snapToGrid w:val="0"/>
          <w:color w:val="auto"/>
          <w:kern w:val="0"/>
          <w:sz w:val="24"/>
          <w:szCs w:val="24"/>
          <w:lang w:val="en-US" w:eastAsia="zh-CN"/>
        </w:rPr>
        <w:t>经过酸碱中和后用于浸出渣的清洗，</w:t>
      </w:r>
      <w:r>
        <w:rPr>
          <w:rFonts w:hint="eastAsia" w:ascii="Times New Roman" w:hAnsi="Times New Roman" w:eastAsia="宋体" w:cs="Times New Roman"/>
          <w:caps w:val="0"/>
          <w:smallCaps w:val="0"/>
          <w:snapToGrid w:val="0"/>
          <w:color w:val="auto"/>
          <w:kern w:val="0"/>
          <w:sz w:val="24"/>
          <w:szCs w:val="24"/>
          <w:lang w:eastAsia="zh-CN"/>
        </w:rPr>
        <w:t>会进入浸出渣中。因此项目</w:t>
      </w:r>
      <w:r>
        <w:rPr>
          <w:rFonts w:hint="eastAsia" w:cs="Times New Roman"/>
          <w:caps w:val="0"/>
          <w:smallCaps w:val="0"/>
          <w:snapToGrid w:val="0"/>
          <w:color w:val="auto"/>
          <w:kern w:val="0"/>
          <w:sz w:val="24"/>
          <w:szCs w:val="24"/>
          <w:lang w:val="en-US" w:eastAsia="zh-CN"/>
        </w:rPr>
        <w:t>运行</w:t>
      </w:r>
      <w:r>
        <w:rPr>
          <w:rFonts w:hint="eastAsia" w:ascii="Times New Roman" w:hAnsi="Times New Roman" w:eastAsia="宋体" w:cs="Times New Roman"/>
          <w:caps w:val="0"/>
          <w:smallCaps w:val="0"/>
          <w:snapToGrid w:val="0"/>
          <w:color w:val="auto"/>
          <w:kern w:val="0"/>
          <w:sz w:val="24"/>
          <w:szCs w:val="24"/>
          <w:lang w:eastAsia="zh-CN"/>
        </w:rPr>
        <w:t>期间无生产废水。</w:t>
      </w:r>
    </w:p>
    <w:p w14:paraId="04647844">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（2）生活污水</w:t>
      </w:r>
    </w:p>
    <w:p w14:paraId="1419023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snapToGrid w:val="0"/>
          <w:color w:val="auto"/>
          <w:kern w:val="0"/>
          <w:sz w:val="24"/>
          <w:szCs w:val="24"/>
          <w:highlight w:val="none"/>
          <w:lang w:bidi="ar"/>
        </w:rPr>
      </w:pPr>
      <w:r>
        <w:rPr>
          <w:rFonts w:hint="default" w:ascii="Times New Roman" w:hAnsi="Times New Roman" w:cs="Times New Roman"/>
          <w:snapToGrid w:val="0"/>
          <w:color w:val="auto"/>
          <w:kern w:val="0"/>
          <w:sz w:val="24"/>
          <w:szCs w:val="24"/>
          <w:highlight w:val="none"/>
          <w:lang w:bidi="ar"/>
        </w:rPr>
        <w:t>本项目新增员工30人，预计产生生活污水1.92m</w:t>
      </w:r>
      <w:r>
        <w:rPr>
          <w:rFonts w:hint="default" w:ascii="Times New Roman" w:hAnsi="Times New Roman" w:cs="Times New Roman"/>
          <w:snapToGrid w:val="0"/>
          <w:color w:val="auto"/>
          <w:kern w:val="0"/>
          <w:sz w:val="24"/>
          <w:szCs w:val="24"/>
          <w:highlight w:val="none"/>
          <w:vertAlign w:val="superscript"/>
          <w:lang w:bidi="ar"/>
        </w:rPr>
        <w:t>3</w:t>
      </w:r>
      <w:r>
        <w:rPr>
          <w:rFonts w:hint="default" w:ascii="Times New Roman" w:hAnsi="Times New Roman" w:cs="Times New Roman"/>
          <w:snapToGrid w:val="0"/>
          <w:color w:val="auto"/>
          <w:kern w:val="0"/>
          <w:sz w:val="24"/>
          <w:szCs w:val="24"/>
          <w:highlight w:val="none"/>
          <w:lang w:bidi="ar"/>
        </w:rPr>
        <w:t>/d，</w:t>
      </w:r>
      <w:r>
        <w:rPr>
          <w:rFonts w:hint="default" w:ascii="Times New Roman" w:hAnsi="Times New Roman" w:cs="Times New Roman"/>
          <w:snapToGrid w:val="0"/>
          <w:color w:val="auto"/>
          <w:kern w:val="0"/>
          <w:sz w:val="24"/>
          <w:szCs w:val="24"/>
          <w:highlight w:val="none"/>
          <w:lang w:val="en-US" w:eastAsia="zh-CN" w:bidi="ar"/>
        </w:rPr>
        <w:t>480</w:t>
      </w:r>
      <w:r>
        <w:rPr>
          <w:rFonts w:hint="default" w:ascii="Times New Roman" w:hAnsi="Times New Roman" w:cs="Times New Roman"/>
          <w:snapToGrid w:val="0"/>
          <w:color w:val="auto"/>
          <w:kern w:val="0"/>
          <w:sz w:val="24"/>
          <w:szCs w:val="24"/>
          <w:highlight w:val="none"/>
          <w:lang w:bidi="ar"/>
        </w:rPr>
        <w:t>m</w:t>
      </w:r>
      <w:r>
        <w:rPr>
          <w:rFonts w:hint="default" w:ascii="Times New Roman" w:hAnsi="Times New Roman" w:cs="Times New Roman"/>
          <w:snapToGrid w:val="0"/>
          <w:color w:val="auto"/>
          <w:kern w:val="0"/>
          <w:sz w:val="24"/>
          <w:szCs w:val="24"/>
          <w:highlight w:val="none"/>
          <w:vertAlign w:val="superscript"/>
          <w:lang w:bidi="ar"/>
        </w:rPr>
        <w:t>3</w:t>
      </w:r>
      <w:r>
        <w:rPr>
          <w:rFonts w:hint="eastAsia" w:ascii="Times New Roman" w:hAnsi="Times New Roman" w:cs="Times New Roman"/>
          <w:snapToGrid w:val="0"/>
          <w:color w:val="auto"/>
          <w:kern w:val="0"/>
          <w:sz w:val="24"/>
          <w:szCs w:val="24"/>
          <w:highlight w:val="none"/>
          <w:vertAlign w:val="baseline"/>
          <w:lang w:val="en-US" w:eastAsia="zh-CN" w:bidi="ar"/>
        </w:rPr>
        <w:t>/a</w:t>
      </w:r>
      <w:r>
        <w:rPr>
          <w:rFonts w:hint="default" w:ascii="Times New Roman" w:hAnsi="Times New Roman" w:cs="Times New Roman"/>
          <w:snapToGrid w:val="0"/>
          <w:color w:val="auto"/>
          <w:kern w:val="0"/>
          <w:sz w:val="24"/>
          <w:szCs w:val="24"/>
          <w:highlight w:val="none"/>
          <w:lang w:bidi="ar"/>
        </w:rPr>
        <w:t>，</w:t>
      </w:r>
      <w:r>
        <w:rPr>
          <w:rFonts w:ascii="Times New Roman" w:hAnsi="Times New Roman" w:cs="Times New Roman"/>
          <w:snapToGrid w:val="0"/>
          <w:color w:val="auto"/>
          <w:kern w:val="0"/>
          <w:sz w:val="24"/>
          <w:szCs w:val="24"/>
          <w:highlight w:val="none"/>
          <w:lang w:bidi="ar"/>
        </w:rPr>
        <w:t>项目生活污水污染物排放情况见下表，主要污染物产生浓度为pH6～9、CODcr350mg/l、BOD</w:t>
      </w:r>
      <w:r>
        <w:rPr>
          <w:rFonts w:ascii="Times New Roman" w:hAnsi="Times New Roman" w:cs="Times New Roman"/>
          <w:snapToGrid w:val="0"/>
          <w:color w:val="auto"/>
          <w:kern w:val="0"/>
          <w:sz w:val="24"/>
          <w:szCs w:val="24"/>
          <w:highlight w:val="none"/>
          <w:vertAlign w:val="subscript"/>
          <w:lang w:bidi="ar"/>
        </w:rPr>
        <w:t>5</w:t>
      </w:r>
      <w:r>
        <w:rPr>
          <w:rFonts w:ascii="Times New Roman" w:hAnsi="Times New Roman" w:cs="Times New Roman"/>
          <w:snapToGrid w:val="0"/>
          <w:color w:val="auto"/>
          <w:kern w:val="0"/>
          <w:sz w:val="24"/>
          <w:szCs w:val="24"/>
          <w:highlight w:val="none"/>
          <w:lang w:bidi="ar"/>
        </w:rPr>
        <w:t>150mg/l、SS200mg/l、NH</w:t>
      </w:r>
      <w:r>
        <w:rPr>
          <w:rFonts w:ascii="Times New Roman" w:hAnsi="Times New Roman" w:cs="Times New Roman"/>
          <w:snapToGrid w:val="0"/>
          <w:color w:val="auto"/>
          <w:kern w:val="0"/>
          <w:sz w:val="24"/>
          <w:szCs w:val="24"/>
          <w:highlight w:val="none"/>
          <w:vertAlign w:val="subscript"/>
          <w:lang w:bidi="ar"/>
        </w:rPr>
        <w:t>3</w:t>
      </w:r>
      <w:r>
        <w:rPr>
          <w:rFonts w:ascii="Times New Roman" w:hAnsi="Times New Roman" w:cs="Times New Roman"/>
          <w:snapToGrid w:val="0"/>
          <w:color w:val="auto"/>
          <w:kern w:val="0"/>
          <w:sz w:val="24"/>
          <w:szCs w:val="24"/>
          <w:highlight w:val="none"/>
          <w:lang w:bidi="ar"/>
        </w:rPr>
        <w:t>-N25mg/l、动植物油5mg/l。</w:t>
      </w:r>
    </w:p>
    <w:p w14:paraId="7A53E066">
      <w:pPr>
        <w:pStyle w:val="32"/>
        <w:keepNext w:val="0"/>
        <w:keepLines w:val="0"/>
        <w:pageBreakBefore w:val="0"/>
        <w:widowControl w:val="0"/>
        <w:tabs>
          <w:tab w:val="left" w:pos="908"/>
        </w:tabs>
        <w:kinsoku/>
        <w:wordWrap/>
        <w:overflowPunct/>
        <w:topLinePunct w:val="0"/>
        <w:autoSpaceDE/>
        <w:autoSpaceDN/>
        <w:bidi w:val="0"/>
        <w:adjustRightInd w:val="0"/>
        <w:snapToGrid/>
        <w:spacing w:after="0" w:line="240" w:lineRule="auto"/>
        <w:ind w:firstLine="0" w:firstLineChars="0"/>
        <w:jc w:val="center"/>
        <w:textAlignment w:val="baseline"/>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表3.</w:t>
      </w:r>
      <w:r>
        <w:rPr>
          <w:rFonts w:hint="eastAsia"/>
          <w:b/>
          <w:color w:val="auto"/>
          <w:sz w:val="21"/>
          <w:szCs w:val="21"/>
          <w:highlight w:val="none"/>
          <w:lang w:val="en-US" w:eastAsia="zh-CN"/>
        </w:rPr>
        <w:t>4-9</w:t>
      </w:r>
      <w:r>
        <w:rPr>
          <w:rFonts w:ascii="Times New Roman" w:hAnsi="Times New Roman" w:eastAsia="宋体"/>
          <w:b/>
          <w:color w:val="auto"/>
          <w:sz w:val="21"/>
          <w:szCs w:val="21"/>
          <w:highlight w:val="none"/>
        </w:rPr>
        <w:t xml:space="preserve">     废水污染物总量表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73"/>
        <w:gridCol w:w="2251"/>
        <w:gridCol w:w="2629"/>
        <w:gridCol w:w="3131"/>
      </w:tblGrid>
      <w:tr w14:paraId="3686A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721" w:type="pct"/>
            <w:gridSpan w:val="2"/>
            <w:tcBorders>
              <w:tl2br w:val="nil"/>
              <w:tr2bl w:val="nil"/>
            </w:tcBorders>
            <w:vAlign w:val="center"/>
          </w:tcPr>
          <w:p w14:paraId="200C75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项   目</w:t>
            </w:r>
          </w:p>
        </w:tc>
        <w:tc>
          <w:tcPr>
            <w:tcW w:w="1496" w:type="pct"/>
            <w:tcBorders>
              <w:tl2br w:val="nil"/>
              <w:tr2bl w:val="nil"/>
            </w:tcBorders>
            <w:vAlign w:val="center"/>
          </w:tcPr>
          <w:p w14:paraId="68BA0C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产生浓度mg/L</w:t>
            </w:r>
          </w:p>
        </w:tc>
        <w:tc>
          <w:tcPr>
            <w:tcW w:w="1781" w:type="pct"/>
            <w:tcBorders>
              <w:tl2br w:val="nil"/>
              <w:tr2bl w:val="nil"/>
            </w:tcBorders>
            <w:vAlign w:val="center"/>
          </w:tcPr>
          <w:p w14:paraId="187F22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color w:val="auto"/>
                <w:sz w:val="21"/>
                <w:szCs w:val="21"/>
                <w:highlight w:val="none"/>
              </w:rPr>
              <w:t>产生量t</w:t>
            </w:r>
          </w:p>
        </w:tc>
      </w:tr>
      <w:tr w14:paraId="5416A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restart"/>
            <w:tcBorders>
              <w:tl2br w:val="nil"/>
              <w:tr2bl w:val="nil"/>
            </w:tcBorders>
            <w:vAlign w:val="center"/>
          </w:tcPr>
          <w:p w14:paraId="2723F7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生活污水</w:t>
            </w:r>
          </w:p>
        </w:tc>
        <w:tc>
          <w:tcPr>
            <w:tcW w:w="1281" w:type="pct"/>
            <w:tcBorders>
              <w:tl2br w:val="nil"/>
              <w:tr2bl w:val="nil"/>
            </w:tcBorders>
            <w:vAlign w:val="center"/>
          </w:tcPr>
          <w:p w14:paraId="2C1F4D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废水量（</w:t>
            </w: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/a</w:t>
            </w:r>
            <w:r>
              <w:rPr>
                <w:rFonts w:ascii="Times New Roman" w:hAnsi="Times New Roman" w:cs="Times New Roman"/>
                <w:snapToGrid w:val="0"/>
                <w:color w:val="auto"/>
                <w:sz w:val="21"/>
                <w:szCs w:val="21"/>
                <w:highlight w:val="none"/>
              </w:rPr>
              <w:t>）</w:t>
            </w:r>
          </w:p>
        </w:tc>
        <w:tc>
          <w:tcPr>
            <w:tcW w:w="1496" w:type="pct"/>
            <w:tcBorders>
              <w:tl2br w:val="nil"/>
              <w:tr2bl w:val="nil"/>
            </w:tcBorders>
            <w:vAlign w:val="center"/>
          </w:tcPr>
          <w:p w14:paraId="6C975A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w:t>
            </w:r>
          </w:p>
        </w:tc>
        <w:tc>
          <w:tcPr>
            <w:tcW w:w="1781" w:type="pct"/>
            <w:tcBorders>
              <w:tl2br w:val="nil"/>
              <w:tr2bl w:val="nil"/>
            </w:tcBorders>
            <w:vAlign w:val="center"/>
          </w:tcPr>
          <w:p w14:paraId="3F4563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1036.8</w:t>
            </w:r>
          </w:p>
        </w:tc>
      </w:tr>
      <w:tr w14:paraId="658FC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40" w:type="pct"/>
            <w:vMerge w:val="continue"/>
            <w:tcBorders>
              <w:tl2br w:val="nil"/>
              <w:tr2bl w:val="nil"/>
            </w:tcBorders>
            <w:vAlign w:val="center"/>
          </w:tcPr>
          <w:p w14:paraId="1D3096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48D29A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COD</w:t>
            </w:r>
          </w:p>
        </w:tc>
        <w:tc>
          <w:tcPr>
            <w:tcW w:w="1496" w:type="pct"/>
            <w:tcBorders>
              <w:tl2br w:val="nil"/>
              <w:tr2bl w:val="nil"/>
            </w:tcBorders>
            <w:vAlign w:val="center"/>
          </w:tcPr>
          <w:p w14:paraId="0F6E9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350</w:t>
            </w:r>
          </w:p>
        </w:tc>
        <w:tc>
          <w:tcPr>
            <w:tcW w:w="1781" w:type="pct"/>
            <w:tcBorders>
              <w:tl2br w:val="nil"/>
              <w:tr2bl w:val="nil"/>
            </w:tcBorders>
            <w:vAlign w:val="center"/>
          </w:tcPr>
          <w:p w14:paraId="0DBD652F">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0.363</w:t>
            </w:r>
          </w:p>
        </w:tc>
      </w:tr>
      <w:tr w14:paraId="673B4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509772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4FD305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496" w:type="pct"/>
            <w:tcBorders>
              <w:tl2br w:val="nil"/>
              <w:tr2bl w:val="nil"/>
            </w:tcBorders>
            <w:vAlign w:val="center"/>
          </w:tcPr>
          <w:p w14:paraId="541E89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150</w:t>
            </w:r>
          </w:p>
        </w:tc>
        <w:tc>
          <w:tcPr>
            <w:tcW w:w="1781" w:type="pct"/>
            <w:tcBorders>
              <w:tl2br w:val="nil"/>
              <w:tr2bl w:val="nil"/>
            </w:tcBorders>
            <w:vAlign w:val="center"/>
          </w:tcPr>
          <w:p w14:paraId="0F00D749">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0.155</w:t>
            </w:r>
          </w:p>
        </w:tc>
      </w:tr>
      <w:tr w14:paraId="6417C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24404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524B4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SS</w:t>
            </w:r>
          </w:p>
        </w:tc>
        <w:tc>
          <w:tcPr>
            <w:tcW w:w="1496" w:type="pct"/>
            <w:tcBorders>
              <w:tl2br w:val="nil"/>
              <w:tr2bl w:val="nil"/>
            </w:tcBorders>
            <w:vAlign w:val="center"/>
          </w:tcPr>
          <w:p w14:paraId="0D47F6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200</w:t>
            </w:r>
          </w:p>
        </w:tc>
        <w:tc>
          <w:tcPr>
            <w:tcW w:w="1781" w:type="pct"/>
            <w:tcBorders>
              <w:tl2br w:val="nil"/>
              <w:tr2bl w:val="nil"/>
            </w:tcBorders>
            <w:vAlign w:val="center"/>
          </w:tcPr>
          <w:p w14:paraId="7C4D2F1F">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0.207</w:t>
            </w:r>
          </w:p>
        </w:tc>
      </w:tr>
      <w:tr w14:paraId="7F81B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497D31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7AB01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氨氮</w:t>
            </w:r>
          </w:p>
        </w:tc>
        <w:tc>
          <w:tcPr>
            <w:tcW w:w="1496" w:type="pct"/>
            <w:tcBorders>
              <w:tl2br w:val="nil"/>
              <w:tr2bl w:val="nil"/>
            </w:tcBorders>
            <w:vAlign w:val="center"/>
          </w:tcPr>
          <w:p w14:paraId="5E2D7A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25</w:t>
            </w:r>
          </w:p>
        </w:tc>
        <w:tc>
          <w:tcPr>
            <w:tcW w:w="1781" w:type="pct"/>
            <w:tcBorders>
              <w:tl2br w:val="nil"/>
              <w:tr2bl w:val="nil"/>
            </w:tcBorders>
            <w:vAlign w:val="center"/>
          </w:tcPr>
          <w:p w14:paraId="331A78F5">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0.026</w:t>
            </w:r>
          </w:p>
        </w:tc>
      </w:tr>
      <w:tr w14:paraId="057D7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02641E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48B7D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动植物油</w:t>
            </w:r>
          </w:p>
        </w:tc>
        <w:tc>
          <w:tcPr>
            <w:tcW w:w="1496" w:type="pct"/>
            <w:tcBorders>
              <w:tl2br w:val="nil"/>
              <w:tr2bl w:val="nil"/>
            </w:tcBorders>
            <w:vAlign w:val="center"/>
          </w:tcPr>
          <w:p w14:paraId="4FEFC2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5</w:t>
            </w:r>
          </w:p>
        </w:tc>
        <w:tc>
          <w:tcPr>
            <w:tcW w:w="1781" w:type="pct"/>
            <w:tcBorders>
              <w:tl2br w:val="nil"/>
              <w:tr2bl w:val="nil"/>
            </w:tcBorders>
            <w:vAlign w:val="center"/>
          </w:tcPr>
          <w:p w14:paraId="124CC518">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r>
    </w:tbl>
    <w:p w14:paraId="79DB6E3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zh-CN" w:bidi="ar"/>
        </w:rPr>
      </w:pPr>
      <w:r>
        <w:rPr>
          <w:rFonts w:hint="default" w:ascii="Times New Roman" w:hAnsi="Times New Roman" w:eastAsia="宋体" w:cs="Times New Roman"/>
          <w:snapToGrid w:val="0"/>
          <w:color w:val="auto"/>
          <w:kern w:val="0"/>
          <w:sz w:val="24"/>
          <w:szCs w:val="24"/>
          <w:highlight w:val="none"/>
          <w:lang w:bidi="ar"/>
        </w:rPr>
        <w:t>废水依托生活区</w:t>
      </w:r>
      <w:r>
        <w:rPr>
          <w:rFonts w:hint="default" w:ascii="Times New Roman" w:hAnsi="Times New Roman" w:eastAsia="宋体" w:cs="Times New Roman"/>
          <w:snapToGrid w:val="0"/>
          <w:color w:val="auto"/>
          <w:kern w:val="0"/>
          <w:sz w:val="24"/>
          <w:szCs w:val="24"/>
          <w:highlight w:val="none"/>
          <w:lang w:val="zh-CN" w:bidi="ar"/>
        </w:rPr>
        <w:t>化粪池暂存，定期拉运处理</w:t>
      </w:r>
      <w:r>
        <w:rPr>
          <w:rFonts w:hint="eastAsia" w:ascii="Times New Roman" w:hAnsi="Times New Roman" w:eastAsia="宋体" w:cs="Times New Roman"/>
          <w:snapToGrid w:val="0"/>
          <w:color w:val="auto"/>
          <w:kern w:val="0"/>
          <w:sz w:val="24"/>
          <w:szCs w:val="24"/>
          <w:highlight w:val="none"/>
          <w:lang w:val="en-US" w:eastAsia="zh-CN" w:bidi="ar"/>
        </w:rPr>
        <w:t>至XX污水处理厂</w:t>
      </w:r>
      <w:r>
        <w:rPr>
          <w:rFonts w:hint="default" w:ascii="Times New Roman" w:hAnsi="Times New Roman" w:eastAsia="宋体" w:cs="Times New Roman"/>
          <w:snapToGrid w:val="0"/>
          <w:color w:val="auto"/>
          <w:kern w:val="0"/>
          <w:sz w:val="24"/>
          <w:szCs w:val="24"/>
          <w:highlight w:val="none"/>
          <w:lang w:val="zh-CN" w:bidi="ar"/>
        </w:rPr>
        <w:t>。</w:t>
      </w:r>
    </w:p>
    <w:p w14:paraId="08797260">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bookmarkStart w:id="317" w:name="_Toc527982461"/>
      <w:bookmarkStart w:id="318" w:name="_Hlk149949802"/>
      <w:r>
        <w:rPr>
          <w:rFonts w:hint="default" w:ascii="Times New Roman" w:hAnsi="Times New Roman" w:cs="Times New Roman"/>
          <w:b/>
          <w:bCs/>
          <w:color w:val="auto"/>
          <w:sz w:val="28"/>
          <w:szCs w:val="28"/>
          <w:highlight w:val="none"/>
        </w:rPr>
        <w:t>6.2.3地下水防治措施</w:t>
      </w:r>
      <w:bookmarkEnd w:id="317"/>
    </w:p>
    <w:bookmarkEnd w:id="318"/>
    <w:p w14:paraId="4A40484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针对项目可能发生的地下水污染，地下水污染防治措施按照“源头控制、末端防治、污染监控、应急响应”相结合的原则，从污染物的产生、入渗、扩散、应急响应全阶段进行控制。</w:t>
      </w:r>
    </w:p>
    <w:p w14:paraId="5007E59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（1）源头控制</w:t>
      </w:r>
    </w:p>
    <w:p w14:paraId="2A08B2D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由于采用湿法浸出</w:t>
      </w:r>
      <w:r>
        <w:rPr>
          <w:rFonts w:hint="eastAsia" w:cs="Times New Roman"/>
          <w:color w:val="auto"/>
          <w:highlight w:val="none"/>
          <w:lang w:eastAsia="zh-CN"/>
        </w:rPr>
        <w:t>－</w:t>
      </w:r>
      <w:r>
        <w:rPr>
          <w:rFonts w:hint="default" w:ascii="Times New Roman" w:hAnsi="Times New Roman" w:cs="Times New Roman"/>
          <w:color w:val="auto"/>
          <w:highlight w:val="none"/>
        </w:rPr>
        <w:t>固液分离-萃取-电积工艺，本工艺属闭路循环系统，无废水排放。生活污水依托厂区现有废水依托生活区化粪池暂存，定期拉运处理。各类废水均经处理后循环利用，不外排。</w:t>
      </w:r>
    </w:p>
    <w:p w14:paraId="0D71EF8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（2）分区防控措施</w:t>
      </w:r>
    </w:p>
    <w:p w14:paraId="067CA8E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地下水环境》（HJ610-2016），建设项目应根据建设项目场地天然包气带防污性能、污染控制难易程度和污染物特性提出防渗技术要求。天然包气带防污性能分级见表6.2-</w:t>
      </w:r>
      <w:r>
        <w:rPr>
          <w:rFonts w:hint="eastAsia" w:cs="Times New Roman"/>
          <w:color w:val="auto"/>
          <w:highlight w:val="none"/>
          <w:lang w:val="en-US" w:eastAsia="zh-CN"/>
        </w:rPr>
        <w:t>2</w:t>
      </w:r>
      <w:r>
        <w:rPr>
          <w:rFonts w:hint="default" w:ascii="Times New Roman" w:hAnsi="Times New Roman" w:cs="Times New Roman"/>
          <w:color w:val="auto"/>
          <w:highlight w:val="none"/>
        </w:rPr>
        <w:t>，污染控制难易程度分级见表6.2-</w:t>
      </w:r>
      <w:r>
        <w:rPr>
          <w:rFonts w:hint="eastAsia" w:cs="Times New Roman"/>
          <w:color w:val="auto"/>
          <w:highlight w:val="none"/>
          <w:lang w:val="en-US" w:eastAsia="zh-CN"/>
        </w:rPr>
        <w:t>3</w:t>
      </w:r>
      <w:r>
        <w:rPr>
          <w:rFonts w:hint="default" w:ascii="Times New Roman" w:hAnsi="Times New Roman" w:cs="Times New Roman"/>
          <w:color w:val="auto"/>
          <w:highlight w:val="none"/>
        </w:rPr>
        <w:t>，地下水污染防渗分区见表6.2-</w:t>
      </w:r>
      <w:r>
        <w:rPr>
          <w:rFonts w:hint="eastAsia" w:cs="Times New Roman"/>
          <w:color w:val="auto"/>
          <w:highlight w:val="none"/>
          <w:lang w:val="en-US" w:eastAsia="zh-CN"/>
        </w:rPr>
        <w:t>4</w:t>
      </w:r>
      <w:r>
        <w:rPr>
          <w:rFonts w:hint="default" w:ascii="Times New Roman" w:hAnsi="Times New Roman" w:cs="Times New Roman"/>
          <w:color w:val="auto"/>
          <w:highlight w:val="none"/>
        </w:rPr>
        <w:t>。</w:t>
      </w:r>
    </w:p>
    <w:p w14:paraId="16D5FDC7">
      <w:pPr>
        <w:keepNext w:val="0"/>
        <w:keepLines w:val="0"/>
        <w:pageBreakBefore w:val="0"/>
        <w:widowControl w:val="0"/>
        <w:wordWrap/>
        <w:topLinePunct w:val="0"/>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表6.2-</w:t>
      </w:r>
      <w:r>
        <w:rPr>
          <w:rFonts w:hint="eastAsia" w:cs="Times New Roman" w:eastAsiaTheme="minorEastAsia"/>
          <w:b/>
          <w:bCs/>
          <w:color w:val="auto"/>
          <w:sz w:val="21"/>
          <w:szCs w:val="21"/>
          <w:highlight w:val="none"/>
          <w:lang w:val="en-US" w:eastAsia="zh-CN"/>
        </w:rPr>
        <w:t>2</w:t>
      </w:r>
      <w:r>
        <w:rPr>
          <w:rFonts w:hint="default" w:ascii="Times New Roman" w:hAnsi="Times New Roman" w:cs="Times New Roman" w:eastAsiaTheme="minorEastAsia"/>
          <w:b/>
          <w:bCs/>
          <w:color w:val="auto"/>
          <w:sz w:val="21"/>
          <w:szCs w:val="21"/>
          <w:highlight w:val="none"/>
        </w:rPr>
        <w:t xml:space="preserve">  天然包气带防污性能分级表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8023"/>
      </w:tblGrid>
      <w:tr w14:paraId="19152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06" w:type="pct"/>
            <w:vAlign w:val="center"/>
          </w:tcPr>
          <w:p w14:paraId="5A797277">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分级</w:t>
            </w:r>
          </w:p>
        </w:tc>
        <w:tc>
          <w:tcPr>
            <w:tcW w:w="4594" w:type="pct"/>
            <w:vAlign w:val="center"/>
          </w:tcPr>
          <w:p w14:paraId="1ECA47EA">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包气带岩土的渗透性能</w:t>
            </w:r>
          </w:p>
        </w:tc>
      </w:tr>
      <w:tr w14:paraId="19EBB6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7484C60A">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强</w:t>
            </w:r>
          </w:p>
        </w:tc>
        <w:tc>
          <w:tcPr>
            <w:tcW w:w="4594" w:type="pct"/>
            <w:vAlign w:val="center"/>
          </w:tcPr>
          <w:p w14:paraId="55E93242">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岩（土）层单层厚度Mb≥1.0m，渗透系数K≤1×10</w:t>
            </w:r>
            <w:r>
              <w:rPr>
                <w:rFonts w:hint="default" w:ascii="Times New Roman" w:hAnsi="Times New Roman" w:cs="Times New Roman"/>
                <w:color w:val="auto"/>
                <w:sz w:val="21"/>
                <w:szCs w:val="21"/>
                <w:highlight w:val="none"/>
                <w:vertAlign w:val="superscript"/>
              </w:rPr>
              <w:t>-6</w:t>
            </w:r>
            <w:r>
              <w:rPr>
                <w:rFonts w:hint="default" w:ascii="Times New Roman" w:hAnsi="Times New Roman" w:cs="Times New Roman"/>
                <w:color w:val="auto"/>
                <w:sz w:val="21"/>
                <w:szCs w:val="21"/>
                <w:highlight w:val="none"/>
              </w:rPr>
              <w:t>cm/s，且分布连续、稳定。</w:t>
            </w:r>
          </w:p>
        </w:tc>
      </w:tr>
      <w:tr w14:paraId="0E6ED1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621A4C98">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w:t>
            </w:r>
          </w:p>
        </w:tc>
        <w:tc>
          <w:tcPr>
            <w:tcW w:w="4594" w:type="pct"/>
            <w:vAlign w:val="center"/>
          </w:tcPr>
          <w:p w14:paraId="6CA7F0E7">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岩（土）层单层厚度0.5m≤Mb&lt;1.0m，渗透系数K≤1×10</w:t>
            </w:r>
            <w:r>
              <w:rPr>
                <w:rFonts w:hint="default" w:ascii="Times New Roman" w:hAnsi="Times New Roman" w:cs="Times New Roman"/>
                <w:color w:val="auto"/>
                <w:sz w:val="21"/>
                <w:szCs w:val="21"/>
                <w:highlight w:val="none"/>
                <w:vertAlign w:val="superscript"/>
              </w:rPr>
              <w:t>-6</w:t>
            </w:r>
            <w:r>
              <w:rPr>
                <w:rFonts w:hint="default" w:ascii="Times New Roman" w:hAnsi="Times New Roman" w:cs="Times New Roman"/>
                <w:color w:val="auto"/>
                <w:sz w:val="21"/>
                <w:szCs w:val="21"/>
                <w:highlight w:val="none"/>
              </w:rPr>
              <w:t>cm/s，且分布连续、稳定。</w:t>
            </w:r>
          </w:p>
          <w:p w14:paraId="1FD5DB26">
            <w:pPr>
              <w:keepNext w:val="0"/>
              <w:keepLines w:val="0"/>
              <w:pageBreakBefore w:val="0"/>
              <w:widowControl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岩（土）层单层厚度Mb≥1.0m，渗透系数1×10-6cm/s&lt;K≤1×10</w:t>
            </w:r>
            <w:r>
              <w:rPr>
                <w:rFonts w:hint="default" w:ascii="Times New Roman" w:hAnsi="Times New Roman" w:cs="Times New Roman"/>
                <w:color w:val="auto"/>
                <w:sz w:val="21"/>
                <w:szCs w:val="21"/>
                <w:highlight w:val="none"/>
                <w:vertAlign w:val="superscript"/>
              </w:rPr>
              <w:t>-4</w:t>
            </w:r>
            <w:r>
              <w:rPr>
                <w:rFonts w:hint="default" w:ascii="Times New Roman" w:hAnsi="Times New Roman" w:cs="Times New Roman"/>
                <w:color w:val="auto"/>
                <w:sz w:val="21"/>
                <w:szCs w:val="21"/>
                <w:highlight w:val="none"/>
              </w:rPr>
              <w:t>cm/s，且分布连续、稳定。</w:t>
            </w:r>
          </w:p>
        </w:tc>
      </w:tr>
      <w:tr w14:paraId="158772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78483BA8">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弱</w:t>
            </w:r>
          </w:p>
        </w:tc>
        <w:tc>
          <w:tcPr>
            <w:tcW w:w="4594" w:type="pct"/>
            <w:vAlign w:val="center"/>
          </w:tcPr>
          <w:p w14:paraId="284BE99B">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岩（土）层不满足上述“强”和“中”条件。 </w:t>
            </w:r>
          </w:p>
        </w:tc>
      </w:tr>
    </w:tbl>
    <w:p w14:paraId="046B0886">
      <w:pPr>
        <w:keepNext w:val="0"/>
        <w:keepLines w:val="0"/>
        <w:pageBreakBefore w:val="0"/>
        <w:widowControl w:val="0"/>
        <w:wordWrap/>
        <w:topLinePunct w:val="0"/>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表6.2-</w:t>
      </w:r>
      <w:r>
        <w:rPr>
          <w:rFonts w:hint="eastAsia" w:cs="Times New Roman" w:eastAsiaTheme="minorEastAsia"/>
          <w:b/>
          <w:bCs/>
          <w:color w:val="auto"/>
          <w:sz w:val="21"/>
          <w:szCs w:val="21"/>
          <w:highlight w:val="none"/>
          <w:lang w:val="en-US" w:eastAsia="zh-CN"/>
        </w:rPr>
        <w:t>3</w:t>
      </w:r>
      <w:r>
        <w:rPr>
          <w:rFonts w:hint="default" w:ascii="Times New Roman" w:hAnsi="Times New Roman" w:cs="Times New Roman" w:eastAsiaTheme="minorEastAsia"/>
          <w:b/>
          <w:bCs/>
          <w:color w:val="auto"/>
          <w:sz w:val="21"/>
          <w:szCs w:val="21"/>
          <w:highlight w:val="none"/>
        </w:rPr>
        <w:t xml:space="preserve">  污染控制难易程度分级表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8023"/>
      </w:tblGrid>
      <w:tr w14:paraId="07B799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06" w:type="pct"/>
            <w:vAlign w:val="center"/>
          </w:tcPr>
          <w:p w14:paraId="551BBFBD">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分级</w:t>
            </w:r>
          </w:p>
        </w:tc>
        <w:tc>
          <w:tcPr>
            <w:tcW w:w="4594" w:type="pct"/>
            <w:vAlign w:val="center"/>
          </w:tcPr>
          <w:p w14:paraId="1F7CFBE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主要特征</w:t>
            </w:r>
          </w:p>
        </w:tc>
      </w:tr>
      <w:tr w14:paraId="1E2AA2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41B4F041">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难</w:t>
            </w:r>
          </w:p>
        </w:tc>
        <w:tc>
          <w:tcPr>
            <w:tcW w:w="4594" w:type="pct"/>
            <w:vAlign w:val="center"/>
          </w:tcPr>
          <w:p w14:paraId="1E1A41D6">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对地下水环境有污染的物料或污染物泄漏后，不能及时发现和处理。 </w:t>
            </w:r>
          </w:p>
        </w:tc>
      </w:tr>
      <w:tr w14:paraId="4E2A5A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4AB7461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易</w:t>
            </w:r>
          </w:p>
        </w:tc>
        <w:tc>
          <w:tcPr>
            <w:tcW w:w="4594" w:type="pct"/>
            <w:vAlign w:val="center"/>
          </w:tcPr>
          <w:p w14:paraId="2E18E6CB">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对地下水环境有污染的物料或污染物泄漏后，可及时发现和处理</w:t>
            </w:r>
          </w:p>
        </w:tc>
      </w:tr>
    </w:tbl>
    <w:p w14:paraId="58D3FAD1">
      <w:pPr>
        <w:keepNext w:val="0"/>
        <w:keepLines w:val="0"/>
        <w:pageBreakBefore w:val="0"/>
        <w:widowControl w:val="0"/>
        <w:wordWrap/>
        <w:topLinePunct w:val="0"/>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表6.2-</w:t>
      </w:r>
      <w:r>
        <w:rPr>
          <w:rFonts w:hint="eastAsia" w:cs="Times New Roman" w:eastAsiaTheme="minorEastAsia"/>
          <w:b/>
          <w:bCs/>
          <w:color w:val="auto"/>
          <w:sz w:val="21"/>
          <w:szCs w:val="21"/>
          <w:highlight w:val="none"/>
          <w:lang w:val="en-US" w:eastAsia="zh-CN"/>
        </w:rPr>
        <w:t>4</w:t>
      </w:r>
      <w:r>
        <w:rPr>
          <w:rFonts w:hint="default" w:ascii="Times New Roman" w:hAnsi="Times New Roman" w:cs="Times New Roman" w:eastAsiaTheme="minorEastAsia"/>
          <w:b/>
          <w:bCs/>
          <w:color w:val="auto"/>
          <w:sz w:val="21"/>
          <w:szCs w:val="21"/>
          <w:highlight w:val="none"/>
        </w:rPr>
        <w:t xml:space="preserve">  地下水污染防渗分区表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26"/>
        <w:gridCol w:w="1973"/>
        <w:gridCol w:w="2817"/>
        <w:gridCol w:w="2816"/>
      </w:tblGrid>
      <w:tr w14:paraId="1C6D60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45" w:type="pct"/>
            <w:vAlign w:val="center"/>
          </w:tcPr>
          <w:p w14:paraId="5EA0EC5C">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防渗分区</w:t>
            </w:r>
          </w:p>
        </w:tc>
        <w:tc>
          <w:tcPr>
            <w:tcW w:w="1130" w:type="pct"/>
            <w:vAlign w:val="center"/>
          </w:tcPr>
          <w:p w14:paraId="4A552CD1">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天然包气带防污性能</w:t>
            </w:r>
          </w:p>
        </w:tc>
        <w:tc>
          <w:tcPr>
            <w:tcW w:w="1613" w:type="pct"/>
            <w:vAlign w:val="center"/>
          </w:tcPr>
          <w:p w14:paraId="60EC8F0A">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污染控制难易程度</w:t>
            </w:r>
          </w:p>
        </w:tc>
        <w:tc>
          <w:tcPr>
            <w:tcW w:w="1612" w:type="pct"/>
            <w:vAlign w:val="center"/>
          </w:tcPr>
          <w:p w14:paraId="0F2ED82C">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污染物类型</w:t>
            </w:r>
          </w:p>
        </w:tc>
      </w:tr>
      <w:tr w14:paraId="0023C8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restart"/>
            <w:vAlign w:val="center"/>
          </w:tcPr>
          <w:p w14:paraId="31CA40FC">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重点防渗区</w:t>
            </w:r>
          </w:p>
        </w:tc>
        <w:tc>
          <w:tcPr>
            <w:tcW w:w="1130" w:type="pct"/>
            <w:vAlign w:val="center"/>
          </w:tcPr>
          <w:p w14:paraId="4B8DC522">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w:t>
            </w:r>
          </w:p>
        </w:tc>
        <w:tc>
          <w:tcPr>
            <w:tcW w:w="1613" w:type="pct"/>
            <w:vAlign w:val="center"/>
          </w:tcPr>
          <w:p w14:paraId="421D41DC">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w:t>
            </w:r>
          </w:p>
        </w:tc>
        <w:tc>
          <w:tcPr>
            <w:tcW w:w="1612" w:type="pct"/>
            <w:vMerge w:val="restart"/>
            <w:vAlign w:val="center"/>
          </w:tcPr>
          <w:p w14:paraId="4D620A3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重金属、持久性有机污染物</w:t>
            </w:r>
          </w:p>
        </w:tc>
      </w:tr>
      <w:tr w14:paraId="06869F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78FFFC19">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05FF18E8">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中-强</w:t>
            </w:r>
          </w:p>
        </w:tc>
        <w:tc>
          <w:tcPr>
            <w:tcW w:w="1613" w:type="pct"/>
            <w:vAlign w:val="center"/>
          </w:tcPr>
          <w:p w14:paraId="16C9470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w:t>
            </w:r>
          </w:p>
        </w:tc>
        <w:tc>
          <w:tcPr>
            <w:tcW w:w="1612" w:type="pct"/>
            <w:vMerge w:val="continue"/>
            <w:vAlign w:val="center"/>
          </w:tcPr>
          <w:p w14:paraId="0462484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25E47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2798FE43">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3B2A903E">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w:t>
            </w:r>
          </w:p>
        </w:tc>
        <w:tc>
          <w:tcPr>
            <w:tcW w:w="1613" w:type="pct"/>
            <w:vAlign w:val="center"/>
          </w:tcPr>
          <w:p w14:paraId="79E62F35">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612" w:type="pct"/>
            <w:vMerge w:val="continue"/>
            <w:vAlign w:val="center"/>
          </w:tcPr>
          <w:p w14:paraId="5C4683A1">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2CBADF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restart"/>
            <w:vAlign w:val="center"/>
          </w:tcPr>
          <w:p w14:paraId="65A6E6E2">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一般防渗区</w:t>
            </w:r>
          </w:p>
        </w:tc>
        <w:tc>
          <w:tcPr>
            <w:tcW w:w="1130" w:type="pct"/>
            <w:vAlign w:val="center"/>
          </w:tcPr>
          <w:p w14:paraId="6D870EAE">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w:t>
            </w:r>
          </w:p>
        </w:tc>
        <w:tc>
          <w:tcPr>
            <w:tcW w:w="1613" w:type="pct"/>
            <w:vAlign w:val="center"/>
          </w:tcPr>
          <w:p w14:paraId="1EB219A8">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易-难</w:t>
            </w:r>
          </w:p>
        </w:tc>
        <w:tc>
          <w:tcPr>
            <w:tcW w:w="1612" w:type="pct"/>
            <w:vMerge w:val="restart"/>
            <w:vAlign w:val="center"/>
          </w:tcPr>
          <w:p w14:paraId="46722F23">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其他类型</w:t>
            </w:r>
          </w:p>
        </w:tc>
      </w:tr>
      <w:tr w14:paraId="46DC54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6993599F">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79D6A727">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中-强</w:t>
            </w:r>
          </w:p>
        </w:tc>
        <w:tc>
          <w:tcPr>
            <w:tcW w:w="1613" w:type="pct"/>
            <w:vAlign w:val="center"/>
          </w:tcPr>
          <w:p w14:paraId="50CC4AD3">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w:t>
            </w:r>
          </w:p>
        </w:tc>
        <w:tc>
          <w:tcPr>
            <w:tcW w:w="1612" w:type="pct"/>
            <w:vMerge w:val="continue"/>
            <w:vAlign w:val="center"/>
          </w:tcPr>
          <w:p w14:paraId="3F8586A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037C8E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45210B1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1ABE3420">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1613" w:type="pct"/>
            <w:vAlign w:val="center"/>
          </w:tcPr>
          <w:p w14:paraId="1935BAA0">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612" w:type="pct"/>
            <w:vMerge w:val="restart"/>
            <w:vAlign w:val="center"/>
          </w:tcPr>
          <w:p w14:paraId="3B3358B5">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重金属、持久性有机污染物</w:t>
            </w:r>
          </w:p>
        </w:tc>
      </w:tr>
      <w:tr w14:paraId="6D6E7D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796EB262">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74E3BFAB">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w:t>
            </w:r>
          </w:p>
        </w:tc>
        <w:tc>
          <w:tcPr>
            <w:tcW w:w="1613" w:type="pct"/>
            <w:vAlign w:val="center"/>
          </w:tcPr>
          <w:p w14:paraId="6BF1CD76">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612" w:type="pct"/>
            <w:vMerge w:val="continue"/>
            <w:vAlign w:val="center"/>
          </w:tcPr>
          <w:p w14:paraId="7812B53E">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79DF6A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Align w:val="center"/>
          </w:tcPr>
          <w:p w14:paraId="0905FA78">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简单防渗区</w:t>
            </w:r>
          </w:p>
        </w:tc>
        <w:tc>
          <w:tcPr>
            <w:tcW w:w="1130" w:type="pct"/>
            <w:vAlign w:val="center"/>
          </w:tcPr>
          <w:p w14:paraId="4D12EF62">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中-强</w:t>
            </w:r>
          </w:p>
        </w:tc>
        <w:tc>
          <w:tcPr>
            <w:tcW w:w="1613" w:type="pct"/>
            <w:vAlign w:val="center"/>
          </w:tcPr>
          <w:p w14:paraId="09C4BD9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612" w:type="pct"/>
            <w:vAlign w:val="center"/>
          </w:tcPr>
          <w:p w14:paraId="78CB5CC4">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其他类型</w:t>
            </w:r>
          </w:p>
        </w:tc>
      </w:tr>
    </w:tbl>
    <w:p w14:paraId="5E9A3FB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highlight w:val="none"/>
          <w:lang w:eastAsia="zh-CN"/>
        </w:rPr>
      </w:pPr>
      <w:bookmarkStart w:id="319" w:name="_Hlk149949810"/>
      <w:r>
        <w:rPr>
          <w:rFonts w:hint="eastAsia" w:eastAsia="宋体" w:cs="Times New Roman"/>
          <w:color w:val="auto"/>
          <w:highlight w:val="none"/>
          <w:lang w:val="en-US" w:eastAsia="zh-CN"/>
        </w:rPr>
        <w:t>①</w:t>
      </w:r>
      <w:r>
        <w:rPr>
          <w:rFonts w:hint="default" w:ascii="Times New Roman" w:hAnsi="Times New Roman" w:eastAsia="宋体" w:cs="Times New Roman"/>
          <w:color w:val="auto"/>
          <w:highlight w:val="none"/>
        </w:rPr>
        <w:t>在一般防渗区执行《一般工业固体废物贮存和填埋污染控制标准》</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GB18599-2020</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中基底防渗要求，即当天然基础层的渗透系数大于1.0×10</w:t>
      </w:r>
      <w:r>
        <w:rPr>
          <w:rFonts w:hint="eastAsia" w:ascii="Times New Roman" w:hAnsi="Times New Roman" w:cs="Times New Roman"/>
          <w:color w:val="auto"/>
          <w:highlight w:val="none"/>
          <w:vertAlign w:val="superscript"/>
          <w:lang w:val="en-US" w:eastAsia="zh-CN"/>
        </w:rPr>
        <w:t>-</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cm/s时，采用天然或人工材料构筑防渗层，防渗层的厚度应相当于渗透系数1.0×10</w:t>
      </w:r>
      <w:r>
        <w:rPr>
          <w:rFonts w:hint="eastAsia" w:ascii="Times New Roman" w:hAnsi="Times New Roman" w:cs="Times New Roman"/>
          <w:color w:val="auto"/>
          <w:highlight w:val="none"/>
          <w:vertAlign w:val="superscript"/>
          <w:lang w:val="en-US" w:eastAsia="zh-CN"/>
        </w:rPr>
        <w:t>-</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cm/s或厚度1.5m的黏土层的防渗性能。</w:t>
      </w:r>
    </w:p>
    <w:p w14:paraId="79090DF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val="en-US" w:eastAsia="zh-CN"/>
        </w:rPr>
        <w:t>②</w:t>
      </w:r>
      <w:r>
        <w:rPr>
          <w:rFonts w:hint="default" w:ascii="Times New Roman" w:hAnsi="Times New Roman" w:eastAsia="宋体" w:cs="Times New Roman"/>
          <w:color w:val="auto"/>
          <w:highlight w:val="none"/>
        </w:rPr>
        <w:t>对于重点防渗区，如</w:t>
      </w:r>
      <w:r>
        <w:rPr>
          <w:rFonts w:hint="eastAsia" w:eastAsia="宋体" w:cs="Times New Roman"/>
          <w:color w:val="auto"/>
          <w:highlight w:val="none"/>
          <w:lang w:eastAsia="zh-CN"/>
        </w:rPr>
        <w:t>浸出车间</w:t>
      </w:r>
      <w:r>
        <w:rPr>
          <w:rFonts w:hint="default" w:ascii="Times New Roman" w:hAnsi="Times New Roman" w:eastAsia="宋体" w:cs="Times New Roman"/>
          <w:color w:val="auto"/>
          <w:highlight w:val="none"/>
        </w:rPr>
        <w:t>、萃取电积车间、事故池、硫酸</w:t>
      </w:r>
      <w:r>
        <w:rPr>
          <w:rFonts w:hint="eastAsia" w:ascii="Times New Roman" w:hAnsi="Times New Roman" w:cs="Times New Roman"/>
          <w:color w:val="auto"/>
          <w:highlight w:val="none"/>
          <w:lang w:val="en-US" w:eastAsia="zh-CN"/>
        </w:rPr>
        <w:t>储罐</w:t>
      </w:r>
      <w:r>
        <w:rPr>
          <w:rFonts w:hint="default" w:ascii="Times New Roman" w:hAnsi="Times New Roman" w:eastAsia="宋体" w:cs="Times New Roman"/>
          <w:color w:val="auto"/>
          <w:highlight w:val="none"/>
        </w:rPr>
        <w:t>、</w:t>
      </w:r>
      <w:r>
        <w:rPr>
          <w:rFonts w:hint="eastAsia" w:cs="Times New Roman"/>
          <w:color w:val="auto"/>
          <w:highlight w:val="none"/>
          <w:lang w:eastAsia="zh-CN"/>
        </w:rPr>
        <w:t>危废贮存库</w:t>
      </w:r>
      <w:r>
        <w:rPr>
          <w:rFonts w:hint="default" w:ascii="Times New Roman" w:hAnsi="Times New Roman" w:eastAsia="宋体" w:cs="Times New Roman"/>
          <w:color w:val="auto"/>
          <w:highlight w:val="none"/>
        </w:rPr>
        <w:t>、输液管线等防渗参照《石油化工工程防渗技术规范》（GBT50934-2013）设计。</w:t>
      </w:r>
    </w:p>
    <w:p w14:paraId="386561A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区域地面采用水泥硬化和严格防渗、防腐和防爆措施，区域周围设置具有强防渗性围堰和集水沟，区域基础铺设防渗膜防渗。混凝土池体采用防渗钢筋混凝土，池体内表面涂刷防渗涂料。</w:t>
      </w:r>
    </w:p>
    <w:p w14:paraId="62DCE2C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highlight w:val="none"/>
        </w:rPr>
      </w:pPr>
      <w:r>
        <w:rPr>
          <w:rFonts w:hint="eastAsia" w:eastAsia="宋体" w:cs="Times New Roman"/>
          <w:color w:val="auto"/>
          <w:highlight w:val="none"/>
          <w:lang w:val="en-US" w:eastAsia="zh-CN"/>
        </w:rPr>
        <w:t>③</w:t>
      </w:r>
      <w:r>
        <w:rPr>
          <w:rFonts w:hint="default" w:ascii="Times New Roman" w:hAnsi="Times New Roman" w:eastAsia="宋体" w:cs="Times New Roman"/>
          <w:color w:val="auto"/>
          <w:highlight w:val="none"/>
        </w:rPr>
        <w:t>防渗工程技术要求</w:t>
      </w:r>
    </w:p>
    <w:p w14:paraId="613706F4">
      <w:pPr>
        <w:pStyle w:val="144"/>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为防止废水跑、冒、滴、漏对土壤、地下水环境造成不利影响，依据本项目的工程建设特点，分区对工程采取防渗措施。根据企业物料或者污染物泄漏的途径和生产功能单元所处的位置，将厂区可</w:t>
      </w:r>
      <w:r>
        <w:rPr>
          <w:rFonts w:hint="eastAsia" w:cs="Times New Roman"/>
          <w:color w:val="auto"/>
          <w:sz w:val="24"/>
          <w:szCs w:val="24"/>
          <w:highlight w:val="none"/>
          <w:lang w:eastAsia="zh-CN"/>
        </w:rPr>
        <w:t>分为</w:t>
      </w:r>
      <w:r>
        <w:rPr>
          <w:rFonts w:hint="default" w:ascii="Times New Roman" w:hAnsi="Times New Roman" w:eastAsia="宋体" w:cs="Times New Roman"/>
          <w:color w:val="auto"/>
          <w:sz w:val="24"/>
          <w:szCs w:val="24"/>
          <w:highlight w:val="none"/>
        </w:rPr>
        <w:t>简单防渗区、一般防渗区和重点防渗区。防渗分区情况见表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6A2AEB6A">
      <w:pPr>
        <w:pStyle w:val="2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bCs/>
          <w:color w:val="auto"/>
          <w:sz w:val="21"/>
          <w:szCs w:val="21"/>
          <w:highlight w:val="none"/>
          <w:lang w:val="en-US"/>
        </w:rPr>
        <w:t>表</w:t>
      </w:r>
      <w:r>
        <w:rPr>
          <w:rFonts w:hint="default"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rPr>
        <w:t>.</w:t>
      </w:r>
      <w:r>
        <w:rPr>
          <w:rFonts w:hint="eastAsia" w:asci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rPr>
        <w:t>-</w:t>
      </w:r>
      <w:r>
        <w:rPr>
          <w:rFonts w:hint="eastAsia" w:asci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项目防渗措施及防渗效果一览表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896"/>
        <w:gridCol w:w="6048"/>
      </w:tblGrid>
      <w:tr w14:paraId="25832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08A51E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防渗分区</w:t>
            </w:r>
          </w:p>
        </w:tc>
        <w:tc>
          <w:tcPr>
            <w:tcW w:w="1059" w:type="pct"/>
            <w:tcBorders>
              <w:tl2br w:val="nil"/>
              <w:tr2bl w:val="nil"/>
            </w:tcBorders>
            <w:noWrap w:val="0"/>
            <w:vAlign w:val="center"/>
          </w:tcPr>
          <w:p w14:paraId="2E6994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位置</w:t>
            </w:r>
          </w:p>
        </w:tc>
        <w:tc>
          <w:tcPr>
            <w:tcW w:w="3378" w:type="pct"/>
            <w:tcBorders>
              <w:tl2br w:val="nil"/>
              <w:tr2bl w:val="nil"/>
            </w:tcBorders>
            <w:noWrap w:val="0"/>
            <w:vAlign w:val="center"/>
          </w:tcPr>
          <w:p w14:paraId="5EA78D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防渗措施</w:t>
            </w:r>
          </w:p>
        </w:tc>
      </w:tr>
      <w:tr w14:paraId="35D5C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restart"/>
            <w:tcBorders>
              <w:tl2br w:val="nil"/>
              <w:tr2bl w:val="nil"/>
            </w:tcBorders>
            <w:noWrap w:val="0"/>
            <w:vAlign w:val="center"/>
          </w:tcPr>
          <w:p w14:paraId="7684F0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重点防渗区</w:t>
            </w:r>
          </w:p>
        </w:tc>
        <w:tc>
          <w:tcPr>
            <w:tcW w:w="1059" w:type="pct"/>
            <w:tcBorders>
              <w:tl2br w:val="nil"/>
              <w:tr2bl w:val="nil"/>
            </w:tcBorders>
            <w:shd w:val="clear" w:color="auto" w:fill="auto"/>
            <w:noWrap w:val="0"/>
            <w:vAlign w:val="center"/>
          </w:tcPr>
          <w:p w14:paraId="0E2112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eastAsia="宋体" w:cs="Times New Roman"/>
                <w:b w:val="0"/>
                <w:bCs w:val="0"/>
                <w:snapToGrid/>
                <w:color w:val="auto"/>
                <w:kern w:val="2"/>
                <w:sz w:val="21"/>
                <w:szCs w:val="21"/>
                <w:highlight w:val="none"/>
                <w:lang w:val="en-US" w:eastAsia="zh-CN"/>
              </w:rPr>
              <w:t>浸出车间</w:t>
            </w:r>
          </w:p>
        </w:tc>
        <w:tc>
          <w:tcPr>
            <w:tcW w:w="3378" w:type="pct"/>
            <w:tcBorders>
              <w:tl2br w:val="nil"/>
              <w:tr2bl w:val="nil"/>
            </w:tcBorders>
            <w:shd w:val="clear" w:color="auto" w:fill="auto"/>
            <w:noWrap w:val="0"/>
            <w:vAlign w:val="center"/>
          </w:tcPr>
          <w:p w14:paraId="52D129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由上到下为：400mm碎石+DN100导流管</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300mm膜上土层（粉矿）</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w:t>
            </w:r>
            <w:r>
              <w:rPr>
                <w:rFonts w:hint="eastAsia" w:ascii="Times New Roman" w:hAnsi="Times New Roman" w:cs="Times New Roman"/>
                <w:b w:val="0"/>
                <w:bCs w:val="0"/>
                <w:color w:val="auto"/>
                <w:sz w:val="21"/>
                <w:szCs w:val="21"/>
                <w:highlight w:val="none"/>
                <w:lang w:val="en-US" w:eastAsia="zh-CN"/>
              </w:rPr>
              <w:t>膜下土工布层</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300mm膜下土层（粉矿）、</w:t>
            </w:r>
            <w:r>
              <w:rPr>
                <w:rFonts w:hint="default" w:ascii="Times New Roman" w:hAnsi="Times New Roman" w:eastAsia="宋体" w:cs="Times New Roman"/>
                <w:b w:val="0"/>
                <w:bCs w:val="0"/>
                <w:color w:val="auto"/>
                <w:sz w:val="21"/>
                <w:szCs w:val="21"/>
                <w:highlight w:val="none"/>
              </w:rPr>
              <w:t>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09895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3C7E27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shd w:val="clear" w:color="auto" w:fill="auto"/>
            <w:noWrap w:val="0"/>
            <w:vAlign w:val="center"/>
          </w:tcPr>
          <w:p w14:paraId="0CD225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default" w:ascii="Times New Roman" w:hAnsi="Times New Roman" w:eastAsia="宋体" w:cs="Times New Roman"/>
                <w:b w:val="0"/>
                <w:bCs w:val="0"/>
                <w:snapToGrid/>
                <w:color w:val="auto"/>
                <w:kern w:val="2"/>
                <w:sz w:val="21"/>
                <w:szCs w:val="21"/>
                <w:highlight w:val="none"/>
                <w:lang w:eastAsia="zh-CN"/>
              </w:rPr>
              <w:t>萃取</w:t>
            </w:r>
            <w:r>
              <w:rPr>
                <w:rFonts w:hint="eastAsia"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电积间</w:t>
            </w:r>
          </w:p>
        </w:tc>
        <w:tc>
          <w:tcPr>
            <w:tcW w:w="3378" w:type="pct"/>
            <w:tcBorders>
              <w:tl2br w:val="nil"/>
              <w:tr2bl w:val="nil"/>
            </w:tcBorders>
            <w:shd w:val="clear" w:color="auto" w:fill="auto"/>
            <w:noWrap w:val="0"/>
            <w:vAlign w:val="center"/>
          </w:tcPr>
          <w:p w14:paraId="45A7FF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环氧碱类防腐层、抗渗混凝土面层（厚度30cm，抗渗等级为P8）、600g/m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mm厚HDPE防渗膜、基层+垫层、600g/m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406BA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61" w:type="pct"/>
            <w:vMerge w:val="continue"/>
            <w:tcBorders>
              <w:tl2br w:val="nil"/>
              <w:tr2bl w:val="nil"/>
            </w:tcBorders>
            <w:noWrap w:val="0"/>
            <w:vAlign w:val="center"/>
          </w:tcPr>
          <w:p w14:paraId="2F551B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shd w:val="clear" w:color="auto" w:fill="auto"/>
            <w:noWrap w:val="0"/>
            <w:vAlign w:val="center"/>
          </w:tcPr>
          <w:p w14:paraId="22DCFD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default" w:ascii="Times New Roman" w:hAnsi="Times New Roman" w:eastAsia="宋体" w:cs="Times New Roman"/>
                <w:b w:val="0"/>
                <w:bCs w:val="0"/>
                <w:snapToGrid/>
                <w:color w:val="auto"/>
                <w:kern w:val="2"/>
                <w:sz w:val="21"/>
                <w:szCs w:val="21"/>
                <w:highlight w:val="none"/>
                <w:lang w:eastAsia="zh-CN"/>
              </w:rPr>
              <w:t>事故应急池</w:t>
            </w:r>
          </w:p>
        </w:tc>
        <w:tc>
          <w:tcPr>
            <w:tcW w:w="3378" w:type="pct"/>
            <w:tcBorders>
              <w:tl2br w:val="nil"/>
              <w:tr2bl w:val="nil"/>
            </w:tcBorders>
            <w:shd w:val="clear" w:color="auto" w:fill="auto"/>
            <w:noWrap w:val="0"/>
            <w:vAlign w:val="center"/>
          </w:tcPr>
          <w:p w14:paraId="5A4DFB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长丝无纺土工布、原土压实</w:t>
            </w:r>
            <w:r>
              <w:rPr>
                <w:rFonts w:hint="eastAsia" w:ascii="Times New Roman" w:hAnsi="Times New Roman" w:cs="Times New Roman"/>
                <w:b w:val="0"/>
                <w:bCs w:val="0"/>
                <w:color w:val="auto"/>
                <w:sz w:val="21"/>
                <w:szCs w:val="21"/>
                <w:highlight w:val="none"/>
                <w:lang w:eastAsia="zh-CN"/>
              </w:rPr>
              <w:t>。</w:t>
            </w:r>
          </w:p>
        </w:tc>
      </w:tr>
      <w:tr w14:paraId="7D80F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3305F0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1D7EA8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危废贮存库</w:t>
            </w:r>
          </w:p>
        </w:tc>
        <w:tc>
          <w:tcPr>
            <w:tcW w:w="3378" w:type="pct"/>
            <w:tcBorders>
              <w:tl2br w:val="nil"/>
              <w:tr2bl w:val="nil"/>
            </w:tcBorders>
            <w:noWrap w:val="0"/>
            <w:vAlign w:val="center"/>
          </w:tcPr>
          <w:p w14:paraId="59DADD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环氧碱类防腐层、抗渗混凝土面层（厚度30cm，抗渗等级为P8）、600g/m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mm厚HDPE防渗膜、基层+垫层、600g/m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72080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7FEA8B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1086C55D">
            <w:pPr>
              <w:pStyle w:val="4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w:t>
            </w:r>
            <w:r>
              <w:rPr>
                <w:rFonts w:hint="eastAsia" w:ascii="Times New Roman" w:hAnsi="Times New Roman" w:eastAsia="宋体" w:cs="Times New Roman"/>
                <w:b w:val="0"/>
                <w:bCs w:val="0"/>
                <w:color w:val="auto"/>
                <w:sz w:val="21"/>
                <w:szCs w:val="21"/>
                <w:highlight w:val="none"/>
                <w:lang w:val="en-US" w:eastAsia="zh-CN"/>
              </w:rPr>
              <w:t>储罐</w:t>
            </w:r>
            <w:r>
              <w:rPr>
                <w:rFonts w:hint="eastAsia" w:ascii="Times New Roman" w:hAnsi="Times New Roman" w:cs="Times New Roman"/>
                <w:b w:val="0"/>
                <w:bCs w:val="0"/>
                <w:color w:val="auto"/>
                <w:sz w:val="21"/>
                <w:szCs w:val="21"/>
                <w:highlight w:val="none"/>
                <w:lang w:val="en-US" w:eastAsia="zh-CN"/>
              </w:rPr>
              <w:t>区</w:t>
            </w:r>
          </w:p>
        </w:tc>
        <w:tc>
          <w:tcPr>
            <w:tcW w:w="3378" w:type="pct"/>
            <w:tcBorders>
              <w:tl2br w:val="nil"/>
              <w:tr2bl w:val="nil"/>
            </w:tcBorders>
            <w:noWrap w:val="0"/>
            <w:vAlign w:val="center"/>
          </w:tcPr>
          <w:p w14:paraId="7CDDE0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16559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2F9B8B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73E27B9D">
            <w:pPr>
              <w:pStyle w:val="4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尾矿库</w:t>
            </w:r>
          </w:p>
        </w:tc>
        <w:tc>
          <w:tcPr>
            <w:tcW w:w="3378" w:type="pct"/>
            <w:tcBorders>
              <w:tl2br w:val="nil"/>
              <w:tr2bl w:val="nil"/>
            </w:tcBorders>
            <w:noWrap w:val="0"/>
            <w:vAlign w:val="center"/>
          </w:tcPr>
          <w:p w14:paraId="587586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尾矿</w:t>
            </w:r>
            <w:r>
              <w:rPr>
                <w:rFonts w:hint="eastAsia" w:cs="Times New Roman"/>
                <w:b w:val="0"/>
                <w:bCs w:val="0"/>
                <w:color w:val="auto"/>
                <w:sz w:val="21"/>
                <w:szCs w:val="21"/>
                <w:highlight w:val="none"/>
                <w:lang w:val="en-US" w:eastAsia="zh-CN"/>
              </w:rPr>
              <w:t>库</w:t>
            </w:r>
            <w:r>
              <w:rPr>
                <w:rFonts w:hint="eastAsia" w:ascii="Times New Roman" w:hAnsi="Times New Roman" w:cs="Times New Roman"/>
                <w:b w:val="0"/>
                <w:bCs w:val="0"/>
                <w:color w:val="auto"/>
                <w:sz w:val="21"/>
                <w:szCs w:val="21"/>
                <w:highlight w:val="none"/>
                <w:lang w:val="en-US" w:eastAsia="zh-CN"/>
              </w:rPr>
              <w:t>坝内坡采用</w:t>
            </w:r>
            <w:r>
              <w:rPr>
                <w:rFonts w:hint="eastAsia" w:cs="Times New Roman"/>
                <w:b w:val="0"/>
                <w:bCs w:val="0"/>
                <w:color w:val="auto"/>
                <w:sz w:val="21"/>
                <w:szCs w:val="21"/>
                <w:highlight w:val="none"/>
                <w:lang w:val="en-US" w:eastAsia="zh-CN"/>
              </w:rPr>
              <w:t>了</w:t>
            </w:r>
            <w:r>
              <w:rPr>
                <w:rFonts w:hint="eastAsia" w:ascii="Times New Roman" w:hAnsi="Times New Roman" w:cs="Times New Roman"/>
                <w:b w:val="0"/>
                <w:bCs w:val="0"/>
                <w:color w:val="auto"/>
                <w:sz w:val="21"/>
                <w:szCs w:val="21"/>
                <w:highlight w:val="none"/>
                <w:lang w:val="en-US" w:eastAsia="zh-CN"/>
              </w:rPr>
              <w:t>500g/m</w:t>
            </w:r>
            <w:r>
              <w:rPr>
                <w:rFonts w:hint="eastAsia"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lang w:val="en-US" w:eastAsia="zh-CN"/>
              </w:rPr>
              <w:t>的土工布进行防渗处理，坝体内坡采用砂砾护坡，外坡根据当地生态环境管理部门的要求采用红砖或者喷浆护坡。</w:t>
            </w:r>
          </w:p>
        </w:tc>
      </w:tr>
      <w:tr w14:paraId="23359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2ECAE4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一般防渗区</w:t>
            </w:r>
          </w:p>
        </w:tc>
        <w:tc>
          <w:tcPr>
            <w:tcW w:w="1059" w:type="pct"/>
            <w:tcBorders>
              <w:tl2br w:val="nil"/>
              <w:tr2bl w:val="nil"/>
            </w:tcBorders>
            <w:noWrap w:val="0"/>
            <w:vAlign w:val="center"/>
          </w:tcPr>
          <w:p w14:paraId="5A7FEA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包括</w:t>
            </w:r>
            <w:r>
              <w:rPr>
                <w:rFonts w:hint="eastAsia" w:cs="Times New Roman"/>
                <w:b w:val="0"/>
                <w:bCs w:val="0"/>
                <w:color w:val="auto"/>
                <w:kern w:val="0"/>
                <w:sz w:val="21"/>
                <w:szCs w:val="21"/>
                <w:highlight w:val="none"/>
                <w:lang w:val="en-US" w:eastAsia="zh-CN"/>
              </w:rPr>
              <w:t>球磨</w:t>
            </w:r>
            <w:r>
              <w:rPr>
                <w:rFonts w:hint="eastAsia" w:ascii="Times New Roman" w:hAnsi="Times New Roman" w:cs="Times New Roman"/>
                <w:b w:val="0"/>
                <w:bCs w:val="0"/>
                <w:color w:val="auto"/>
                <w:kern w:val="0"/>
                <w:sz w:val="21"/>
                <w:szCs w:val="21"/>
                <w:highlight w:val="none"/>
                <w:lang w:val="en-US" w:eastAsia="zh-CN"/>
              </w:rPr>
              <w:t>车间</w:t>
            </w:r>
            <w:r>
              <w:rPr>
                <w:rFonts w:hint="default" w:ascii="Times New Roman" w:hAnsi="Times New Roman" w:eastAsia="宋体" w:cs="Times New Roman"/>
                <w:b w:val="0"/>
                <w:bCs w:val="0"/>
                <w:color w:val="auto"/>
                <w:kern w:val="0"/>
                <w:sz w:val="21"/>
                <w:szCs w:val="21"/>
                <w:highlight w:val="none"/>
              </w:rPr>
              <w:t>、</w:t>
            </w:r>
            <w:r>
              <w:rPr>
                <w:rFonts w:hint="eastAsia" w:cs="Times New Roman"/>
                <w:b w:val="0"/>
                <w:bCs w:val="0"/>
                <w:color w:val="auto"/>
                <w:kern w:val="0"/>
                <w:sz w:val="21"/>
                <w:szCs w:val="21"/>
                <w:highlight w:val="none"/>
                <w:lang w:val="en-US" w:eastAsia="zh-CN"/>
              </w:rPr>
              <w:t>原矿堆场、</w:t>
            </w:r>
            <w:r>
              <w:rPr>
                <w:rFonts w:hint="default" w:ascii="Times New Roman" w:hAnsi="Times New Roman" w:eastAsia="宋体" w:cs="Times New Roman"/>
                <w:b w:val="0"/>
                <w:bCs w:val="0"/>
                <w:color w:val="auto"/>
                <w:kern w:val="0"/>
                <w:sz w:val="21"/>
                <w:szCs w:val="21"/>
                <w:highlight w:val="none"/>
                <w:lang w:val="en-US" w:eastAsia="zh-CN"/>
              </w:rPr>
              <w:t>公用工程等</w:t>
            </w:r>
          </w:p>
        </w:tc>
        <w:tc>
          <w:tcPr>
            <w:tcW w:w="3378" w:type="pct"/>
            <w:tcBorders>
              <w:tl2br w:val="nil"/>
              <w:tr2bl w:val="nil"/>
            </w:tcBorders>
            <w:noWrap w:val="0"/>
            <w:vAlign w:val="center"/>
          </w:tcPr>
          <w:p w14:paraId="4F877E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压实系数≥0.92的夯实基土；150mm 厚粒径5～32mm碎石灌M2.5混合砂浆层；80mm厚抗渗合成纤维混凝土防渗层随捣随抹（内掺高延展高强度复合抗裂纤维），水泥浆一道（内掺108建筑胶），重点防渗区选取强度为C30，抗渗等级为P8等级混凝土；20mm厚C20细石混凝土，随打随抹光（骨料用石灰石、白云石）；防腐涂料2mm</w:t>
            </w:r>
            <w:r>
              <w:rPr>
                <w:rFonts w:hint="eastAsia" w:ascii="Times New Roman" w:hAnsi="Times New Roman" w:eastAsia="宋体" w:cs="Times New Roman"/>
                <w:b w:val="0"/>
                <w:bCs w:val="0"/>
                <w:color w:val="auto"/>
                <w:sz w:val="21"/>
                <w:szCs w:val="21"/>
                <w:highlight w:val="none"/>
                <w:lang w:eastAsia="zh-CN"/>
              </w:rPr>
              <w:t>。</w:t>
            </w:r>
          </w:p>
        </w:tc>
      </w:tr>
      <w:tr w14:paraId="61B4C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5155A0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简单防渗区</w:t>
            </w:r>
          </w:p>
        </w:tc>
        <w:tc>
          <w:tcPr>
            <w:tcW w:w="1059" w:type="pct"/>
            <w:tcBorders>
              <w:tl2br w:val="nil"/>
              <w:tr2bl w:val="nil"/>
            </w:tcBorders>
            <w:noWrap w:val="0"/>
            <w:vAlign w:val="center"/>
          </w:tcPr>
          <w:p w14:paraId="072198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重点、一般防渗区以外的厂内地区，如：厂区地面、配电室等。</w:t>
            </w:r>
          </w:p>
        </w:tc>
        <w:tc>
          <w:tcPr>
            <w:tcW w:w="3378" w:type="pct"/>
            <w:tcBorders>
              <w:tl2br w:val="nil"/>
              <w:tr2bl w:val="nil"/>
            </w:tcBorders>
            <w:noWrap w:val="0"/>
            <w:vAlign w:val="center"/>
          </w:tcPr>
          <w:p w14:paraId="355312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一般地面水泥硬化</w:t>
            </w:r>
          </w:p>
        </w:tc>
      </w:tr>
      <w:bookmarkEnd w:id="319"/>
    </w:tbl>
    <w:p w14:paraId="21F718F4">
      <w:pPr>
        <w:pStyle w:val="50"/>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（3）污染监控体系</w:t>
      </w:r>
    </w:p>
    <w:p w14:paraId="5BD5F10B">
      <w:pPr>
        <w:pStyle w:val="50"/>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①建设单位应建立地下水环境监测管理体系，包括制定地下水环境影响跟踪监测计划、建立地下水环境影响跟踪监测制度、配备先进的监测仪器和设备，以便及时发现问题，采取措施。</w:t>
      </w:r>
    </w:p>
    <w:p w14:paraId="68D85BB6">
      <w:pPr>
        <w:pStyle w:val="50"/>
        <w:pageBreakBefore w:val="0"/>
        <w:wordWrap/>
        <w:topLinePunct w:val="0"/>
        <w:bidi w:val="0"/>
        <w:adjustRightInd w:val="0"/>
        <w:snapToGrid w:val="0"/>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②跟踪监测</w:t>
      </w:r>
    </w:p>
    <w:p w14:paraId="0DD45FA4">
      <w:pPr>
        <w:pStyle w:val="50"/>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建设单位应制定地下水跟踪监测计划，本项目地下水评价等级为二级评价，应设置3个地下水跟踪监测点，至少在项目场地</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上</w:t>
      </w:r>
      <w:r>
        <w:rPr>
          <w:rFonts w:hint="eastAsia"/>
          <w:color w:val="auto"/>
          <w:highlight w:val="none"/>
          <w:lang w:eastAsia="zh-CN"/>
        </w:rPr>
        <w:t>、</w:t>
      </w:r>
      <w:r>
        <w:rPr>
          <w:rFonts w:hint="default" w:ascii="Times New Roman" w:hAnsi="Times New Roman" w:cs="Times New Roman"/>
          <w:color w:val="auto"/>
          <w:highlight w:val="none"/>
        </w:rPr>
        <w:t>下游各布设1个。监测层位为潜水含水层，监测因子为pH、化学需氧量、氨氮、石油类、砷、汞、铅、镉、六价铬、铜、镍等。</w:t>
      </w:r>
    </w:p>
    <w:p w14:paraId="68ABD625">
      <w:pPr>
        <w:pageBreakBefore w:val="0"/>
        <w:wordWrap/>
        <w:topLinePunct w:val="0"/>
        <w:bidi w:val="0"/>
        <w:adjustRightInd w:val="0"/>
        <w:snapToGrid w:val="0"/>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③地下水和跟踪监测与信息公开计划</w:t>
      </w:r>
    </w:p>
    <w:p w14:paraId="4323764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的安全环保部门应设立地下水动态监测小组，专人负责监测，并编写地下水跟踪监测报告。监测报告的内容一般包括：建设项目所在场地的地下水环境跟踪监测数据，排放污染物的种类、数量和浓度；生产设备、管道、贮存与运输装置、污染物贮存与处理装置、事故应急装置等设施的运行状况、跑冒滴漏记录、维护记录。监测报告应按项目有关规定及时建立档案，并定期向安全环保部门汇报，建设单位应定期公开特征因子的地下水监测值。</w:t>
      </w:r>
    </w:p>
    <w:p w14:paraId="2C373DA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（4）应急响应措施</w:t>
      </w:r>
    </w:p>
    <w:p w14:paraId="2CB2C8A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制定地下水污染应急响应预案，明确污染状况下应采取的控制污染源、切断污染途径等措施。一旦发现地下水污染事故，立即启动地下水污染应急响应预案，采取应急措施控制地下水污染，并使污染得到治理。</w:t>
      </w:r>
    </w:p>
    <w:p w14:paraId="5B4A8BA2">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bookmarkStart w:id="320" w:name="_Toc527982462"/>
      <w:r>
        <w:rPr>
          <w:rFonts w:hint="default" w:ascii="Times New Roman" w:hAnsi="Times New Roman" w:cs="Times New Roman"/>
          <w:b/>
          <w:bCs/>
          <w:color w:val="auto"/>
          <w:sz w:val="28"/>
          <w:szCs w:val="28"/>
          <w:highlight w:val="none"/>
        </w:rPr>
        <w:t>6.2.4噪声防治措施</w:t>
      </w:r>
      <w:bookmarkEnd w:id="320"/>
    </w:p>
    <w:p w14:paraId="7136A9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bookmarkStart w:id="321" w:name="_Toc527982463"/>
      <w:r>
        <w:rPr>
          <w:rFonts w:hint="default" w:ascii="Times New Roman" w:hAnsi="Times New Roman" w:eastAsia="宋体" w:cs="Times New Roman"/>
          <w:color w:val="auto"/>
          <w:kern w:val="0"/>
          <w:szCs w:val="28"/>
          <w:highlight w:val="none"/>
          <w:lang w:val="en-US" w:eastAsia="zh-CN"/>
        </w:rPr>
        <w:t>噪声源分为室内声源及室外声源两大类，针对不同类型噪声源，主要考虑噪声源控制措施、噪声传播途径控制措施及管理措施。具体控制措施如下：</w:t>
      </w:r>
    </w:p>
    <w:p w14:paraId="5D4878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（1）噪声源控制措施</w:t>
      </w:r>
    </w:p>
    <w:p w14:paraId="7B282C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①选用低噪声设备及低噪声工艺。在设备选型上选择低噪声和符合国家噪声相关标准的设备。</w:t>
      </w:r>
    </w:p>
    <w:p w14:paraId="34BA80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②采用隔声降噪技术。对各生产环节中噪声较为突出的，且又难以对声源进行降噪处理的设备装置，应安装适宜的隔声罩、消声器等设施。对于产噪较大的独立设备，可采用固定或密封式隔声罩以及局部隔声罩，将噪声影响控制在较小范围内。</w:t>
      </w:r>
    </w:p>
    <w:p w14:paraId="5F2477C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③降低振动噪声。采用弹性支承或弹性连接以减少振动。采用动力消振装置或设置隔振屏。</w:t>
      </w:r>
    </w:p>
    <w:p w14:paraId="6ED7BF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④厂区</w:t>
      </w:r>
      <w:r>
        <w:rPr>
          <w:rFonts w:hint="eastAsia" w:cs="Times New Roman"/>
          <w:color w:val="auto"/>
          <w:kern w:val="0"/>
          <w:szCs w:val="28"/>
          <w:highlight w:val="none"/>
          <w:lang w:val="en-US" w:eastAsia="zh-CN"/>
        </w:rPr>
        <w:t>总体</w:t>
      </w:r>
      <w:r>
        <w:rPr>
          <w:rFonts w:hint="default" w:ascii="Times New Roman" w:hAnsi="Times New Roman" w:eastAsia="宋体" w:cs="Times New Roman"/>
          <w:color w:val="auto"/>
          <w:kern w:val="0"/>
          <w:szCs w:val="28"/>
          <w:highlight w:val="none"/>
          <w:lang w:val="en-US" w:eastAsia="zh-CN"/>
        </w:rPr>
        <w:t>布置合理布局，项目建设内容均位于冶炼厂规划的生产区域，与职工办公生活区域相对独立，可以降低噪声对职工的影响。</w:t>
      </w:r>
    </w:p>
    <w:p w14:paraId="51D39E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⑤在生产条件允许的情况下，尽可能缩短夜间生产时间。</w:t>
      </w:r>
    </w:p>
    <w:p w14:paraId="17DE7F1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（2）噪声传播途径控制措施</w:t>
      </w:r>
    </w:p>
    <w:p w14:paraId="25204A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①尽可能将高噪声设备布置在厂房内，利用厂房隔声降低噪声对外环境的影响。</w:t>
      </w:r>
    </w:p>
    <w:p w14:paraId="29DC22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②对于不能布置在厂房内的高噪声设备，在不影响生产工艺的条件下尽量布置在远离办公生活区一侧，以降低高噪声设备运行对工作人员的影响。</w:t>
      </w:r>
    </w:p>
    <w:p w14:paraId="7A030E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③继续加强厂区绿化。在道路两旁，高噪声厂房周围及其他声源附近，在不影响消防及安全的前提下尽可能多种植树草，利用植物的降噪作用降低噪声水平。另外在厂界周围种植绿化隔离带，进一步减轻整个厂区对周围声环境的影响。</w:t>
      </w:r>
    </w:p>
    <w:p w14:paraId="733627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（3）管理措施</w:t>
      </w:r>
    </w:p>
    <w:p w14:paraId="7745BB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①强化生产管理，确保降噪措施的有效运行，并加强对生产设备的保养、检修与润滑，保证设备处于良好的运转状态。</w:t>
      </w:r>
    </w:p>
    <w:p w14:paraId="7820B4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②定期对厂界噪声进行监测，发现厂界噪声超标及时查找原因并进行整改，确保项目噪声长期稳定达标。</w:t>
      </w:r>
    </w:p>
    <w:p w14:paraId="0A006BF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综上所述，在采取上述噪声控制及管理措施后，本项目运营期厂界噪声可满足《工业企业厂界环境噪声排放标准》（GB12348-2008）3类声环境功能区环境噪声限值，对周围环境影响较小。项目拟采取的措施符合噪声防治原则，技术成熟，项目拟采取的噪声污染防治措施是可行的。</w:t>
      </w:r>
    </w:p>
    <w:p w14:paraId="5FBC5E89">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6.2.5固体废物防治措施</w:t>
      </w:r>
      <w:bookmarkEnd w:id="321"/>
    </w:p>
    <w:p w14:paraId="29DB4D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bookmarkStart w:id="322" w:name="_Toc11383"/>
      <w:bookmarkStart w:id="323" w:name="_Hlk149949870"/>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处置措施汇总</w:t>
      </w:r>
      <w:bookmarkEnd w:id="322"/>
    </w:p>
    <w:p w14:paraId="6C105D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bookmarkStart w:id="324" w:name="_Toc28777"/>
      <w:r>
        <w:rPr>
          <w:rFonts w:hint="eastAsia" w:ascii="Times New Roman" w:hAnsi="Times New Roman" w:cs="Times New Roman"/>
          <w:color w:val="auto"/>
          <w:kern w:val="0"/>
          <w:szCs w:val="28"/>
          <w:highlight w:val="none"/>
          <w:lang w:val="en-US" w:eastAsia="zh-CN"/>
        </w:rPr>
        <w:t>①</w:t>
      </w:r>
      <w:r>
        <w:rPr>
          <w:rFonts w:hint="default" w:ascii="Times New Roman" w:hAnsi="Times New Roman" w:cs="Times New Roman"/>
          <w:color w:val="auto"/>
          <w:kern w:val="0"/>
          <w:szCs w:val="28"/>
          <w:highlight w:val="none"/>
        </w:rPr>
        <w:t>生活垃圾</w:t>
      </w:r>
    </w:p>
    <w:p w14:paraId="696FD0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项目新增员工30人，以每人每天产生</w:t>
      </w:r>
      <w:r>
        <w:rPr>
          <w:rFonts w:hint="eastAsia" w:cs="Times New Roman"/>
          <w:color w:val="auto"/>
          <w:kern w:val="0"/>
          <w:szCs w:val="28"/>
          <w:highlight w:val="none"/>
          <w:lang w:val="en-US" w:eastAsia="zh-CN"/>
        </w:rPr>
        <w:t>1</w:t>
      </w:r>
      <w:r>
        <w:rPr>
          <w:rFonts w:hint="default" w:ascii="Times New Roman" w:hAnsi="Times New Roman" w:cs="Times New Roman"/>
          <w:color w:val="auto"/>
          <w:kern w:val="0"/>
          <w:szCs w:val="28"/>
          <w:highlight w:val="none"/>
        </w:rPr>
        <w:t>kg生活垃圾计算，则共产生生活垃圾</w:t>
      </w:r>
      <w:r>
        <w:rPr>
          <w:rFonts w:hint="eastAsia" w:cs="Times New Roman"/>
          <w:color w:val="auto"/>
          <w:kern w:val="0"/>
          <w:szCs w:val="28"/>
          <w:highlight w:val="none"/>
          <w:lang w:val="en-US" w:eastAsia="zh-CN"/>
        </w:rPr>
        <w:t>30</w:t>
      </w:r>
      <w:r>
        <w:rPr>
          <w:rFonts w:hint="default" w:ascii="Times New Roman" w:hAnsi="Times New Roman" w:cs="Times New Roman"/>
          <w:color w:val="auto"/>
          <w:kern w:val="0"/>
          <w:szCs w:val="28"/>
          <w:highlight w:val="none"/>
        </w:rPr>
        <w:t>kg/d，</w:t>
      </w:r>
      <w:r>
        <w:rPr>
          <w:rFonts w:hint="eastAsia" w:cs="Times New Roman"/>
          <w:color w:val="auto"/>
          <w:kern w:val="0"/>
          <w:szCs w:val="28"/>
          <w:highlight w:val="none"/>
          <w:lang w:val="en-US" w:eastAsia="zh-CN"/>
        </w:rPr>
        <w:t>7.5</w:t>
      </w:r>
      <w:r>
        <w:rPr>
          <w:rFonts w:hint="default" w:ascii="Times New Roman" w:hAnsi="Times New Roman" w:cs="Times New Roman"/>
          <w:color w:val="auto"/>
          <w:kern w:val="0"/>
          <w:szCs w:val="28"/>
          <w:highlight w:val="none"/>
        </w:rPr>
        <w:t>t/a；此类垃圾分类收集于生活垃圾箱中，</w:t>
      </w:r>
      <w:r>
        <w:rPr>
          <w:rFonts w:hint="eastAsia" w:cs="Times New Roman"/>
          <w:color w:val="auto"/>
          <w:kern w:val="0"/>
          <w:szCs w:val="28"/>
          <w:highlight w:val="none"/>
          <w:lang w:val="en-US" w:eastAsia="zh-CN"/>
        </w:rPr>
        <w:t>由环卫部门</w:t>
      </w:r>
      <w:r>
        <w:rPr>
          <w:rFonts w:hint="default" w:ascii="Times New Roman" w:hAnsi="Times New Roman" w:cs="Times New Roman"/>
          <w:color w:val="auto"/>
          <w:kern w:val="0"/>
          <w:szCs w:val="28"/>
          <w:highlight w:val="none"/>
        </w:rPr>
        <w:t>定期清运至生活垃圾填埋场</w:t>
      </w:r>
      <w:r>
        <w:rPr>
          <w:rFonts w:hint="eastAsia" w:cs="Times New Roman"/>
          <w:color w:val="auto"/>
          <w:kern w:val="0"/>
          <w:szCs w:val="28"/>
          <w:highlight w:val="none"/>
          <w:lang w:val="en-US" w:eastAsia="zh-CN"/>
        </w:rPr>
        <w:t>填埋</w:t>
      </w:r>
      <w:r>
        <w:rPr>
          <w:rFonts w:hint="default" w:ascii="Times New Roman" w:hAnsi="Times New Roman" w:cs="Times New Roman"/>
          <w:color w:val="auto"/>
          <w:kern w:val="0"/>
          <w:szCs w:val="28"/>
          <w:highlight w:val="none"/>
        </w:rPr>
        <w:t>。</w:t>
      </w:r>
    </w:p>
    <w:p w14:paraId="2E9F5B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eastAsia" w:ascii="Times New Roman" w:hAnsi="Times New Roman" w:eastAsia="宋体" w:cs="Times New Roman"/>
          <w:color w:val="auto"/>
          <w:kern w:val="0"/>
          <w:sz w:val="24"/>
          <w:szCs w:val="28"/>
          <w:highlight w:val="none"/>
          <w:lang w:val="en-US" w:eastAsia="zh-CN" w:bidi="ar-SA"/>
        </w:rPr>
        <w:t>②</w:t>
      </w:r>
      <w:r>
        <w:rPr>
          <w:rFonts w:hint="default" w:ascii="Times New Roman" w:hAnsi="Times New Roman" w:cs="Times New Roman"/>
          <w:color w:val="auto"/>
          <w:kern w:val="0"/>
          <w:szCs w:val="28"/>
          <w:highlight w:val="none"/>
          <w:lang w:val="en-US" w:eastAsia="zh-CN"/>
        </w:rPr>
        <w:t>浸出矿渣</w:t>
      </w:r>
    </w:p>
    <w:p w14:paraId="20848B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val="en-US" w:eastAsia="zh-CN"/>
        </w:rPr>
        <w:t>项目本次产生的浸出矿渣约496500t，按照《铜冶炼污染防治可行技术指南》中“2.2.3 固体废物污染：湿法炼铜排放的固体废物主要为浸出渣。湿法炼铜浸出渣、脱硫副产物的属性需经过鉴别，并根据其性质和类别确定处理处置方式。</w:t>
      </w:r>
      <w:r>
        <w:rPr>
          <w:rFonts w:hint="eastAsia" w:cs="Times New Roman"/>
          <w:color w:val="auto"/>
          <w:kern w:val="0"/>
          <w:szCs w:val="28"/>
          <w:highlight w:val="none"/>
          <w:lang w:val="en-US" w:eastAsia="zh-CN"/>
        </w:rPr>
        <w:t>”的要求进行鉴别，鉴别前</w:t>
      </w:r>
      <w:r>
        <w:rPr>
          <w:rFonts w:hint="default" w:ascii="Times New Roman" w:hAnsi="Times New Roman" w:cs="Times New Roman"/>
          <w:color w:val="auto"/>
          <w:kern w:val="0"/>
          <w:szCs w:val="28"/>
          <w:highlight w:val="none"/>
          <w:lang w:val="en-US" w:eastAsia="zh-CN"/>
        </w:rPr>
        <w:t>的浸出渣按照《危险废物贮存污染控制标准》（GB18597-2023）进行管理，暂存于</w:t>
      </w:r>
      <w:r>
        <w:rPr>
          <w:rFonts w:hint="eastAsia" w:cs="Times New Roman"/>
          <w:color w:val="auto"/>
          <w:kern w:val="0"/>
          <w:szCs w:val="28"/>
          <w:highlight w:val="none"/>
          <w:lang w:val="en-US" w:eastAsia="zh-CN"/>
        </w:rPr>
        <w:t>危废贮存库</w:t>
      </w:r>
      <w:r>
        <w:rPr>
          <w:rFonts w:hint="default" w:ascii="Times New Roman" w:hAnsi="Times New Roman" w:cs="Times New Roman"/>
          <w:color w:val="auto"/>
          <w:kern w:val="0"/>
          <w:szCs w:val="28"/>
          <w:highlight w:val="none"/>
          <w:lang w:val="en-US" w:eastAsia="zh-CN"/>
        </w:rPr>
        <w:t>内</w:t>
      </w:r>
      <w:r>
        <w:rPr>
          <w:rFonts w:hint="eastAsia" w:cs="Times New Roman"/>
          <w:color w:val="auto"/>
          <w:kern w:val="0"/>
          <w:szCs w:val="28"/>
          <w:highlight w:val="none"/>
          <w:lang w:val="en-US" w:eastAsia="zh-CN"/>
        </w:rPr>
        <w:t>，若</w:t>
      </w:r>
      <w:r>
        <w:rPr>
          <w:rFonts w:hint="default" w:ascii="Times New Roman" w:hAnsi="Times New Roman" w:cs="Times New Roman"/>
          <w:color w:val="auto"/>
          <w:kern w:val="0"/>
          <w:szCs w:val="28"/>
          <w:highlight w:val="none"/>
          <w:lang w:val="en-US" w:eastAsia="zh-CN"/>
        </w:rPr>
        <w:t>鉴别结果为危险废物，收集后交由有相应危险废物处理资质的单位处置，若属于一般固体废物，则暂存于尾矿库中，并采取苫盖防尘网定期洒水等措施有效抑制扬尘产生，外售下游企业</w:t>
      </w:r>
      <w:r>
        <w:rPr>
          <w:rFonts w:hint="eastAsia" w:cs="Times New Roman"/>
          <w:color w:val="auto"/>
          <w:kern w:val="0"/>
          <w:szCs w:val="28"/>
          <w:highlight w:val="none"/>
          <w:lang w:val="en-US" w:eastAsia="zh-CN"/>
        </w:rPr>
        <w:t>。</w:t>
      </w:r>
    </w:p>
    <w:p w14:paraId="281214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eastAsia" w:ascii="Times New Roman" w:hAnsi="Times New Roman" w:cs="Times New Roman"/>
          <w:color w:val="auto"/>
          <w:kern w:val="0"/>
          <w:szCs w:val="28"/>
          <w:highlight w:val="none"/>
          <w:lang w:val="en-US" w:eastAsia="zh-CN"/>
        </w:rPr>
        <w:t>③</w:t>
      </w:r>
      <w:r>
        <w:rPr>
          <w:rFonts w:hint="default" w:ascii="Times New Roman" w:hAnsi="Times New Roman" w:cs="Times New Roman"/>
          <w:color w:val="auto"/>
          <w:kern w:val="0"/>
          <w:szCs w:val="28"/>
          <w:highlight w:val="none"/>
          <w:lang w:eastAsia="zh-CN"/>
        </w:rPr>
        <w:t>收集尘</w:t>
      </w:r>
    </w:p>
    <w:p w14:paraId="4C030B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破碎系统除尘器收集的收集尘470.26t/a，全部回用于生产。</w:t>
      </w:r>
    </w:p>
    <w:p w14:paraId="032604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rPr>
      </w:pPr>
      <w:r>
        <w:rPr>
          <w:rFonts w:hint="eastAsia" w:ascii="Times New Roman" w:hAnsi="Times New Roman" w:eastAsia="宋体" w:cs="Times New Roman"/>
          <w:snapToGrid w:val="0"/>
          <w:color w:val="auto"/>
          <w:spacing w:val="0"/>
          <w:kern w:val="0"/>
          <w:sz w:val="24"/>
          <w:szCs w:val="24"/>
          <w:highlight w:val="none"/>
          <w:lang w:val="en-US" w:eastAsia="zh-CN"/>
        </w:rPr>
        <w:t>④</w:t>
      </w:r>
      <w:r>
        <w:rPr>
          <w:rFonts w:hint="default" w:ascii="Times New Roman" w:hAnsi="Times New Roman" w:eastAsia="宋体" w:cs="Times New Roman"/>
          <w:snapToGrid w:val="0"/>
          <w:color w:val="auto"/>
          <w:spacing w:val="0"/>
          <w:kern w:val="0"/>
          <w:sz w:val="24"/>
          <w:szCs w:val="24"/>
          <w:highlight w:val="none"/>
        </w:rPr>
        <w:t>废弃除尘布袋</w:t>
      </w:r>
    </w:p>
    <w:p w14:paraId="04527C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rPr>
      </w:pPr>
      <w:r>
        <w:rPr>
          <w:rFonts w:hint="default" w:ascii="Times New Roman" w:hAnsi="Times New Roman" w:eastAsia="宋体" w:cs="Times New Roman"/>
          <w:snapToGrid w:val="0"/>
          <w:color w:val="auto"/>
          <w:spacing w:val="0"/>
          <w:kern w:val="0"/>
          <w:sz w:val="24"/>
          <w:szCs w:val="24"/>
          <w:highlight w:val="none"/>
        </w:rPr>
        <w:t>本项目</w:t>
      </w:r>
      <w:r>
        <w:rPr>
          <w:rFonts w:hint="default" w:ascii="Times New Roman" w:hAnsi="Times New Roman" w:eastAsia="宋体" w:cs="Times New Roman"/>
          <w:snapToGrid w:val="0"/>
          <w:color w:val="auto"/>
          <w:spacing w:val="0"/>
          <w:kern w:val="0"/>
          <w:sz w:val="24"/>
          <w:szCs w:val="24"/>
          <w:highlight w:val="none"/>
          <w:lang w:eastAsia="zh-CN"/>
        </w:rPr>
        <w:t>生产过程中废气通过</w:t>
      </w:r>
      <w:r>
        <w:rPr>
          <w:rFonts w:hint="default" w:ascii="Times New Roman" w:hAnsi="Times New Roman" w:eastAsia="宋体" w:cs="Times New Roman"/>
          <w:snapToGrid w:val="0"/>
          <w:color w:val="auto"/>
          <w:spacing w:val="0"/>
          <w:kern w:val="0"/>
          <w:sz w:val="24"/>
          <w:szCs w:val="24"/>
          <w:highlight w:val="none"/>
        </w:rPr>
        <w:t>布袋除尘器进行收尘，其中的布袋需要定期更换，滤袋是袋式除尘器的核心部件，滤袋使用寿命根据不同滤袋材质和使用的工况而不同，使用寿命一般为3至4年，滤袋每隔数年需更换，更换下来的废弃滤袋数量大，处置不当将会产生新的污染源。根据企业提供资料，废布袋产生量约为9t，约3年更换一次，定期委托有资质的单位处理。</w:t>
      </w:r>
    </w:p>
    <w:p w14:paraId="2F9520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eastAsia" w:ascii="Times New Roman" w:hAnsi="Times New Roman" w:cs="Times New Roman"/>
          <w:color w:val="auto"/>
          <w:kern w:val="0"/>
          <w:szCs w:val="28"/>
          <w:highlight w:val="none"/>
          <w:lang w:val="en-US" w:eastAsia="zh-CN"/>
        </w:rPr>
        <w:t>⑤</w:t>
      </w:r>
      <w:r>
        <w:rPr>
          <w:rFonts w:hint="default" w:ascii="Times New Roman" w:hAnsi="Times New Roman" w:cs="Times New Roman"/>
          <w:color w:val="auto"/>
          <w:kern w:val="0"/>
          <w:szCs w:val="28"/>
          <w:highlight w:val="none"/>
          <w:lang w:eastAsia="zh-CN"/>
        </w:rPr>
        <w:t>氢氧化钠包装袋</w:t>
      </w:r>
    </w:p>
    <w:p w14:paraId="58FABD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本项目碱洗塔使用氢氧化钠将产生氢氧化钠包装袋，根据建设单位提供资料，本项目氢氧化钠包装袋产生量为0.0</w:t>
      </w:r>
      <w:r>
        <w:rPr>
          <w:rFonts w:hint="eastAsia" w:cs="Times New Roman"/>
          <w:color w:val="auto"/>
          <w:kern w:val="0"/>
          <w:szCs w:val="28"/>
          <w:highlight w:val="none"/>
          <w:lang w:val="en-US" w:eastAsia="zh-CN"/>
        </w:rPr>
        <w:t>5</w:t>
      </w:r>
      <w:r>
        <w:rPr>
          <w:rFonts w:hint="default" w:ascii="Times New Roman" w:hAnsi="Times New Roman" w:cs="Times New Roman"/>
          <w:color w:val="auto"/>
          <w:kern w:val="0"/>
          <w:szCs w:val="28"/>
          <w:highlight w:val="none"/>
          <w:lang w:eastAsia="zh-CN"/>
        </w:rPr>
        <w:t>t/a。氢氧化钠包装袋通过对照《国家危险废物名录（2025年版）》，氢氧化钠包装袋属于危险废物，危废代码为（HW49，900-041-49），本项目生产过程中产生的氢氧化钠包装袋统一收集，暂存在危险废物贮存点，委托有资质的单位统一处理。</w:t>
      </w:r>
    </w:p>
    <w:p w14:paraId="11536B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eastAsia" w:ascii="Times New Roman" w:hAnsi="Times New Roman" w:cs="Times New Roman"/>
          <w:color w:val="auto"/>
          <w:kern w:val="0"/>
          <w:szCs w:val="28"/>
          <w:highlight w:val="none"/>
          <w:lang w:val="en-US" w:eastAsia="zh-CN"/>
        </w:rPr>
        <w:t>⑥</w:t>
      </w:r>
      <w:r>
        <w:rPr>
          <w:rFonts w:hint="default" w:ascii="Times New Roman" w:hAnsi="Times New Roman" w:cs="Times New Roman"/>
          <w:color w:val="auto"/>
          <w:kern w:val="0"/>
          <w:szCs w:val="28"/>
          <w:highlight w:val="none"/>
          <w:lang w:eastAsia="zh-CN"/>
        </w:rPr>
        <w:t>废润滑油</w:t>
      </w:r>
    </w:p>
    <w:p w14:paraId="7EC9E3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本项目设备维护、更换和拆解过程中产生的废润滑油，产生量约为0.1t/a，收集、储存于</w:t>
      </w:r>
      <w:r>
        <w:rPr>
          <w:rFonts w:hint="eastAsia" w:cs="Times New Roman"/>
          <w:color w:val="auto"/>
          <w:kern w:val="0"/>
          <w:szCs w:val="28"/>
          <w:highlight w:val="none"/>
          <w:lang w:eastAsia="zh-CN"/>
        </w:rPr>
        <w:t>危废贮存库</w:t>
      </w:r>
      <w:r>
        <w:rPr>
          <w:rFonts w:hint="default" w:ascii="Times New Roman" w:hAnsi="Times New Roman" w:cs="Times New Roman"/>
          <w:color w:val="auto"/>
          <w:kern w:val="0"/>
          <w:szCs w:val="28"/>
          <w:highlight w:val="none"/>
          <w:lang w:eastAsia="zh-CN"/>
        </w:rPr>
        <w:t>，交由有资质的机构处理。根据《国家危险废物名录（2025年版）》，废润滑油属于危险废物，危险废物代码为（HW08，900-217-08），暂存在危险废物贮存点，委托有资质的单位处理。</w:t>
      </w:r>
    </w:p>
    <w:p w14:paraId="15CBE1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eastAsia" w:ascii="Times New Roman" w:hAnsi="Times New Roman" w:cs="Times New Roman"/>
          <w:color w:val="auto"/>
          <w:kern w:val="0"/>
          <w:szCs w:val="28"/>
          <w:highlight w:val="none"/>
          <w:lang w:val="en-US" w:eastAsia="zh-CN"/>
        </w:rPr>
        <w:t>⑦</w:t>
      </w:r>
      <w:r>
        <w:rPr>
          <w:rFonts w:hint="default" w:ascii="Times New Roman" w:hAnsi="Times New Roman" w:cs="Times New Roman"/>
          <w:color w:val="auto"/>
          <w:kern w:val="0"/>
          <w:szCs w:val="28"/>
          <w:highlight w:val="none"/>
          <w:lang w:eastAsia="zh-CN"/>
        </w:rPr>
        <w:t>空油桶</w:t>
      </w:r>
    </w:p>
    <w:p w14:paraId="64571A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eastAsia="zh-CN"/>
        </w:rPr>
        <w:t>本项目在使用矿物油时产生的空油桶约为0.0</w:t>
      </w:r>
      <w:r>
        <w:rPr>
          <w:rFonts w:hint="eastAsia" w:cs="Times New Roman"/>
          <w:color w:val="auto"/>
          <w:kern w:val="0"/>
          <w:szCs w:val="28"/>
          <w:highlight w:val="none"/>
          <w:lang w:val="en-US" w:eastAsia="zh-CN"/>
        </w:rPr>
        <w:t>6</w:t>
      </w:r>
      <w:r>
        <w:rPr>
          <w:rFonts w:hint="default" w:ascii="Times New Roman" w:hAnsi="Times New Roman" w:cs="Times New Roman"/>
          <w:color w:val="auto"/>
          <w:kern w:val="0"/>
          <w:szCs w:val="28"/>
          <w:highlight w:val="none"/>
          <w:lang w:eastAsia="zh-CN"/>
        </w:rPr>
        <w:t>t/a，收集、储存于</w:t>
      </w:r>
      <w:r>
        <w:rPr>
          <w:rFonts w:hint="eastAsia" w:cs="Times New Roman"/>
          <w:color w:val="auto"/>
          <w:kern w:val="0"/>
          <w:szCs w:val="28"/>
          <w:highlight w:val="none"/>
          <w:lang w:eastAsia="zh-CN"/>
        </w:rPr>
        <w:t>危废贮存库</w:t>
      </w:r>
      <w:r>
        <w:rPr>
          <w:rFonts w:hint="default" w:ascii="Times New Roman" w:hAnsi="Times New Roman" w:cs="Times New Roman"/>
          <w:color w:val="auto"/>
          <w:kern w:val="0"/>
          <w:szCs w:val="28"/>
          <w:highlight w:val="none"/>
          <w:lang w:eastAsia="zh-CN"/>
        </w:rPr>
        <w:t>，交由有资质的单位处理。根据《国家危险废物名录（2025年版）》，沾染矿物油的废弃包装物属于危险废物，危废代码为（HW08，900-249-08），暂存在危险废物贮存点，委托有资质的单位统一处理。</w:t>
      </w:r>
    </w:p>
    <w:p w14:paraId="220D7A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）一般工业固废处置可行性分析</w:t>
      </w:r>
      <w:bookmarkEnd w:id="324"/>
    </w:p>
    <w:p w14:paraId="2731955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一般固废</w:t>
      </w:r>
      <w:r>
        <w:rPr>
          <w:rFonts w:hint="default" w:ascii="Times New Roman" w:hAnsi="Times New Roman" w:eastAsia="宋体" w:cs="Times New Roman"/>
          <w:color w:val="auto"/>
          <w:sz w:val="24"/>
          <w:szCs w:val="24"/>
          <w:highlight w:val="none"/>
        </w:rPr>
        <w:t>处置必须满足《一般固体废弃物贮存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污染控制标准》要求，收集贮存设施必须采取防尘、防渗、防流失等防止二次污染的措施。</w:t>
      </w:r>
    </w:p>
    <w:p w14:paraId="6BBCF1E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①贮存场的建设类型，必须与将要堆放的一般工业固体废物的类别相一致。</w:t>
      </w:r>
    </w:p>
    <w:p w14:paraId="2DAE84B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②贮存场应采取防止粉尘污染、</w:t>
      </w:r>
      <w:r>
        <w:rPr>
          <w:rFonts w:hint="eastAsia" w:cs="Times New Roman"/>
          <w:color w:val="auto"/>
          <w:sz w:val="24"/>
          <w:szCs w:val="24"/>
          <w:highlight w:val="none"/>
          <w:lang w:eastAsia="zh-CN"/>
        </w:rPr>
        <w:t>防止</w:t>
      </w:r>
      <w:r>
        <w:rPr>
          <w:rFonts w:hint="default" w:ascii="Times New Roman" w:hAnsi="Times New Roman" w:eastAsia="宋体" w:cs="Times New Roman"/>
          <w:color w:val="auto"/>
          <w:sz w:val="24"/>
          <w:szCs w:val="24"/>
          <w:highlight w:val="none"/>
        </w:rPr>
        <w:t>物料流失的措施，同时要防止雨水径流进入贮存场内，周边应设置导流渠。</w:t>
      </w:r>
    </w:p>
    <w:p w14:paraId="1A7483C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③为防止一般工业固体废物和浸出液的流失，应构筑堤、坝、挡土墙等设施。</w:t>
      </w:r>
    </w:p>
    <w:p w14:paraId="476DCD9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④为保障设施、设备正常运营，必要时应采取措施防止地基下沉，尤其是防止不均匀或者局部下沉。</w:t>
      </w:r>
    </w:p>
    <w:p w14:paraId="30849F6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⑤为加强监督管理，贮存、处置场应按照GB15562.2设置环境图形保护标志。</w:t>
      </w:r>
    </w:p>
    <w:p w14:paraId="27C46E3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⑥当天然基础层的渗透系数大于1.0×10</w:t>
      </w:r>
      <w:r>
        <w:rPr>
          <w:rFonts w:hint="default" w:ascii="Times New Roman" w:hAnsi="Times New Roman" w:eastAsia="宋体"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cm/s时，应采取天然或人工材料构筑防渗层，防渗层的厚度应相当于渗透系数1.0×10</w:t>
      </w:r>
      <w:r>
        <w:rPr>
          <w:rFonts w:hint="default" w:ascii="Times New Roman" w:hAnsi="Times New Roman" w:eastAsia="宋体"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cm/s和厚度1.5m的</w:t>
      </w:r>
      <w:r>
        <w:rPr>
          <w:rFonts w:hint="default" w:ascii="Times New Roman" w:hAnsi="Times New Roman" w:eastAsia="宋体" w:cs="Times New Roman"/>
          <w:color w:val="auto"/>
          <w:sz w:val="24"/>
          <w:szCs w:val="24"/>
          <w:highlight w:val="none"/>
          <w:lang w:eastAsia="zh-CN"/>
        </w:rPr>
        <w:t>黏土层</w:t>
      </w:r>
      <w:r>
        <w:rPr>
          <w:rFonts w:hint="default" w:ascii="Times New Roman" w:hAnsi="Times New Roman" w:eastAsia="宋体" w:cs="Times New Roman"/>
          <w:color w:val="auto"/>
          <w:sz w:val="24"/>
          <w:szCs w:val="24"/>
          <w:highlight w:val="none"/>
        </w:rPr>
        <w:t>的防渗性能。</w:t>
      </w:r>
    </w:p>
    <w:p w14:paraId="5F5C7AC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⑦为监控浸出液对地下水污染，贮存、填埋运行期间场企业自行监测频次至少每季度1次</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每两次监测之间间隔不少于1个月国家另有规定的除外</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如周边有环境敏感区应增加监测频次，具体监测点位和频次依据环境影响评价结论确定。当发现地下水水质有被污染的迹象时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应及时查找原因并采取补救措施</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防止污染进一步扩散</w:t>
      </w:r>
      <w:r>
        <w:rPr>
          <w:rFonts w:hint="default" w:ascii="Times New Roman" w:hAnsi="Times New Roman" w:eastAsia="宋体" w:cs="Times New Roman"/>
          <w:color w:val="auto"/>
          <w:kern w:val="0"/>
          <w:sz w:val="24"/>
          <w:szCs w:val="24"/>
          <w:highlight w:val="none"/>
        </w:rPr>
        <w:t>。</w:t>
      </w:r>
    </w:p>
    <w:p w14:paraId="6118CF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325" w:name="_Toc9206"/>
      <w:r>
        <w:rPr>
          <w:rFonts w:hint="default" w:ascii="Times New Roman" w:hAnsi="Times New Roman" w:eastAsia="宋体" w:cs="Times New Roman"/>
          <w:color w:val="auto"/>
          <w:sz w:val="24"/>
          <w:szCs w:val="24"/>
          <w:highlight w:val="none"/>
          <w:lang w:val="en-US" w:eastAsia="zh-CN"/>
        </w:rPr>
        <w:t>（3）危险废物</w:t>
      </w:r>
      <w:bookmarkEnd w:id="325"/>
      <w:r>
        <w:rPr>
          <w:rFonts w:hint="default" w:ascii="Times New Roman" w:hAnsi="Times New Roman" w:eastAsia="宋体" w:cs="Times New Roman"/>
          <w:color w:val="auto"/>
          <w:sz w:val="24"/>
          <w:szCs w:val="24"/>
          <w:highlight w:val="none"/>
          <w:lang w:val="en-US" w:eastAsia="zh-CN"/>
        </w:rPr>
        <w:t>处置可行性分析</w:t>
      </w:r>
    </w:p>
    <w:p w14:paraId="42E8698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bidi="ar-BH"/>
        </w:rPr>
        <w:t>危险废物暂存于</w:t>
      </w:r>
      <w:r>
        <w:rPr>
          <w:rFonts w:hint="eastAsia" w:cs="Times New Roman"/>
          <w:color w:val="auto"/>
          <w:sz w:val="24"/>
          <w:szCs w:val="24"/>
          <w:highlight w:val="none"/>
          <w:lang w:val="en-US" w:eastAsia="zh-CN" w:bidi="ar-BH"/>
        </w:rPr>
        <w:t>危废贮存库</w:t>
      </w:r>
      <w:r>
        <w:rPr>
          <w:rFonts w:hint="default" w:ascii="Times New Roman" w:hAnsi="Times New Roman" w:eastAsia="宋体" w:cs="Times New Roman"/>
          <w:color w:val="auto"/>
          <w:sz w:val="24"/>
          <w:szCs w:val="24"/>
          <w:highlight w:val="none"/>
          <w:lang w:val="en-US" w:eastAsia="zh-CN" w:bidi="ar-BH"/>
        </w:rPr>
        <w:t>，定期交由有资质单位处置。建设单位在项目建设、运行阶段应严格按照</w:t>
      </w:r>
      <w:r>
        <w:rPr>
          <w:rFonts w:hint="default" w:ascii="Times New Roman" w:hAnsi="Times New Roman" w:eastAsia="宋体" w:cs="Times New Roman"/>
          <w:color w:val="auto"/>
          <w:sz w:val="24"/>
          <w:szCs w:val="24"/>
          <w:highlight w:val="none"/>
        </w:rPr>
        <w:t>《危险废物贮存污染控制标准》（GB18597-20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）进行妥善收集、暂存</w:t>
      </w:r>
      <w:r>
        <w:rPr>
          <w:rFonts w:hint="default" w:ascii="Times New Roman" w:hAnsi="Times New Roman" w:eastAsia="宋体" w:cs="Times New Roman"/>
          <w:color w:val="auto"/>
          <w:sz w:val="24"/>
          <w:szCs w:val="24"/>
          <w:highlight w:val="none"/>
          <w:lang w:eastAsia="zh-CN"/>
        </w:rPr>
        <w:t>。</w:t>
      </w:r>
    </w:p>
    <w:p w14:paraId="5788CD1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①贮存场所（设施）污染防治措施</w:t>
      </w:r>
    </w:p>
    <w:p w14:paraId="470B347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新建</w:t>
      </w:r>
      <w:r>
        <w:rPr>
          <w:rFonts w:hint="default" w:ascii="Times New Roman" w:hAnsi="Times New Roman" w:eastAsia="宋体" w:cs="Times New Roman"/>
          <w:color w:val="auto"/>
          <w:spacing w:val="0"/>
          <w:position w:val="0"/>
          <w:sz w:val="24"/>
          <w:szCs w:val="24"/>
          <w:highlight w:val="none"/>
          <w:lang w:eastAsia="zh-CN"/>
        </w:rPr>
        <w:t>危险废物</w:t>
      </w:r>
      <w:r>
        <w:rPr>
          <w:rFonts w:hint="default" w:ascii="Times New Roman" w:hAnsi="Times New Roman" w:eastAsia="宋体" w:cs="Times New Roman"/>
          <w:color w:val="auto"/>
          <w:spacing w:val="0"/>
          <w:position w:val="0"/>
          <w:sz w:val="24"/>
          <w:szCs w:val="24"/>
          <w:highlight w:val="none"/>
          <w:lang w:val="en-US" w:eastAsia="zh-CN"/>
        </w:rPr>
        <w:t>贮存</w:t>
      </w:r>
      <w:r>
        <w:rPr>
          <w:rFonts w:hint="eastAsia" w:ascii="Times New Roman" w:hAnsi="Times New Roman" w:eastAsia="宋体" w:cs="Times New Roman"/>
          <w:color w:val="auto"/>
          <w:spacing w:val="0"/>
          <w:position w:val="0"/>
          <w:sz w:val="24"/>
          <w:szCs w:val="24"/>
          <w:highlight w:val="none"/>
          <w:lang w:val="en-US" w:eastAsia="zh-CN"/>
        </w:rPr>
        <w:t>点（30m</w:t>
      </w:r>
      <w:r>
        <w:rPr>
          <w:rFonts w:hint="eastAsia" w:ascii="Times New Roman" w:hAnsi="Times New Roman" w:eastAsia="宋体" w:cs="Times New Roman"/>
          <w:color w:val="auto"/>
          <w:spacing w:val="0"/>
          <w:position w:val="0"/>
          <w:sz w:val="24"/>
          <w:szCs w:val="24"/>
          <w:highlight w:val="none"/>
          <w:vertAlign w:val="superscript"/>
          <w:lang w:val="en-US" w:eastAsia="zh-CN"/>
        </w:rPr>
        <w:t>2</w:t>
      </w:r>
      <w:r>
        <w:rPr>
          <w:rFonts w:hint="eastAsia"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lang w:val="en-US" w:eastAsia="zh-CN"/>
        </w:rPr>
        <w:t xml:space="preserve"> 贮存点应具有固定的区域边界，并应采取与其他区域进行隔离的措施；采取防风、防雨、防晒和防止危险废物流失、扬散等措施；贮存的危险废物应置于容器或包装物中，不应直接散堆；应根据危险废物的形态、物理化学性质、包装形式等，采取防渗、防漏等污染防治措施或采用具有相应功能的装置；应及时清运贮存的危险废物，实时贮存量不应超过3吨</w:t>
      </w:r>
      <w:r>
        <w:rPr>
          <w:rFonts w:hint="default" w:ascii="Times New Roman" w:hAnsi="Times New Roman" w:eastAsia="宋体" w:cs="Times New Roman"/>
          <w:color w:val="auto"/>
          <w:sz w:val="24"/>
          <w:szCs w:val="24"/>
          <w:highlight w:val="none"/>
        </w:rPr>
        <w:t>。</w:t>
      </w:r>
    </w:p>
    <w:p w14:paraId="4DBE6921">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②运输过程污染防治措施</w:t>
      </w:r>
    </w:p>
    <w:p w14:paraId="0658E78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危险废物运输管理由委托资质单位按照《危险废物收集 贮存 运输技术规范》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HJ2025-2012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进行管理；危险废物在厂区进行周转时应满足</w:t>
      </w:r>
      <w:r>
        <w:rPr>
          <w:rFonts w:hint="default" w:ascii="Times New Roman" w:hAnsi="Times New Roman" w:eastAsia="宋体" w:cs="Times New Roman"/>
          <w:color w:val="auto"/>
          <w:sz w:val="24"/>
          <w:szCs w:val="24"/>
          <w:highlight w:val="none"/>
          <w:lang w:eastAsia="zh-CN"/>
        </w:rPr>
        <w:t>以下</w:t>
      </w:r>
      <w:r>
        <w:rPr>
          <w:rFonts w:hint="default" w:ascii="Times New Roman" w:hAnsi="Times New Roman" w:eastAsia="宋体" w:cs="Times New Roman"/>
          <w:color w:val="auto"/>
          <w:sz w:val="24"/>
          <w:szCs w:val="24"/>
          <w:highlight w:val="none"/>
        </w:rPr>
        <w:t>管理要求。</w:t>
      </w:r>
    </w:p>
    <w:p w14:paraId="32AB21EF">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危险废物内部转运应综合考虑厂区的实际情况确定转运路线，尽量避开办公区和生活区。</w:t>
      </w:r>
    </w:p>
    <w:p w14:paraId="6C5B347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危险废物内部转运作业应采用专用的工具，危险废物内部转运填写《危险废物厂内转运记录表》。</w:t>
      </w:r>
    </w:p>
    <w:p w14:paraId="3AAF642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危险废物内部转运结束后，应对转运路线进行检查和清理，确保无危险废物遗失在转运路线上，并对转运工具进行清洗。</w:t>
      </w:r>
    </w:p>
    <w:p w14:paraId="5C37E08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危险废物内部转运</w:t>
      </w:r>
      <w:r>
        <w:rPr>
          <w:rFonts w:hint="default" w:ascii="Times New Roman" w:hAnsi="Times New Roman" w:eastAsia="宋体" w:cs="Times New Roman"/>
          <w:color w:val="auto"/>
          <w:sz w:val="24"/>
          <w:szCs w:val="24"/>
          <w:highlight w:val="none"/>
          <w:lang w:eastAsia="zh-CN"/>
        </w:rPr>
        <w:t>过程</w:t>
      </w:r>
      <w:r>
        <w:rPr>
          <w:rFonts w:hint="default" w:ascii="Times New Roman" w:hAnsi="Times New Roman" w:eastAsia="宋体" w:cs="Times New Roman"/>
          <w:color w:val="auto"/>
          <w:sz w:val="24"/>
          <w:szCs w:val="24"/>
          <w:highlight w:val="none"/>
        </w:rPr>
        <w:t>中出现危险废物散落的情况，应立即启动相关应急预案，防止其</w:t>
      </w:r>
      <w:r>
        <w:rPr>
          <w:rFonts w:hint="eastAsia" w:ascii="Times New Roman" w:hAnsi="Times New Roman" w:eastAsia="宋体" w:cs="Times New Roman"/>
          <w:color w:val="auto"/>
          <w:sz w:val="24"/>
          <w:szCs w:val="24"/>
          <w:highlight w:val="none"/>
          <w:lang w:eastAsia="zh-CN"/>
        </w:rPr>
        <w:t>影响</w:t>
      </w:r>
      <w:r>
        <w:rPr>
          <w:rFonts w:hint="default" w:ascii="Times New Roman" w:hAnsi="Times New Roman" w:eastAsia="宋体" w:cs="Times New Roman"/>
          <w:color w:val="auto"/>
          <w:sz w:val="24"/>
          <w:szCs w:val="24"/>
          <w:highlight w:val="none"/>
        </w:rPr>
        <w:t>进一步扩大。</w:t>
      </w:r>
    </w:p>
    <w:p w14:paraId="52DA50D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危险废物风险管理</w:t>
      </w:r>
    </w:p>
    <w:p w14:paraId="0067065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w:t>
      </w:r>
      <w:r>
        <w:rPr>
          <w:rFonts w:hint="default" w:ascii="Times New Roman" w:hAnsi="Times New Roman" w:eastAsia="宋体" w:cs="Times New Roman"/>
          <w:color w:val="auto"/>
          <w:sz w:val="24"/>
          <w:szCs w:val="24"/>
          <w:highlight w:val="none"/>
          <w:lang w:val="en-US" w:eastAsia="zh-CN"/>
        </w:rPr>
        <w:t>制定</w:t>
      </w:r>
      <w:r>
        <w:rPr>
          <w:rFonts w:hint="default" w:ascii="Times New Roman" w:hAnsi="Times New Roman" w:eastAsia="宋体" w:cs="Times New Roman"/>
          <w:color w:val="auto"/>
          <w:sz w:val="24"/>
          <w:szCs w:val="24"/>
          <w:highlight w:val="none"/>
          <w:lang w:eastAsia="zh-CN"/>
        </w:rPr>
        <w:t>突发环境事件应急预案，</w:t>
      </w:r>
      <w:r>
        <w:rPr>
          <w:rFonts w:hint="default" w:ascii="Times New Roman" w:hAnsi="Times New Roman" w:eastAsia="宋体" w:cs="Times New Roman"/>
          <w:color w:val="auto"/>
          <w:sz w:val="24"/>
          <w:szCs w:val="24"/>
          <w:highlight w:val="none"/>
        </w:rPr>
        <w:t>针对危险废物提出风险管理和处置要求，明确泄漏事故发生后，现场受到污染的土壤和水体等环境介质清理和修复方案，明确风险事故情况下产生的废物按危险废物进行管理和处置；明确环境风险事故应急救援物资配置、应急处置人员的培训和防护要求，明确应急演练和报告制度等。</w:t>
      </w:r>
    </w:p>
    <w:p w14:paraId="35D44DAC">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综合以上分析，本项目固体废物全部综合利用或妥善处置，措施可行。</w:t>
      </w:r>
    </w:p>
    <w:p w14:paraId="1054C1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）固废全程管理措施</w:t>
      </w:r>
    </w:p>
    <w:p w14:paraId="4C9DB1E7">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依据《危险废物管理计划和管理台账制定技术导则》（HJ1259-2022）、《危险废物识别标志设置技术规范》（HJ1276-2022）、《危险废物贮存污染控制标准》（GB 18597-2023），本次环评对产生危险废物收集、储运、处置提出全过程管理要求：</w:t>
      </w:r>
    </w:p>
    <w:p w14:paraId="09CC0D83">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rPr>
        <w:t>严格按照《危险废物贮存污染控制标准》（GB 18597-2023）进行防渗设计，并且在危险废物暂存区按照《危险废物识别标志设置技术规范》（HJ1276-2022）设置危险废物识别标志；</w:t>
      </w:r>
    </w:p>
    <w:p w14:paraId="0B3264B7">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委托有资质单位处置的危险废物，应委托有危废运输资质的车队进行运输，危险废物运送人员在接收危险废物时，外观检查危险废物盛装容器是否符合标准，标识类型是否属于建设单位危险废物经营许可证核准经营范围，是否标识有危险废物主要危害成分，同时检查危险废物转移者是否按照《危险废物转移管理办法》要求运输。</w:t>
      </w:r>
    </w:p>
    <w:p w14:paraId="7428F379">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严格按照《危险废物管理计划和管理台账制定技术导则》（HJ1259-2022）制定管理计划和管理台账。</w:t>
      </w:r>
    </w:p>
    <w:p w14:paraId="7D5CC722">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危险废物管理计划</w:t>
      </w:r>
    </w:p>
    <w:p w14:paraId="19D089E3">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属于重点监管单位，管理计划制定内容应包括单位基本信息、设施信息、危险废物产生情况信息、危险废物贮存情况信息、危险废物自行利用/处置情况信息、危险废物减量化计划和措施、危险废物转移情况信息。</w:t>
      </w:r>
    </w:p>
    <w:p w14:paraId="0DB814B9">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A.单位基本信息：单位基本信息填写内容参见HJ1259-2022附录A.1。</w:t>
      </w:r>
    </w:p>
    <w:p w14:paraId="47779B8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B.设施信息：设施信息填写内容参见HJ1259-2022附录A.2。</w:t>
      </w:r>
    </w:p>
    <w:p w14:paraId="3FE6FA0A">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C.危险废物产生情况信息：危险废物产生情况填写内容参见HJ1259-2022附录A.3。</w:t>
      </w:r>
    </w:p>
    <w:p w14:paraId="33FADACB">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D.危险废物贮存情况信息：危险废物贮存情况信息填写内容参见HJ1259-2022附录A.4。</w:t>
      </w:r>
    </w:p>
    <w:p w14:paraId="449DFE1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E.危险废物自行利用/处置情况信息：危险废物自行利用/处置情况信息填写内容参见HJ1259-2022附录A.5。</w:t>
      </w:r>
    </w:p>
    <w:p w14:paraId="6A516F2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F.危险废物减量化计划和措施：危险废物减量化计划和措施填写内容参见HJ1259-2022附录A.6。</w:t>
      </w:r>
    </w:p>
    <w:p w14:paraId="07D04F3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G.危险废物转移情况信息：危险废物转移情况信息填写内容参见HJ1259-2022附录A.7。</w:t>
      </w:r>
    </w:p>
    <w:p w14:paraId="65585314">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危险废物管理台账</w:t>
      </w:r>
    </w:p>
    <w:p w14:paraId="0B0F2D8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一般原则：a.产生危险废物的单位应建立危险废物管理台账，落实危险废物管理台账记录的责任人，明确工作职责，并对危险废物管理台账的真实性、准确性和完整性负法律责任。b.产生危险废物的单位应根据危险废物产生、贮存、利用、处置等环节的动态流向，如实建立各环节的危险废物管理台账，记录内容参见附录B。c.危险废物管理台账分为电子管理台账和纸质管理台账两种形式。产生危险废物的单位可通过国家危险废物信息管理系统、企业自建信息管理系统或第三方平台等方式记录电子管理台账。</w:t>
      </w:r>
    </w:p>
    <w:p w14:paraId="384FA114">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B.频次要求：产生后盛放至容器和包装物的，应按每个容器和包装物进行记录；产生后采用管道等方式输送至贮存场所的，按日记录；其他特殊情形的，根据危险废物产生规律确定记录频次。</w:t>
      </w:r>
    </w:p>
    <w:p w14:paraId="29FD5A3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记录内容：a.危险废物产生环节，应记录产生批次编码、产生时间、危险废物名称、危险废物类别、危险废物代码、产生量、计量单位、容器/包装编码、容器/包装类型、容器/包装数量、产生危险废物设施编码、产生部门经办人、去向等；b.危险废物入库环节，应记录入库批次编码、入库时间、容器/包装编码、容器/包装类型、容器/包装数量、危险废物名称、危险废物类别、危险废物代码、入库量、计量单位、贮存设施编码、贮存设施类型、运送部门经办人、贮存部门经办人、产生批次编码等。c.危险废物出库环节，应记录出库批次编码、出库时间、容器/包装编码、容器/包装类型、容器/包装数量、危险废物名称、危险废物类别、危险废物代码、出库量、计量单位、贮存设施编码、贮存设施类型、出库部门经办人、运送部门经办人、入库批次编码、去向等。d.危险废物自行利用/处置环节，应记录自行利用/处置批次编码、自行利用/处置时间、容器/包装编码、容器/包装类型、容器/包装数量、危险废物名称、危险废物类别、危险废物代码、自行利用/处置量、计量单位、自行利用/处置设施编码、自行利用/处置方式、自行利用/处置完毕时间、自行利用/处置部门经办人、产生批次编码/出库批次编码等。e.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w:t>
      </w:r>
      <w:r>
        <w:rPr>
          <w:rFonts w:hint="default" w:ascii="Times New Roman" w:hAnsi="Times New Roman" w:eastAsia="宋体" w:cs="Times New Roman"/>
          <w:color w:val="auto"/>
          <w:sz w:val="24"/>
          <w:szCs w:val="24"/>
          <w:highlight w:val="none"/>
          <w:lang w:eastAsia="zh-CN"/>
        </w:rPr>
        <w:t>生产</w:t>
      </w:r>
      <w:r>
        <w:rPr>
          <w:rFonts w:hint="default" w:ascii="Times New Roman" w:hAnsi="Times New Roman" w:eastAsia="宋体" w:cs="Times New Roman"/>
          <w:color w:val="auto"/>
          <w:sz w:val="24"/>
          <w:szCs w:val="24"/>
          <w:highlight w:val="none"/>
        </w:rPr>
        <w:t>批次编码/出库批次编码等。</w:t>
      </w:r>
    </w:p>
    <w:p w14:paraId="5230114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D.记录保存：保存时间原则上应存档5年以上。</w:t>
      </w:r>
    </w:p>
    <w:p w14:paraId="4C6FFD8F">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危险废物申报要求</w:t>
      </w:r>
    </w:p>
    <w:p w14:paraId="19272E2F">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A.一般原则</w:t>
      </w:r>
    </w:p>
    <w:p w14:paraId="5DB370A2">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a.产生危险废物的单位应定期通过国家危险废物信息管理系统向所在地生态环境主管部门申报危险废物的种类、产生量、流向、贮存、利用、处置等有关资料。</w:t>
      </w:r>
    </w:p>
    <w:p w14:paraId="67F334F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b.产生危险废物的单位应根据危险废物管理台账记录归纳总结申报期内危险废物有关情况，保证申报内容的真实性、准确性和完整性，按时在线提交至所在地生态环境主管部门，台账记录留存备查。</w:t>
      </w:r>
    </w:p>
    <w:p w14:paraId="4539743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c.产生危险废物的单位可以自行申报，也可以委托危险废物经营许可证持有单位或者经所在地生态环境主管部门同意的第三方单位代为申报。</w:t>
      </w:r>
    </w:p>
    <w:p w14:paraId="138972BB">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B.申报周期</w:t>
      </w:r>
    </w:p>
    <w:p w14:paraId="58BA583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a.危险废物环境重点监管单位应当按月度和年度申报危险废物有关资料，且于每月15日前和每年3月31日前分别完成上一月度和上一年度的申报。</w:t>
      </w:r>
    </w:p>
    <w:p w14:paraId="31CDA9F7">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b.危险废物简化管理单位应当按季度和年度申报危险废物有关资料，且于每季度首月15日前和每年3月31日前分别完成上一季度和上一年度的申报。</w:t>
      </w:r>
    </w:p>
    <w:p w14:paraId="37EC203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c.危险废物登记管理单位应当按年度申报危险废物有关资料，且于每年3月31日前完成上一年度的申报。</w:t>
      </w:r>
    </w:p>
    <w:p w14:paraId="5ADEFBA4">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C.申报内容</w:t>
      </w:r>
    </w:p>
    <w:p w14:paraId="093FB2C7">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a.申报内容包括危险废物产生情况、危险废物自行利用/处置情况、危险废物委托外单位利用/处置情况、贮存情况，申报报告格式参见附录C。</w:t>
      </w:r>
    </w:p>
    <w:p w14:paraId="6AB575A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b.通过国家危险废物信息管理系统建立危险废物电子管理台账的单位，国家危险废物信息管理系统自动生成危险废物申报报告，经其确认并在线提交后，完成申报。</w:t>
      </w:r>
    </w:p>
    <w:bookmarkEnd w:id="323"/>
    <w:p w14:paraId="1AAA4110">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bookmarkStart w:id="326" w:name="_Toc30420"/>
      <w:bookmarkStart w:id="327" w:name="_Toc28461"/>
      <w:r>
        <w:rPr>
          <w:rFonts w:hint="default" w:ascii="Times New Roman" w:hAnsi="Times New Roman" w:cs="Times New Roman"/>
          <w:b/>
          <w:bCs/>
          <w:color w:val="auto"/>
          <w:sz w:val="28"/>
          <w:szCs w:val="28"/>
          <w:highlight w:val="none"/>
        </w:rPr>
        <w:t>6.2.6土壤污染防治措施</w:t>
      </w:r>
      <w:bookmarkEnd w:id="326"/>
      <w:bookmarkEnd w:id="327"/>
    </w:p>
    <w:p w14:paraId="325167B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结合本项目实际情况，为进一步减轻项目对土壤环境影响，建议从以下几方面完善土壤污染防治措施与对策。</w:t>
      </w:r>
    </w:p>
    <w:p w14:paraId="2BD1A1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2.6.1</w:t>
      </w:r>
      <w:r>
        <w:rPr>
          <w:rFonts w:hint="default" w:ascii="Times New Roman" w:hAnsi="Times New Roman" w:eastAsia="宋体" w:cs="Times New Roman"/>
          <w:b/>
          <w:color w:val="auto"/>
          <w:sz w:val="24"/>
          <w:szCs w:val="28"/>
          <w:highlight w:val="none"/>
          <w:lang w:val="en-US" w:eastAsia="zh-CN"/>
        </w:rPr>
        <w:t>.源头控制措施</w:t>
      </w:r>
    </w:p>
    <w:p w14:paraId="07F8767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eastAsia="zh-CN"/>
        </w:rPr>
        <w:t>过程，对土壤污染的主要途径为大气污染物沉降及垂直入渗，进入土壤环境。故本项目对产生的废气应进行合理的治理和综合利用，尽可能从源头上减少可能污染物产生；另外需防范厂区物料冲刷或</w:t>
      </w:r>
      <w:r>
        <w:rPr>
          <w:rFonts w:hint="eastAsia"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lang w:eastAsia="zh-CN"/>
        </w:rPr>
        <w:t>造成的废水或液体物料入渗污染土壤，严格按照国家相关规范要求，对该厂区采取相应的措施，以防止和降低可能污染物的跑、冒、滴、漏，将水污染物泄漏的环境风险事故降低到最低程度。</w:t>
      </w:r>
    </w:p>
    <w:p w14:paraId="1479AF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2.6.2</w:t>
      </w:r>
      <w:r>
        <w:rPr>
          <w:rFonts w:hint="default" w:ascii="Times New Roman" w:hAnsi="Times New Roman" w:eastAsia="宋体" w:cs="Times New Roman"/>
          <w:b/>
          <w:color w:val="auto"/>
          <w:sz w:val="24"/>
          <w:szCs w:val="28"/>
          <w:highlight w:val="none"/>
          <w:lang w:val="en-US" w:eastAsia="zh-CN"/>
        </w:rPr>
        <w:t>过程防控措施</w:t>
      </w:r>
    </w:p>
    <w:p w14:paraId="5B66FEA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本项目为土壤污染型项目，根据《环境影响评价技术导则土壤环境（试行）》（HJ 964-2018）过程控制措施，结合本项目污染特征，从以下几方面加强过程控制：</w:t>
      </w:r>
    </w:p>
    <w:p w14:paraId="6EA30ED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（1）占地范围内应采取绿化措施，以种植具有较强吸附能力的植物为主，根据本项目所处区域自然地理特征，该地区可种植杨树等易于在该地区生长且富集能力较强、生物量较大的植物种植。通过乔、</w:t>
      </w:r>
      <w:r>
        <w:rPr>
          <w:rFonts w:hint="eastAsia" w:cs="Times New Roman"/>
          <w:color w:val="auto"/>
          <w:sz w:val="24"/>
          <w:szCs w:val="24"/>
          <w:highlight w:val="none"/>
          <w:lang w:eastAsia="zh-CN"/>
        </w:rPr>
        <w:t>灌</w:t>
      </w:r>
      <w:r>
        <w:rPr>
          <w:rFonts w:hint="default" w:ascii="Times New Roman" w:hAnsi="Times New Roman" w:eastAsia="宋体" w:cs="Times New Roman"/>
          <w:color w:val="auto"/>
          <w:sz w:val="24"/>
          <w:szCs w:val="24"/>
          <w:highlight w:val="none"/>
          <w:lang w:eastAsia="zh-CN"/>
        </w:rPr>
        <w:t>、草结合，有效减少地面裸露，增强污染物吸附阻隔功能。</w:t>
      </w:r>
    </w:p>
    <w:p w14:paraId="2272C22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（2）根据建设项目所在地的地形特点优化地面布局，必要时设置地面硬化、围堰或围墙，以防止土壤环境污染。</w:t>
      </w:r>
    </w:p>
    <w:p w14:paraId="31A7CEC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（3）涉及入渗途径影响的，应根据相关标准规范要求，对设备设施采取相应的土壤污染保护措施，以防止土壤环境污染。</w:t>
      </w:r>
    </w:p>
    <w:p w14:paraId="7266CC0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本项目采取</w:t>
      </w:r>
      <w:r>
        <w:rPr>
          <w:rFonts w:hint="eastAsia" w:cs="Times New Roman"/>
          <w:color w:val="auto"/>
          <w:sz w:val="24"/>
          <w:szCs w:val="24"/>
          <w:highlight w:val="none"/>
          <w:lang w:val="en-US" w:eastAsia="zh-CN"/>
        </w:rPr>
        <w:t>土壤污染</w:t>
      </w:r>
      <w:r>
        <w:rPr>
          <w:rFonts w:hint="default" w:ascii="Times New Roman" w:hAnsi="Times New Roman" w:eastAsia="宋体" w:cs="Times New Roman"/>
          <w:color w:val="auto"/>
          <w:sz w:val="24"/>
          <w:szCs w:val="24"/>
          <w:highlight w:val="none"/>
          <w:lang w:eastAsia="zh-CN"/>
        </w:rPr>
        <w:t>防渗措施。</w:t>
      </w:r>
    </w:p>
    <w:p w14:paraId="514BCC6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根据本项目构筑物平面、立面设计及其污染防控难易程度，环评要求本项目设置重点防渗区、一般防渗区及简单防渗区。具体防渗方式可由相关有资质的单位设计，但不应低于环评提出的防渗性能要求。</w:t>
      </w:r>
    </w:p>
    <w:p w14:paraId="1D0D160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①重点防渗区</w:t>
      </w:r>
    </w:p>
    <w:p w14:paraId="332BE2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浸出车间</w:t>
      </w:r>
      <w:r>
        <w:rPr>
          <w:rFonts w:hint="default" w:ascii="Times New Roman" w:hAnsi="Times New Roman" w:eastAsia="宋体" w:cs="Times New Roman"/>
          <w:color w:val="auto"/>
          <w:sz w:val="24"/>
          <w:szCs w:val="24"/>
          <w:highlight w:val="none"/>
          <w:lang w:eastAsia="zh-CN"/>
        </w:rPr>
        <w:t>、萃取电积车间、事故池、硫酸储罐</w:t>
      </w:r>
      <w:r>
        <w:rPr>
          <w:rFonts w:hint="eastAsia"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lang w:eastAsia="zh-CN"/>
        </w:rPr>
        <w:t>。</w:t>
      </w:r>
    </w:p>
    <w:p w14:paraId="7B6F50F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防渗结构由下至上为：环氧碱类防腐层、水泥基渗透结晶型防渗涂层（≥0.8mm）、抗渗混凝土面层（厚度30cm，抗渗等级为P8）、600g/m2长丝无纺土工布、2mm厚HDPE防渗膜、基层+垫层、600g/m2长丝无纺土工布、细砂保护层、原土压实。</w:t>
      </w:r>
    </w:p>
    <w:p w14:paraId="00FF0FB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②一般防渗区</w:t>
      </w:r>
    </w:p>
    <w:p w14:paraId="13727C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包括球磨车间、原矿堆场、公用工程等。防渗结构由下至上为：压实系数≥0.92的夯实基土；150mm厚粒径5～32mm碎石灌M2.5混合砂浆层；80mm厚抗渗合成纤维混凝土防渗层随捣随抹（内掺高延展高强度复合抗裂纤维），水泥浆一道（内掺108建筑胶），重点防渗区选取强度为C30，抗渗等级为P8等级混凝土；20mm厚C20细石混凝土，随打随抹光（骨料用石灰石、白云石）；防腐涂料2mm。</w:t>
      </w:r>
    </w:p>
    <w:p w14:paraId="4DE0AA0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管线敷设尽量采用可视化原则，做到早发现、早处理，生产废水全部采用地上管廊或管沟敷设，导流槽、污水管沟和其他生产车间导流沟渠严格按照要求进行防渗。</w:t>
      </w:r>
    </w:p>
    <w:p w14:paraId="236687A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建立有关规章制度和岗位责任制，每天巡检一次。制定风险预警方案，设立应急设施，一旦发生物料泄漏应及时收集、清理，妥善处置。避免发生土壤环境污染事故。</w:t>
      </w:r>
    </w:p>
    <w:p w14:paraId="5C740D7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重点监管单位土壤污染隐患排查指南（试行）》要求，定期开展土壤污染隐患排查，建立相应机构和人员队伍、确定组织实施形式，制定并实施排查工作计划，制定并实施隐患整改方案，建立隐患排查档案并按要求保存和上报生态环境主管部门。</w:t>
      </w:r>
    </w:p>
    <w:p w14:paraId="062F91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w:t>
      </w:r>
      <w:r>
        <w:rPr>
          <w:rFonts w:hint="default" w:ascii="Times New Roman" w:hAnsi="Times New Roman" w:eastAsia="宋体" w:cs="Times New Roman"/>
          <w:b/>
          <w:color w:val="auto"/>
          <w:sz w:val="24"/>
          <w:szCs w:val="28"/>
          <w:highlight w:val="none"/>
          <w:lang w:val="en-US" w:eastAsia="zh-CN"/>
        </w:rPr>
        <w:t>.</w:t>
      </w:r>
      <w:r>
        <w:rPr>
          <w:rFonts w:hint="eastAsia" w:ascii="Times New Roman" w:hAnsi="Times New Roman" w:cs="Times New Roman"/>
          <w:b/>
          <w:color w:val="auto"/>
          <w:sz w:val="24"/>
          <w:szCs w:val="28"/>
          <w:highlight w:val="none"/>
          <w:lang w:val="en-US" w:eastAsia="zh-CN"/>
        </w:rPr>
        <w:t>6</w:t>
      </w:r>
      <w:r>
        <w:rPr>
          <w:rFonts w:hint="default" w:ascii="Times New Roman" w:hAnsi="Times New Roman" w:eastAsia="宋体" w:cs="Times New Roman"/>
          <w:b/>
          <w:color w:val="auto"/>
          <w:sz w:val="24"/>
          <w:szCs w:val="28"/>
          <w:highlight w:val="none"/>
          <w:lang w:val="en-US" w:eastAsia="zh-CN"/>
        </w:rPr>
        <w:t>.</w:t>
      </w:r>
      <w:r>
        <w:rPr>
          <w:rFonts w:hint="eastAsia" w:ascii="Times New Roman" w:hAnsi="Times New Roman" w:cs="Times New Roman"/>
          <w:b/>
          <w:color w:val="auto"/>
          <w:sz w:val="24"/>
          <w:szCs w:val="28"/>
          <w:highlight w:val="none"/>
          <w:lang w:val="en-US" w:eastAsia="zh-CN"/>
        </w:rPr>
        <w:t>3</w:t>
      </w:r>
      <w:r>
        <w:rPr>
          <w:rFonts w:hint="default" w:ascii="Times New Roman" w:hAnsi="Times New Roman" w:eastAsia="宋体" w:cs="Times New Roman"/>
          <w:b/>
          <w:color w:val="auto"/>
          <w:sz w:val="24"/>
          <w:szCs w:val="28"/>
          <w:highlight w:val="none"/>
          <w:lang w:val="en-US" w:eastAsia="zh-CN"/>
        </w:rPr>
        <w:t>跟踪监测</w:t>
      </w:r>
    </w:p>
    <w:p w14:paraId="6BC734B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根据《环境影响评价技术导则土壤环境（试行）》（HJ 964-2018），土壤环境跟踪监测计划应明确监测点位、监测指标、监测频次以及执行标准等，项目土壤环境跟踪监测计划详见“环境管理与环境监测”一章。</w:t>
      </w:r>
    </w:p>
    <w:p w14:paraId="099070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w:t>
      </w:r>
      <w:r>
        <w:rPr>
          <w:rFonts w:hint="default" w:ascii="Times New Roman" w:hAnsi="Times New Roman" w:eastAsia="宋体" w:cs="Times New Roman"/>
          <w:b/>
          <w:color w:val="auto"/>
          <w:sz w:val="24"/>
          <w:szCs w:val="28"/>
          <w:highlight w:val="none"/>
          <w:lang w:val="en-US" w:eastAsia="zh-CN"/>
        </w:rPr>
        <w:t>6.4.土壤污染应急措施</w:t>
      </w:r>
    </w:p>
    <w:p w14:paraId="7C3A467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应急预案</w:t>
      </w:r>
    </w:p>
    <w:p w14:paraId="4866052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在制定安全管理体制的基础上，制订专门的土壤污染事故的应急措施，</w:t>
      </w:r>
      <w:r>
        <w:rPr>
          <w:rFonts w:hint="eastAsia" w:cs="Times New Roman"/>
          <w:color w:val="auto"/>
          <w:sz w:val="24"/>
          <w:szCs w:val="24"/>
          <w:highlight w:val="none"/>
          <w:lang w:eastAsia="zh-CN"/>
        </w:rPr>
        <w:t>并</w:t>
      </w:r>
      <w:r>
        <w:rPr>
          <w:rFonts w:hint="default" w:ascii="Times New Roman" w:hAnsi="Times New Roman" w:eastAsia="宋体" w:cs="Times New Roman"/>
          <w:color w:val="auto"/>
          <w:sz w:val="24"/>
          <w:szCs w:val="24"/>
          <w:highlight w:val="none"/>
          <w:lang w:eastAsia="zh-CN"/>
        </w:rPr>
        <w:t>与其他应急预案相协调。土壤应急预案应包括以下内容：</w:t>
      </w:r>
    </w:p>
    <w:p w14:paraId="2DD72BE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应急预案的日常协调和指挥机构；</w:t>
      </w:r>
    </w:p>
    <w:p w14:paraId="29EA753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相关部门在应急预案中的职责和分工；</w:t>
      </w:r>
    </w:p>
    <w:p w14:paraId="684FC29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明确土壤环境的保护目标、采取的紧急处置措施和潜在污染可能性评估；</w:t>
      </w:r>
    </w:p>
    <w:p w14:paraId="1B927CE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zh-CN"/>
        </w:rPr>
        <w:t>事故应急救援组织状况和人员、装备情况，平常的训练和演习；</w:t>
      </w:r>
    </w:p>
    <w:p w14:paraId="6830046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eastAsia="zh-CN"/>
        </w:rPr>
        <w:t>事故的社会支持和援助，应急救援的经费保障。</w:t>
      </w:r>
    </w:p>
    <w:p w14:paraId="2BC1500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应急措施</w:t>
      </w:r>
    </w:p>
    <w:p w14:paraId="2CBCA8C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一旦发现土壤发生异常情况，必须按照应急预案马上采取紧急措施：</w:t>
      </w:r>
    </w:p>
    <w:p w14:paraId="6FBA6B3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当确定发生土壤异常情况时，按照制定的土壤应急预案，在第一时间内尽快上报公司主管领导，通知当地生态环境局、附近居民，密切关注土壤受污染情况。</w:t>
      </w:r>
    </w:p>
    <w:p w14:paraId="16E7962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组织专业队伍对事故现场进行调查、监测，查找环境事故发生地点、分析事故原因，尽量将紧急事件局部化，如可能应予以消除，采取正确分析判断事故发生的位置，用最快的办法切断泄漏源。抢修队根据现场情况及时抢修，并做好安全防范与生态环境的恢复工作，把损失控制在最小范围内。</w:t>
      </w:r>
    </w:p>
    <w:p w14:paraId="285AA7C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当通过监测发现对周围土壤造成污染时，根据监测的数据信息，对周边可能被污染区采取隔离措施，防止污染物扩散。可根据实际情况采取流线控制法、屏蔽法、被动收集法等控制污染物迁移，并对污染土壤进行及时处理或修复。</w:t>
      </w:r>
    </w:p>
    <w:p w14:paraId="7A84464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zh-CN"/>
        </w:rPr>
        <w:t>被破坏的区域设置紧急隔离围堤，防止污染物进一步渗入地下。</w:t>
      </w:r>
    </w:p>
    <w:p w14:paraId="29A5F38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eastAsia="zh-CN"/>
        </w:rPr>
        <w:t>对事故后果进行评估，并制定防止类似事件发生的措施。</w:t>
      </w:r>
    </w:p>
    <w:p w14:paraId="364A1E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eastAsia="zh-CN"/>
        </w:rPr>
        <w:t>如果公司力量无法应对污染事故，应按照应急预案与地方联动抢险的程序，立即请求社会应急力量协助处理。</w:t>
      </w:r>
    </w:p>
    <w:p w14:paraId="3A7B28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w:t>
      </w:r>
      <w:r>
        <w:rPr>
          <w:rFonts w:hint="default" w:ascii="Times New Roman" w:hAnsi="Times New Roman" w:eastAsia="宋体" w:cs="Times New Roman"/>
          <w:b/>
          <w:color w:val="auto"/>
          <w:sz w:val="24"/>
          <w:szCs w:val="28"/>
          <w:highlight w:val="none"/>
          <w:lang w:val="en-US" w:eastAsia="zh-CN"/>
        </w:rPr>
        <w:t>6.5.检维修过程污染控制措施</w:t>
      </w:r>
    </w:p>
    <w:p w14:paraId="62EF77E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项目在检维修期间应落实以下环保要求：</w:t>
      </w:r>
    </w:p>
    <w:p w14:paraId="710AF7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在检修过程中，各检修单位不得随意拆卸水沟、绿化带等，如果必须拆卸的，需经专业管理部门同意。之后应及时恢复，监测密闭效果。</w:t>
      </w:r>
    </w:p>
    <w:p w14:paraId="7FB0281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各生产部对检修施工单位在属地内的施工作业进行环保监督、现场交底及指导检修单位按预定计划排放污水，避免引起污染。</w:t>
      </w:r>
    </w:p>
    <w:p w14:paraId="6019FF2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检维修期间各种固体物、施工废料、工业垃圾的产生过程应严格制定落实防洒落措施，应提前向属地单位进行申报，经同意后，方可排放或倾倒在预先指定地点，落实危险废物分类分区存放要求，不得与一般废物混存。暂时无法清理的必须落实防风吹雨淋防渗漏措施，堆放整齐。</w:t>
      </w:r>
    </w:p>
    <w:p w14:paraId="3283DA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zh-CN"/>
        </w:rPr>
        <w:t>在检修、施工过程中，如有污油、油漆等污染物泄漏于地面，检修施工单位不得用水冲洗，要及时采取措施回收，然后用砂或破布抹净。同时，把用后的砂或破布进行收集，按照危废处置。</w:t>
      </w:r>
    </w:p>
    <w:p w14:paraId="4CCAB4F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eastAsia="zh-CN"/>
        </w:rPr>
        <w:t>检修施工单位在进行化学清洗过程中，要杜绝化学清洗液和污水泄漏造成的污染。化学清洗污水必须经分析化验，符合要求在属地指导下排入废水收集池。</w:t>
      </w:r>
    </w:p>
    <w:p w14:paraId="57096A6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color w:val="auto"/>
          <w:highlight w:val="none"/>
        </w:rPr>
      </w:pPr>
      <w:r>
        <w:rPr>
          <w:rFonts w:hint="eastAsia"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eastAsia="zh-CN"/>
        </w:rPr>
        <w:t>各单位环保管理人员和检修单位的环保负责人应加强检修期间环保检查工作，对检修过程中产生的污染物的处理应经双方签字确认。</w:t>
      </w:r>
    </w:p>
    <w:p w14:paraId="564C875F">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1BC71C4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B357F50">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sectPr>
          <w:footerReference r:id="rId27" w:type="first"/>
          <w:footerReference r:id="rId26"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6218965C">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28" w:name="_Toc94"/>
      <w:bookmarkStart w:id="329" w:name="_Toc5811"/>
      <w:r>
        <w:rPr>
          <w:rFonts w:hint="default" w:ascii="Times New Roman" w:hAnsi="Times New Roman" w:eastAsia="宋体" w:cs="Times New Roman"/>
          <w:color w:val="auto"/>
          <w:highlight w:val="none"/>
        </w:rPr>
        <w:t>7 环境影响经济损益分析</w:t>
      </w:r>
      <w:bookmarkEnd w:id="328"/>
      <w:bookmarkEnd w:id="329"/>
    </w:p>
    <w:p w14:paraId="259CB4BC">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30" w:name="_Toc24497"/>
      <w:bookmarkStart w:id="331" w:name="_Toc28830"/>
      <w:r>
        <w:rPr>
          <w:rFonts w:hint="default" w:ascii="Times New Roman" w:hAnsi="Times New Roman" w:eastAsia="宋体" w:cs="Times New Roman"/>
          <w:color w:val="auto"/>
          <w:highlight w:val="none"/>
        </w:rPr>
        <w:t>7.1社会效益分析</w:t>
      </w:r>
      <w:bookmarkEnd w:id="330"/>
      <w:bookmarkEnd w:id="331"/>
    </w:p>
    <w:p w14:paraId="75ED7349">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highlight w:val="none"/>
        </w:rPr>
        <w:t>项目</w:t>
      </w:r>
      <w:r>
        <w:rPr>
          <w:rFonts w:hint="eastAsia" w:cs="Times New Roman"/>
          <w:color w:val="auto"/>
          <w:kern w:val="0"/>
          <w:highlight w:val="none"/>
          <w:lang w:val="en-US" w:eastAsia="zh-CN"/>
        </w:rPr>
        <w:t>年</w:t>
      </w:r>
      <w:r>
        <w:rPr>
          <w:rFonts w:hint="default" w:ascii="Times New Roman" w:hAnsi="Times New Roman" w:cs="Times New Roman"/>
          <w:color w:val="auto"/>
          <w:kern w:val="0"/>
          <w:highlight w:val="none"/>
        </w:rPr>
        <w:t>产生</w:t>
      </w:r>
      <w:r>
        <w:rPr>
          <w:rFonts w:hint="eastAsia" w:cs="Times New Roman"/>
          <w:color w:val="auto"/>
          <w:kern w:val="0"/>
          <w:highlight w:val="none"/>
          <w:lang w:val="en-US" w:eastAsia="zh-CN"/>
        </w:rPr>
        <w:t>3000</w:t>
      </w:r>
      <w:r>
        <w:rPr>
          <w:rFonts w:hint="default" w:ascii="Times New Roman" w:hAnsi="Times New Roman" w:cs="Times New Roman"/>
          <w:color w:val="auto"/>
          <w:kern w:val="0"/>
          <w:highlight w:val="none"/>
        </w:rPr>
        <w:t>t电积铜，目前铜单价约7万/t，</w:t>
      </w:r>
      <w:r>
        <w:rPr>
          <w:rFonts w:hint="eastAsia" w:cs="Times New Roman"/>
          <w:color w:val="auto"/>
          <w:kern w:val="0"/>
          <w:highlight w:val="none"/>
          <w:lang w:eastAsia="zh-CN"/>
        </w:rPr>
        <w:t>运营期</w:t>
      </w:r>
      <w:r>
        <w:rPr>
          <w:rFonts w:hint="default" w:ascii="Times New Roman" w:hAnsi="Times New Roman" w:cs="Times New Roman"/>
          <w:color w:val="auto"/>
          <w:kern w:val="0"/>
          <w:highlight w:val="none"/>
        </w:rPr>
        <w:t>间可以为企业带来约</w:t>
      </w:r>
      <w:r>
        <w:rPr>
          <w:rFonts w:hint="eastAsia" w:cs="Times New Roman"/>
          <w:color w:val="auto"/>
          <w:kern w:val="0"/>
          <w:highlight w:val="none"/>
          <w:lang w:val="en-US" w:eastAsia="zh-CN"/>
        </w:rPr>
        <w:t>21000</w:t>
      </w:r>
      <w:r>
        <w:rPr>
          <w:rFonts w:hint="default" w:ascii="Times New Roman" w:hAnsi="Times New Roman" w:cs="Times New Roman"/>
          <w:color w:val="auto"/>
          <w:kern w:val="0"/>
          <w:highlight w:val="none"/>
        </w:rPr>
        <w:t>万的经济效益，同时为企业提供了低品位铜的冶炼方法，有利于利用项目区堆存的低品位矿，为后续工业生产提供技术支持</w:t>
      </w:r>
      <w:r>
        <w:rPr>
          <w:rFonts w:hint="default" w:ascii="Times New Roman" w:hAnsi="Times New Roman" w:cs="Times New Roman"/>
          <w:color w:val="auto"/>
          <w:highlight w:val="none"/>
        </w:rPr>
        <w:t>。</w:t>
      </w:r>
    </w:p>
    <w:p w14:paraId="77D25741">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32" w:name="_Toc18422"/>
      <w:bookmarkStart w:id="333" w:name="_Toc8740"/>
      <w:r>
        <w:rPr>
          <w:rFonts w:hint="default" w:ascii="Times New Roman" w:hAnsi="Times New Roman" w:eastAsia="宋体" w:cs="Times New Roman"/>
          <w:color w:val="auto"/>
          <w:highlight w:val="none"/>
        </w:rPr>
        <w:t>7.2环境效益分析</w:t>
      </w:r>
      <w:bookmarkEnd w:id="332"/>
      <w:bookmarkEnd w:id="333"/>
    </w:p>
    <w:p w14:paraId="4655F288">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本项目在建设时应认真贯彻执行“清洁生产</w:t>
      </w:r>
      <w:r>
        <w:rPr>
          <w:rFonts w:hint="eastAsia" w:cs="Times New Roman"/>
          <w:color w:val="auto"/>
          <w:highlight w:val="none"/>
          <w:lang w:eastAsia="zh-CN"/>
        </w:rPr>
        <w:t>”“</w:t>
      </w:r>
      <w:r>
        <w:rPr>
          <w:rFonts w:hint="default" w:ascii="Times New Roman" w:hAnsi="Times New Roman" w:cs="Times New Roman"/>
          <w:color w:val="auto"/>
          <w:highlight w:val="none"/>
        </w:rPr>
        <w:t>污染物达标排放</w:t>
      </w:r>
      <w:r>
        <w:rPr>
          <w:rFonts w:hint="eastAsia" w:cs="Times New Roman"/>
          <w:color w:val="auto"/>
          <w:highlight w:val="none"/>
          <w:lang w:eastAsia="zh-CN"/>
        </w:rPr>
        <w:t>”“</w:t>
      </w:r>
      <w:r>
        <w:rPr>
          <w:rFonts w:hint="default" w:ascii="Times New Roman" w:hAnsi="Times New Roman" w:cs="Times New Roman"/>
          <w:color w:val="auto"/>
          <w:highlight w:val="none"/>
        </w:rPr>
        <w:t>污染物总量控制”等环保政策，尽可能减少污染物的产生量和排放量；本项目建成投产后，可取得一定的经济效益、较好的社会效益和非常显著的环境效益，达到三者协调发展的目的。</w:t>
      </w:r>
    </w:p>
    <w:p w14:paraId="4BA70B2D">
      <w:pPr>
        <w:pageBreakBefore w:val="0"/>
        <w:wordWrap/>
        <w:topLinePunct w:val="0"/>
        <w:bidi w:val="0"/>
        <w:adjustRightInd w:val="0"/>
        <w:snapToGrid w:val="0"/>
        <w:ind w:left="0" w:leftChars="0" w:right="0" w:firstLine="480"/>
        <w:contextualSpacing/>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t>结合</w:t>
      </w:r>
      <w:r>
        <w:rPr>
          <w:rFonts w:hint="eastAsia" w:cs="Times New Roman"/>
          <w:color w:val="auto"/>
          <w:highlight w:val="none"/>
          <w:lang w:eastAsia="zh-CN"/>
        </w:rPr>
        <w:t>本项目</w:t>
      </w:r>
      <w:r>
        <w:rPr>
          <w:rFonts w:hint="default" w:ascii="Times New Roman" w:hAnsi="Times New Roman" w:cs="Times New Roman"/>
          <w:color w:val="auto"/>
          <w:highlight w:val="none"/>
        </w:rPr>
        <w:t>带来的环境损失、产生的经济效益和社会效益以及工程的环保投入和产生的环境效益进行综合分析和比较，</w:t>
      </w:r>
      <w:r>
        <w:rPr>
          <w:rFonts w:hint="eastAsia" w:cs="Times New Roman"/>
          <w:color w:val="auto"/>
          <w:highlight w:val="none"/>
          <w:lang w:eastAsia="zh-CN"/>
        </w:rPr>
        <w:t>本项目</w:t>
      </w:r>
      <w:r>
        <w:rPr>
          <w:rFonts w:hint="default" w:ascii="Times New Roman" w:hAnsi="Times New Roman" w:cs="Times New Roman"/>
          <w:color w:val="auto"/>
          <w:highlight w:val="none"/>
        </w:rPr>
        <w:t>的建设在创造良好经济效益和社会效益的同时，对环境的影响有限，经采取污染防治措施后，能够将工程带来的环境损失降到很低程度。</w:t>
      </w:r>
    </w:p>
    <w:p w14:paraId="051D691B">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bookmarkStart w:id="334" w:name="_Hlk149988698"/>
      <w:r>
        <w:rPr>
          <w:rFonts w:hint="default" w:ascii="Times New Roman" w:hAnsi="Times New Roman" w:cs="Times New Roman"/>
          <w:color w:val="auto"/>
          <w:highlight w:val="none"/>
        </w:rPr>
        <w:t>本项目属于“三废”综合治理项目，总投资5000万元，其中环保投资为</w:t>
      </w:r>
      <w:r>
        <w:rPr>
          <w:rFonts w:hint="eastAsia" w:cs="Times New Roman"/>
          <w:color w:val="auto"/>
          <w:highlight w:val="none"/>
          <w:lang w:eastAsia="zh-CN"/>
        </w:rPr>
        <w:t>276万</w:t>
      </w:r>
      <w:r>
        <w:rPr>
          <w:rFonts w:hint="default" w:ascii="Times New Roman" w:hAnsi="Times New Roman" w:cs="Times New Roman"/>
          <w:color w:val="auto"/>
          <w:highlight w:val="none"/>
        </w:rPr>
        <w:t>元，占项目总投资的</w:t>
      </w:r>
      <w:r>
        <w:rPr>
          <w:rFonts w:hint="eastAsia" w:cs="Times New Roman"/>
          <w:color w:val="auto"/>
          <w:highlight w:val="none"/>
          <w:lang w:eastAsia="zh-CN"/>
        </w:rPr>
        <w:t>5.52%</w:t>
      </w:r>
      <w:r>
        <w:rPr>
          <w:rFonts w:hint="default" w:ascii="Times New Roman" w:hAnsi="Times New Roman" w:cs="Times New Roman"/>
          <w:color w:val="auto"/>
          <w:highlight w:val="none"/>
        </w:rPr>
        <w:t>，具体环保投资分项估算见表7.2-1。</w:t>
      </w:r>
    </w:p>
    <w:p w14:paraId="7081C81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表7.2-1  环保投资一览表</w:t>
      </w:r>
    </w:p>
    <w:bookmarkEnd w:id="334"/>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429"/>
        <w:gridCol w:w="1624"/>
        <w:gridCol w:w="5048"/>
        <w:gridCol w:w="1054"/>
      </w:tblGrid>
      <w:tr w14:paraId="57508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40" w:type="pct"/>
            <w:tcBorders>
              <w:tl2br w:val="nil"/>
              <w:tr2bl w:val="nil"/>
            </w:tcBorders>
            <w:noWrap w:val="0"/>
            <w:vAlign w:val="center"/>
          </w:tcPr>
          <w:p w14:paraId="4A4B3D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阶段</w:t>
            </w:r>
          </w:p>
        </w:tc>
        <w:tc>
          <w:tcPr>
            <w:tcW w:w="1147" w:type="pct"/>
            <w:gridSpan w:val="2"/>
            <w:tcBorders>
              <w:tl2br w:val="nil"/>
              <w:tr2bl w:val="nil"/>
            </w:tcBorders>
            <w:noWrap w:val="0"/>
            <w:vAlign w:val="center"/>
          </w:tcPr>
          <w:p w14:paraId="0A41A97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污染源</w:t>
            </w:r>
          </w:p>
        </w:tc>
        <w:tc>
          <w:tcPr>
            <w:tcW w:w="2822" w:type="pct"/>
            <w:tcBorders>
              <w:tl2br w:val="nil"/>
              <w:tr2bl w:val="nil"/>
            </w:tcBorders>
            <w:noWrap w:val="0"/>
            <w:vAlign w:val="center"/>
          </w:tcPr>
          <w:p w14:paraId="3090ED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环保设施</w:t>
            </w:r>
          </w:p>
        </w:tc>
        <w:tc>
          <w:tcPr>
            <w:tcW w:w="589" w:type="pct"/>
            <w:tcBorders>
              <w:tl2br w:val="nil"/>
              <w:tr2bl w:val="nil"/>
            </w:tcBorders>
            <w:noWrap w:val="0"/>
            <w:vAlign w:val="center"/>
          </w:tcPr>
          <w:p w14:paraId="33DEE10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环保</w:t>
            </w:r>
          </w:p>
          <w:p w14:paraId="7A1935E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投资</w:t>
            </w:r>
          </w:p>
        </w:tc>
      </w:tr>
      <w:tr w14:paraId="34738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40" w:type="pct"/>
            <w:vMerge w:val="restart"/>
            <w:tcBorders>
              <w:tl2br w:val="nil"/>
              <w:tr2bl w:val="nil"/>
            </w:tcBorders>
            <w:noWrap w:val="0"/>
            <w:vAlign w:val="center"/>
          </w:tcPr>
          <w:p w14:paraId="431420A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施工期</w:t>
            </w:r>
          </w:p>
        </w:tc>
        <w:tc>
          <w:tcPr>
            <w:tcW w:w="1147" w:type="pct"/>
            <w:gridSpan w:val="2"/>
            <w:tcBorders>
              <w:tl2br w:val="nil"/>
              <w:tr2bl w:val="nil"/>
            </w:tcBorders>
            <w:noWrap w:val="0"/>
            <w:vAlign w:val="center"/>
          </w:tcPr>
          <w:p w14:paraId="59B8AE0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施工废气处理措施</w:t>
            </w:r>
          </w:p>
        </w:tc>
        <w:tc>
          <w:tcPr>
            <w:tcW w:w="2822" w:type="pct"/>
            <w:tcBorders>
              <w:tl2br w:val="nil"/>
              <w:tr2bl w:val="nil"/>
            </w:tcBorders>
            <w:noWrap w:val="0"/>
            <w:vAlign w:val="center"/>
          </w:tcPr>
          <w:p w14:paraId="29ABE38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围挡、堆场、道路</w:t>
            </w:r>
            <w:r>
              <w:rPr>
                <w:rFonts w:hint="default" w:ascii="Times New Roman" w:hAnsi="Times New Roman" w:cs="Times New Roman"/>
                <w:color w:val="auto"/>
                <w:kern w:val="0"/>
                <w:sz w:val="21"/>
                <w:szCs w:val="21"/>
                <w:highlight w:val="none"/>
                <w:lang w:eastAsia="zh-CN"/>
              </w:rPr>
              <w:t>洒水降尘</w:t>
            </w:r>
            <w:r>
              <w:rPr>
                <w:rFonts w:hint="default" w:ascii="Times New Roman" w:hAnsi="Times New Roman" w:cs="Times New Roman"/>
                <w:color w:val="auto"/>
                <w:kern w:val="0"/>
                <w:sz w:val="21"/>
                <w:szCs w:val="21"/>
                <w:highlight w:val="none"/>
              </w:rPr>
              <w:t>，路面硬化等</w:t>
            </w:r>
          </w:p>
        </w:tc>
        <w:tc>
          <w:tcPr>
            <w:tcW w:w="589" w:type="pct"/>
            <w:tcBorders>
              <w:tl2br w:val="nil"/>
              <w:tr2bl w:val="nil"/>
            </w:tcBorders>
            <w:noWrap w:val="0"/>
            <w:vAlign w:val="center"/>
          </w:tcPr>
          <w:p w14:paraId="4B6EB2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bookmarkStart w:id="370" w:name="_GoBack"/>
            <w:bookmarkEnd w:id="370"/>
          </w:p>
        </w:tc>
      </w:tr>
      <w:tr w14:paraId="3E3BD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0" w:hRule="atLeast"/>
        </w:trPr>
        <w:tc>
          <w:tcPr>
            <w:tcW w:w="440" w:type="pct"/>
            <w:vMerge w:val="continue"/>
            <w:tcBorders>
              <w:tl2br w:val="nil"/>
              <w:tr2bl w:val="nil"/>
            </w:tcBorders>
            <w:noWrap w:val="0"/>
            <w:vAlign w:val="center"/>
          </w:tcPr>
          <w:p w14:paraId="7ABB47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3C9F5AE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施工废水处理措施</w:t>
            </w:r>
          </w:p>
        </w:tc>
        <w:tc>
          <w:tcPr>
            <w:tcW w:w="2822" w:type="pct"/>
            <w:tcBorders>
              <w:tl2br w:val="nil"/>
              <w:tr2bl w:val="nil"/>
            </w:tcBorders>
            <w:noWrap w:val="0"/>
            <w:vAlign w:val="center"/>
          </w:tcPr>
          <w:p w14:paraId="1D6B546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设置防渗沉淀池，车辆冲洗废水等经沉淀后回用于施工现场扬尘。</w:t>
            </w:r>
          </w:p>
        </w:tc>
        <w:tc>
          <w:tcPr>
            <w:tcW w:w="589" w:type="pct"/>
            <w:tcBorders>
              <w:tl2br w:val="nil"/>
              <w:tr2bl w:val="nil"/>
            </w:tcBorders>
            <w:noWrap w:val="0"/>
            <w:vAlign w:val="center"/>
          </w:tcPr>
          <w:p w14:paraId="6B0F607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r>
      <w:tr w14:paraId="2EFE6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40" w:type="pct"/>
            <w:vMerge w:val="continue"/>
            <w:tcBorders>
              <w:tl2br w:val="nil"/>
              <w:tr2bl w:val="nil"/>
            </w:tcBorders>
            <w:noWrap w:val="0"/>
            <w:vAlign w:val="center"/>
          </w:tcPr>
          <w:p w14:paraId="5D02E7A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6D2422C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施工期</w:t>
            </w:r>
            <w:r>
              <w:rPr>
                <w:rFonts w:hint="default" w:ascii="Times New Roman" w:hAnsi="Times New Roman" w:cs="Times New Roman"/>
                <w:color w:val="auto"/>
                <w:kern w:val="0"/>
                <w:sz w:val="21"/>
                <w:szCs w:val="21"/>
                <w:highlight w:val="none"/>
              </w:rPr>
              <w:t>噪声</w:t>
            </w:r>
          </w:p>
        </w:tc>
        <w:tc>
          <w:tcPr>
            <w:tcW w:w="2822" w:type="pct"/>
            <w:tcBorders>
              <w:tl2br w:val="nil"/>
              <w:tr2bl w:val="nil"/>
            </w:tcBorders>
            <w:noWrap w:val="0"/>
            <w:vAlign w:val="center"/>
          </w:tcPr>
          <w:p w14:paraId="7798E7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施工设备检修及维护，其他吸声、消声、隔声、减振措施</w:t>
            </w:r>
          </w:p>
        </w:tc>
        <w:tc>
          <w:tcPr>
            <w:tcW w:w="589" w:type="pct"/>
            <w:tcBorders>
              <w:tl2br w:val="nil"/>
              <w:tr2bl w:val="nil"/>
            </w:tcBorders>
            <w:noWrap w:val="0"/>
            <w:vAlign w:val="center"/>
          </w:tcPr>
          <w:p w14:paraId="4E64A67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r>
      <w:tr w14:paraId="4B547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40" w:type="pct"/>
            <w:vMerge w:val="continue"/>
            <w:tcBorders>
              <w:tl2br w:val="nil"/>
              <w:tr2bl w:val="nil"/>
            </w:tcBorders>
            <w:noWrap w:val="0"/>
            <w:vAlign w:val="center"/>
          </w:tcPr>
          <w:p w14:paraId="5B24A11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196FAF1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施工</w:t>
            </w:r>
            <w:r>
              <w:rPr>
                <w:rFonts w:hint="default" w:ascii="Times New Roman" w:hAnsi="Times New Roman" w:cs="Times New Roman"/>
                <w:color w:val="auto"/>
                <w:kern w:val="0"/>
                <w:sz w:val="21"/>
                <w:szCs w:val="21"/>
                <w:highlight w:val="none"/>
              </w:rPr>
              <w:t>固废处理</w:t>
            </w:r>
          </w:p>
        </w:tc>
        <w:tc>
          <w:tcPr>
            <w:tcW w:w="2822" w:type="pct"/>
            <w:tcBorders>
              <w:tl2br w:val="nil"/>
              <w:tr2bl w:val="nil"/>
            </w:tcBorders>
            <w:noWrap w:val="0"/>
            <w:vAlign w:val="center"/>
          </w:tcPr>
          <w:p w14:paraId="3487E4D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设置堆场，篷布覆盖；设备包装等建筑垃圾设置建筑垃圾堆场并由施工单位拉运至当地建筑垃圾填埋场处置</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设置生活垃圾箱，定期清运至垃圾填埋场处置。</w:t>
            </w:r>
          </w:p>
        </w:tc>
        <w:tc>
          <w:tcPr>
            <w:tcW w:w="589" w:type="pct"/>
            <w:tcBorders>
              <w:tl2br w:val="nil"/>
              <w:tr2bl w:val="nil"/>
            </w:tcBorders>
            <w:noWrap w:val="0"/>
            <w:vAlign w:val="center"/>
          </w:tcPr>
          <w:p w14:paraId="16D4FA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r>
      <w:tr w14:paraId="33553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restart"/>
            <w:tcBorders>
              <w:tl2br w:val="nil"/>
              <w:tr2bl w:val="nil"/>
            </w:tcBorders>
            <w:noWrap w:val="0"/>
            <w:vAlign w:val="center"/>
          </w:tcPr>
          <w:p w14:paraId="4B59F12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运营期</w:t>
            </w:r>
          </w:p>
        </w:tc>
        <w:tc>
          <w:tcPr>
            <w:tcW w:w="239" w:type="pct"/>
            <w:vMerge w:val="restart"/>
            <w:tcBorders>
              <w:tl2br w:val="nil"/>
              <w:tr2bl w:val="nil"/>
            </w:tcBorders>
            <w:noWrap w:val="0"/>
            <w:vAlign w:val="center"/>
          </w:tcPr>
          <w:p w14:paraId="2A50A2A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废气处理</w:t>
            </w:r>
          </w:p>
        </w:tc>
        <w:tc>
          <w:tcPr>
            <w:tcW w:w="907" w:type="pct"/>
            <w:tcBorders>
              <w:tl2br w:val="nil"/>
              <w:tr2bl w:val="nil"/>
            </w:tcBorders>
            <w:noWrap w:val="0"/>
            <w:vAlign w:val="center"/>
          </w:tcPr>
          <w:p w14:paraId="356967E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运输扬尘</w:t>
            </w:r>
          </w:p>
        </w:tc>
        <w:tc>
          <w:tcPr>
            <w:tcW w:w="2822" w:type="pct"/>
            <w:tcBorders>
              <w:tl2br w:val="nil"/>
              <w:tr2bl w:val="nil"/>
            </w:tcBorders>
            <w:noWrap w:val="0"/>
            <w:vAlign w:val="center"/>
          </w:tcPr>
          <w:p w14:paraId="328E920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bidi="ar"/>
              </w:rPr>
              <w:t>采用道路洒水降尘、铺设道路碎石</w:t>
            </w:r>
            <w:r>
              <w:rPr>
                <w:rFonts w:hint="default" w:ascii="Times New Roman" w:hAnsi="Times New Roman" w:eastAsia="宋体" w:cs="Times New Roman"/>
                <w:color w:val="auto"/>
                <w:kern w:val="0"/>
                <w:sz w:val="21"/>
                <w:szCs w:val="21"/>
                <w:highlight w:val="none"/>
                <w:lang w:val="en-US" w:eastAsia="zh-CN" w:bidi="ar"/>
              </w:rPr>
              <w:t>或混凝土路面</w:t>
            </w:r>
          </w:p>
        </w:tc>
        <w:tc>
          <w:tcPr>
            <w:tcW w:w="589" w:type="pct"/>
            <w:tcBorders>
              <w:tl2br w:val="nil"/>
              <w:tr2bl w:val="nil"/>
            </w:tcBorders>
            <w:noWrap w:val="0"/>
            <w:vAlign w:val="center"/>
          </w:tcPr>
          <w:p w14:paraId="68139EA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r w14:paraId="2B951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0" w:type="pct"/>
            <w:vMerge w:val="continue"/>
            <w:tcBorders>
              <w:tl2br w:val="nil"/>
              <w:tr2bl w:val="nil"/>
            </w:tcBorders>
            <w:noWrap w:val="0"/>
            <w:vAlign w:val="center"/>
          </w:tcPr>
          <w:p w14:paraId="08B30BA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39" w:type="pct"/>
            <w:vMerge w:val="continue"/>
            <w:tcBorders>
              <w:tl2br w:val="nil"/>
              <w:tr2bl w:val="nil"/>
            </w:tcBorders>
            <w:noWrap w:val="0"/>
            <w:vAlign w:val="center"/>
          </w:tcPr>
          <w:p w14:paraId="558FFE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07" w:type="pct"/>
            <w:tcBorders>
              <w:tl2br w:val="nil"/>
              <w:tr2bl w:val="nil"/>
            </w:tcBorders>
            <w:noWrap w:val="0"/>
            <w:vAlign w:val="center"/>
          </w:tcPr>
          <w:p w14:paraId="6382731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破碎筛分</w:t>
            </w:r>
          </w:p>
        </w:tc>
        <w:tc>
          <w:tcPr>
            <w:tcW w:w="2822" w:type="pct"/>
            <w:tcBorders>
              <w:tl2br w:val="nil"/>
              <w:tr2bl w:val="nil"/>
            </w:tcBorders>
            <w:noWrap w:val="0"/>
            <w:vAlign w:val="center"/>
          </w:tcPr>
          <w:p w14:paraId="756FAF8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一、二级</w:t>
            </w:r>
            <w:r>
              <w:rPr>
                <w:rFonts w:hint="eastAsia" w:ascii="Times New Roman" w:hAnsi="Times New Roman" w:eastAsia="宋体" w:cs="Times New Roman"/>
                <w:color w:val="auto"/>
                <w:sz w:val="21"/>
                <w:szCs w:val="21"/>
                <w:highlight w:val="none"/>
                <w:lang w:val="en-US" w:eastAsia="zh-CN"/>
              </w:rPr>
              <w:t>破碎工序</w:t>
            </w:r>
            <w:r>
              <w:rPr>
                <w:rFonts w:hint="default" w:ascii="Times New Roman" w:hAnsi="Times New Roman" w:eastAsia="宋体" w:cs="Times New Roman"/>
                <w:color w:val="auto"/>
                <w:sz w:val="21"/>
                <w:szCs w:val="21"/>
                <w:highlight w:val="none"/>
                <w:lang w:val="en-US" w:eastAsia="zh-CN"/>
              </w:rPr>
              <w:t>均设置</w:t>
            </w:r>
            <w:r>
              <w:rPr>
                <w:rFonts w:hint="default" w:ascii="Times New Roman" w:hAnsi="Times New Roman" w:eastAsia="宋体" w:cs="Times New Roman"/>
                <w:color w:val="auto"/>
                <w:sz w:val="21"/>
                <w:szCs w:val="21"/>
                <w:highlight w:val="none"/>
                <w:lang w:eastAsia="zh-CN"/>
              </w:rPr>
              <w:t>除尘系统（包含：密封装置、</w:t>
            </w: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lang w:eastAsia="zh-CN"/>
              </w:rPr>
              <w:t>袋式除尘器、管道、风机等）</w:t>
            </w:r>
            <w:r>
              <w:rPr>
                <w:rFonts w:hint="default" w:ascii="Times New Roman" w:hAnsi="Times New Roman" w:eastAsia="宋体" w:cs="Times New Roman"/>
                <w:color w:val="auto"/>
                <w:sz w:val="21"/>
                <w:szCs w:val="21"/>
                <w:highlight w:val="none"/>
                <w:lang w:val="en-US" w:eastAsia="zh-CN"/>
              </w:rPr>
              <w:t>+15m高排气筒</w:t>
            </w:r>
            <w:r>
              <w:rPr>
                <w:rFonts w:hint="eastAsia" w:cs="Times New Roman"/>
                <w:color w:val="auto"/>
                <w:sz w:val="21"/>
                <w:szCs w:val="21"/>
                <w:highlight w:val="none"/>
                <w:lang w:val="en-US" w:eastAsia="zh-CN"/>
              </w:rPr>
              <w:t>；输送带密闭</w:t>
            </w:r>
          </w:p>
        </w:tc>
        <w:tc>
          <w:tcPr>
            <w:tcW w:w="589" w:type="pct"/>
            <w:tcBorders>
              <w:tl2br w:val="nil"/>
              <w:tr2bl w:val="nil"/>
            </w:tcBorders>
            <w:noWrap w:val="0"/>
            <w:vAlign w:val="center"/>
          </w:tcPr>
          <w:p w14:paraId="10149C5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14:paraId="12F30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0" w:type="pct"/>
            <w:vMerge w:val="continue"/>
            <w:tcBorders>
              <w:tl2br w:val="nil"/>
              <w:tr2bl w:val="nil"/>
            </w:tcBorders>
            <w:noWrap w:val="0"/>
            <w:vAlign w:val="center"/>
          </w:tcPr>
          <w:p w14:paraId="3FBF78A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239" w:type="pct"/>
            <w:vMerge w:val="continue"/>
            <w:tcBorders>
              <w:tl2br w:val="nil"/>
              <w:tr2bl w:val="nil"/>
            </w:tcBorders>
            <w:noWrap w:val="0"/>
            <w:vAlign w:val="center"/>
          </w:tcPr>
          <w:p w14:paraId="690E777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907" w:type="pct"/>
            <w:tcBorders>
              <w:tl2br w:val="nil"/>
              <w:tr2bl w:val="nil"/>
            </w:tcBorders>
            <w:noWrap w:val="0"/>
            <w:vAlign w:val="center"/>
          </w:tcPr>
          <w:p w14:paraId="30D5DDB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萃取-电积</w:t>
            </w:r>
          </w:p>
        </w:tc>
        <w:tc>
          <w:tcPr>
            <w:tcW w:w="2822" w:type="pct"/>
            <w:tcBorders>
              <w:tl2br w:val="nil"/>
              <w:tr2bl w:val="nil"/>
            </w:tcBorders>
            <w:noWrap w:val="0"/>
            <w:vAlign w:val="center"/>
          </w:tcPr>
          <w:p w14:paraId="502E45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设置集气罩+碱液吸收塔+15m排气筒排放。</w:t>
            </w:r>
          </w:p>
        </w:tc>
        <w:tc>
          <w:tcPr>
            <w:tcW w:w="589" w:type="pct"/>
            <w:tcBorders>
              <w:tl2br w:val="nil"/>
              <w:tr2bl w:val="nil"/>
            </w:tcBorders>
            <w:noWrap w:val="0"/>
            <w:vAlign w:val="center"/>
          </w:tcPr>
          <w:p w14:paraId="14BA9A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14:paraId="28CC6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0" w:type="pct"/>
            <w:vMerge w:val="continue"/>
            <w:tcBorders>
              <w:tl2br w:val="nil"/>
              <w:tr2bl w:val="nil"/>
            </w:tcBorders>
            <w:noWrap w:val="0"/>
            <w:vAlign w:val="center"/>
          </w:tcPr>
          <w:p w14:paraId="0CF5C9C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239" w:type="pct"/>
            <w:vMerge w:val="continue"/>
            <w:tcBorders>
              <w:tl2br w:val="nil"/>
              <w:tr2bl w:val="nil"/>
            </w:tcBorders>
            <w:noWrap w:val="0"/>
            <w:vAlign w:val="center"/>
          </w:tcPr>
          <w:p w14:paraId="6D47671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907" w:type="pct"/>
            <w:tcBorders>
              <w:tl2br w:val="nil"/>
              <w:tr2bl w:val="nil"/>
            </w:tcBorders>
            <w:noWrap w:val="0"/>
            <w:vAlign w:val="center"/>
          </w:tcPr>
          <w:p w14:paraId="506A86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其他无组织</w:t>
            </w:r>
            <w:r>
              <w:rPr>
                <w:rFonts w:hint="eastAsia" w:cs="Times New Roman"/>
                <w:color w:val="auto"/>
                <w:kern w:val="0"/>
                <w:sz w:val="21"/>
                <w:szCs w:val="21"/>
                <w:highlight w:val="none"/>
                <w:lang w:val="en-US" w:eastAsia="zh-CN" w:bidi="ar"/>
              </w:rPr>
              <w:t>废气</w:t>
            </w:r>
          </w:p>
        </w:tc>
        <w:tc>
          <w:tcPr>
            <w:tcW w:w="2822" w:type="pct"/>
            <w:tcBorders>
              <w:tl2br w:val="nil"/>
              <w:tr2bl w:val="nil"/>
            </w:tcBorders>
            <w:noWrap w:val="0"/>
            <w:vAlign w:val="center"/>
          </w:tcPr>
          <w:p w14:paraId="086214D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b w:val="0"/>
                <w:bCs w:val="0"/>
                <w:color w:val="auto"/>
                <w:spacing w:val="0"/>
                <w:sz w:val="21"/>
                <w:szCs w:val="21"/>
                <w:highlight w:val="none"/>
                <w:u w:val="none" w:color="auto"/>
                <w:lang w:val="en-US" w:eastAsia="zh-CN"/>
              </w:rPr>
              <w:t>洒水降尘</w:t>
            </w:r>
            <w:r>
              <w:rPr>
                <w:rFonts w:hint="eastAsia" w:ascii="Times New Roman" w:hAnsi="Times New Roman"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lang w:val="en-US" w:eastAsia="zh-CN"/>
              </w:rPr>
              <w:t>篷布遮盖等措施</w:t>
            </w:r>
          </w:p>
        </w:tc>
        <w:tc>
          <w:tcPr>
            <w:tcW w:w="589" w:type="pct"/>
            <w:tcBorders>
              <w:tl2br w:val="nil"/>
              <w:tr2bl w:val="nil"/>
            </w:tcBorders>
            <w:noWrap w:val="0"/>
            <w:vAlign w:val="center"/>
          </w:tcPr>
          <w:p w14:paraId="58C264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14:paraId="56A2C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40" w:type="pct"/>
            <w:vMerge w:val="continue"/>
            <w:tcBorders>
              <w:tl2br w:val="nil"/>
              <w:tr2bl w:val="nil"/>
            </w:tcBorders>
            <w:noWrap w:val="0"/>
            <w:vAlign w:val="center"/>
          </w:tcPr>
          <w:p w14:paraId="2E4B95B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3B36E42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噪声</w:t>
            </w:r>
          </w:p>
        </w:tc>
        <w:tc>
          <w:tcPr>
            <w:tcW w:w="2822" w:type="pct"/>
            <w:tcBorders>
              <w:tl2br w:val="nil"/>
              <w:tr2bl w:val="nil"/>
            </w:tcBorders>
            <w:noWrap w:val="0"/>
            <w:vAlign w:val="center"/>
          </w:tcPr>
          <w:p w14:paraId="64BC50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采用低噪声设备、隔声罩、</w:t>
            </w:r>
            <w:r>
              <w:rPr>
                <w:rFonts w:hint="default" w:ascii="Times New Roman" w:hAnsi="Times New Roman" w:cs="Times New Roman"/>
                <w:color w:val="auto"/>
                <w:kern w:val="0"/>
                <w:sz w:val="21"/>
                <w:szCs w:val="21"/>
                <w:highlight w:val="none"/>
                <w:lang w:eastAsia="zh-CN"/>
              </w:rPr>
              <w:t>基础减振</w:t>
            </w:r>
            <w:r>
              <w:rPr>
                <w:rFonts w:hint="default" w:ascii="Times New Roman" w:hAnsi="Times New Roman" w:cs="Times New Roman"/>
                <w:color w:val="auto"/>
                <w:kern w:val="0"/>
                <w:sz w:val="21"/>
                <w:szCs w:val="21"/>
                <w:highlight w:val="none"/>
              </w:rPr>
              <w:t>、消声器</w:t>
            </w:r>
          </w:p>
        </w:tc>
        <w:tc>
          <w:tcPr>
            <w:tcW w:w="589" w:type="pct"/>
            <w:tcBorders>
              <w:tl2br w:val="nil"/>
              <w:tr2bl w:val="nil"/>
            </w:tcBorders>
            <w:noWrap w:val="0"/>
            <w:vAlign w:val="center"/>
          </w:tcPr>
          <w:p w14:paraId="12B1E1D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r>
      <w:tr w14:paraId="7D36C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 w:type="pct"/>
            <w:vMerge w:val="continue"/>
            <w:tcBorders>
              <w:tl2br w:val="nil"/>
              <w:tr2bl w:val="nil"/>
            </w:tcBorders>
            <w:noWrap w:val="0"/>
            <w:vAlign w:val="center"/>
          </w:tcPr>
          <w:p w14:paraId="3717C29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vMerge w:val="restart"/>
            <w:tcBorders>
              <w:tl2br w:val="nil"/>
              <w:tr2bl w:val="nil"/>
            </w:tcBorders>
            <w:noWrap w:val="0"/>
            <w:vAlign w:val="center"/>
          </w:tcPr>
          <w:p w14:paraId="354748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固体废物</w:t>
            </w:r>
          </w:p>
        </w:tc>
        <w:tc>
          <w:tcPr>
            <w:tcW w:w="2822" w:type="pct"/>
            <w:tcBorders>
              <w:tl2br w:val="nil"/>
              <w:tr2bl w:val="nil"/>
            </w:tcBorders>
            <w:noWrap w:val="0"/>
            <w:vAlign w:val="center"/>
          </w:tcPr>
          <w:p w14:paraId="32D8082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危险废物</w:t>
            </w:r>
            <w:r>
              <w:rPr>
                <w:rFonts w:hint="default" w:ascii="Times New Roman" w:hAnsi="Times New Roman" w:cs="Times New Roman"/>
                <w:color w:val="auto"/>
                <w:kern w:val="0"/>
                <w:sz w:val="21"/>
                <w:szCs w:val="21"/>
                <w:highlight w:val="none"/>
                <w:lang w:val="en-US" w:eastAsia="zh-CN"/>
              </w:rPr>
              <w:t>暂存于危险废物贮存点，定期交由有相应处置资质单位处置</w:t>
            </w:r>
          </w:p>
        </w:tc>
        <w:tc>
          <w:tcPr>
            <w:tcW w:w="589" w:type="pct"/>
            <w:tcBorders>
              <w:tl2br w:val="nil"/>
              <w:tr2bl w:val="nil"/>
            </w:tcBorders>
            <w:noWrap w:val="0"/>
            <w:vAlign w:val="center"/>
          </w:tcPr>
          <w:p w14:paraId="08628F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0A7AE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40" w:type="pct"/>
            <w:vMerge w:val="continue"/>
            <w:tcBorders>
              <w:tl2br w:val="nil"/>
              <w:tr2bl w:val="nil"/>
            </w:tcBorders>
            <w:noWrap w:val="0"/>
            <w:vAlign w:val="center"/>
          </w:tcPr>
          <w:p w14:paraId="1C4E34C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vMerge w:val="continue"/>
            <w:tcBorders>
              <w:tl2br w:val="nil"/>
              <w:tr2bl w:val="nil"/>
            </w:tcBorders>
            <w:noWrap w:val="0"/>
            <w:vAlign w:val="center"/>
          </w:tcPr>
          <w:p w14:paraId="1393CC8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822" w:type="pct"/>
            <w:tcBorders>
              <w:tl2br w:val="nil"/>
              <w:tr2bl w:val="nil"/>
            </w:tcBorders>
            <w:noWrap w:val="0"/>
            <w:vAlign w:val="center"/>
          </w:tcPr>
          <w:p w14:paraId="5266C62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生活垃圾统一收集后定期拉运至生活垃圾填埋场集中后填埋处理</w:t>
            </w:r>
          </w:p>
        </w:tc>
        <w:tc>
          <w:tcPr>
            <w:tcW w:w="589" w:type="pct"/>
            <w:tcBorders>
              <w:tl2br w:val="nil"/>
              <w:tr2bl w:val="nil"/>
            </w:tcBorders>
            <w:noWrap w:val="0"/>
            <w:vAlign w:val="center"/>
          </w:tcPr>
          <w:p w14:paraId="048FB9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r>
      <w:tr w14:paraId="0F707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40" w:type="pct"/>
            <w:vMerge w:val="continue"/>
            <w:tcBorders>
              <w:tl2br w:val="nil"/>
              <w:tr2bl w:val="nil"/>
            </w:tcBorders>
            <w:noWrap w:val="0"/>
            <w:vAlign w:val="center"/>
          </w:tcPr>
          <w:p w14:paraId="457814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1147" w:type="pct"/>
            <w:gridSpan w:val="2"/>
            <w:vMerge w:val="continue"/>
            <w:tcBorders>
              <w:tl2br w:val="nil"/>
              <w:tr2bl w:val="nil"/>
            </w:tcBorders>
            <w:noWrap w:val="0"/>
            <w:vAlign w:val="center"/>
          </w:tcPr>
          <w:p w14:paraId="4DE1178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2822" w:type="pct"/>
            <w:tcBorders>
              <w:tl2br w:val="nil"/>
              <w:tr2bl w:val="nil"/>
            </w:tcBorders>
            <w:noWrap w:val="0"/>
            <w:vAlign w:val="center"/>
          </w:tcPr>
          <w:p w14:paraId="449C785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浸出渣鉴定不属于危废后依托厂区现有尾矿库贮存</w:t>
            </w:r>
          </w:p>
        </w:tc>
        <w:tc>
          <w:tcPr>
            <w:tcW w:w="589" w:type="pct"/>
            <w:tcBorders>
              <w:tl2br w:val="nil"/>
              <w:tr2bl w:val="nil"/>
            </w:tcBorders>
            <w:noWrap w:val="0"/>
            <w:vAlign w:val="center"/>
          </w:tcPr>
          <w:p w14:paraId="6254857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r w14:paraId="34D05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continue"/>
            <w:tcBorders>
              <w:tl2br w:val="nil"/>
              <w:tr2bl w:val="nil"/>
            </w:tcBorders>
            <w:noWrap w:val="0"/>
            <w:vAlign w:val="center"/>
          </w:tcPr>
          <w:p w14:paraId="29DDD21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100694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风险防范措施</w:t>
            </w:r>
          </w:p>
        </w:tc>
        <w:tc>
          <w:tcPr>
            <w:tcW w:w="2822" w:type="pct"/>
            <w:tcBorders>
              <w:tl2br w:val="nil"/>
              <w:tr2bl w:val="nil"/>
            </w:tcBorders>
            <w:noWrap w:val="0"/>
            <w:vAlign w:val="center"/>
          </w:tcPr>
          <w:p w14:paraId="5DBF8DC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zh-CN" w:eastAsia="zh-CN"/>
              </w:rPr>
            </w:pPr>
            <w:r>
              <w:rPr>
                <w:rFonts w:hint="default" w:ascii="Times New Roman" w:hAnsi="Times New Roman" w:eastAsia="宋体" w:cs="Times New Roman"/>
                <w:color w:val="auto"/>
                <w:kern w:val="0"/>
                <w:sz w:val="21"/>
                <w:szCs w:val="21"/>
                <w:highlight w:val="none"/>
              </w:rPr>
              <w:t>在</w:t>
            </w:r>
            <w:r>
              <w:rPr>
                <w:rFonts w:hint="eastAsia" w:cs="Times New Roman"/>
                <w:color w:val="auto"/>
                <w:kern w:val="0"/>
                <w:sz w:val="21"/>
                <w:szCs w:val="21"/>
                <w:highlight w:val="none"/>
                <w:lang w:val="en-US" w:eastAsia="zh-CN"/>
              </w:rPr>
              <w:t>球磨车间</w:t>
            </w:r>
            <w:r>
              <w:rPr>
                <w:rFonts w:hint="default" w:ascii="Times New Roman" w:hAnsi="Times New Roman" w:eastAsia="宋体" w:cs="Times New Roman"/>
                <w:color w:val="auto"/>
                <w:kern w:val="0"/>
                <w:sz w:val="21"/>
                <w:szCs w:val="21"/>
                <w:highlight w:val="none"/>
              </w:rPr>
              <w:t>附近建设的事故应急池</w:t>
            </w:r>
            <w:r>
              <w:rPr>
                <w:rFonts w:hint="eastAsia" w:ascii="Times New Roman" w:hAnsi="Times New Roman" w:eastAsia="宋体" w:cs="Times New Roman"/>
                <w:color w:val="auto"/>
                <w:kern w:val="0"/>
                <w:sz w:val="21"/>
                <w:szCs w:val="21"/>
                <w:highlight w:val="none"/>
                <w:lang w:eastAsia="zh-CN"/>
              </w:rPr>
              <w:t>；萃取电积间反应场所、硫酸储罐及事故应急池采取重点防渗</w:t>
            </w:r>
          </w:p>
        </w:tc>
        <w:tc>
          <w:tcPr>
            <w:tcW w:w="589" w:type="pct"/>
            <w:tcBorders>
              <w:tl2br w:val="nil"/>
              <w:tr2bl w:val="nil"/>
            </w:tcBorders>
            <w:noWrap w:val="0"/>
            <w:vAlign w:val="center"/>
          </w:tcPr>
          <w:p w14:paraId="527D643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rPr>
            </w:pPr>
          </w:p>
        </w:tc>
      </w:tr>
      <w:tr w14:paraId="1B191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40" w:type="pct"/>
            <w:vMerge w:val="continue"/>
            <w:tcBorders>
              <w:tl2br w:val="nil"/>
              <w:tr2bl w:val="nil"/>
            </w:tcBorders>
            <w:noWrap w:val="0"/>
            <w:vAlign w:val="center"/>
          </w:tcPr>
          <w:p w14:paraId="3E53C4D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663ADE9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环境管理</w:t>
            </w:r>
          </w:p>
        </w:tc>
        <w:tc>
          <w:tcPr>
            <w:tcW w:w="2822" w:type="pct"/>
            <w:tcBorders>
              <w:tl2br w:val="nil"/>
              <w:tr2bl w:val="nil"/>
            </w:tcBorders>
            <w:noWrap w:val="0"/>
            <w:vAlign w:val="center"/>
          </w:tcPr>
          <w:p w14:paraId="52D53D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突发事件环境应急预案、例行监测等</w:t>
            </w:r>
          </w:p>
        </w:tc>
        <w:tc>
          <w:tcPr>
            <w:tcW w:w="589" w:type="pct"/>
            <w:tcBorders>
              <w:tl2br w:val="nil"/>
              <w:tr2bl w:val="nil"/>
            </w:tcBorders>
            <w:noWrap w:val="0"/>
            <w:vAlign w:val="center"/>
          </w:tcPr>
          <w:p w14:paraId="2C538C8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7110A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4410" w:type="pct"/>
            <w:gridSpan w:val="4"/>
            <w:tcBorders>
              <w:tl2br w:val="nil"/>
              <w:tr2bl w:val="nil"/>
            </w:tcBorders>
            <w:noWrap w:val="0"/>
            <w:vAlign w:val="center"/>
          </w:tcPr>
          <w:p w14:paraId="133554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合计</w:t>
            </w:r>
          </w:p>
        </w:tc>
        <w:tc>
          <w:tcPr>
            <w:tcW w:w="589" w:type="pct"/>
            <w:tcBorders>
              <w:tl2br w:val="nil"/>
              <w:tr2bl w:val="nil"/>
            </w:tcBorders>
            <w:noWrap w:val="0"/>
            <w:vAlign w:val="center"/>
          </w:tcPr>
          <w:p w14:paraId="0E9C2B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bl>
    <w:p w14:paraId="29526FEE">
      <w:pPr>
        <w:pageBreakBefore w:val="0"/>
        <w:tabs>
          <w:tab w:val="left" w:pos="3825"/>
          <w:tab w:val="left" w:pos="4680"/>
        </w:tabs>
        <w:wordWrap/>
        <w:topLinePunct w:val="0"/>
        <w:bidi w:val="0"/>
        <w:adjustRightInd w:val="0"/>
        <w:snapToGrid w:val="0"/>
        <w:ind w:left="0" w:leftChars="0" w:right="0" w:firstLine="480" w:firstLineChars="0"/>
        <w:jc w:val="left"/>
        <w:rPr>
          <w:rFonts w:hint="default" w:ascii="Times New Roman" w:hAnsi="Times New Roman" w:cs="Times New Roman"/>
          <w:color w:val="auto"/>
          <w:szCs w:val="21"/>
          <w:highlight w:val="none"/>
        </w:rPr>
      </w:pPr>
    </w:p>
    <w:p w14:paraId="17389977">
      <w:pPr>
        <w:pageBreakBefore w:val="0"/>
        <w:tabs>
          <w:tab w:val="left" w:pos="3825"/>
          <w:tab w:val="left" w:pos="4680"/>
        </w:tabs>
        <w:wordWrap/>
        <w:topLinePunct w:val="0"/>
        <w:bidi w:val="0"/>
        <w:adjustRightInd w:val="0"/>
        <w:snapToGrid w:val="0"/>
        <w:ind w:left="0" w:leftChars="0" w:right="0" w:firstLine="480" w:firstLineChars="0"/>
        <w:jc w:val="left"/>
        <w:rPr>
          <w:rFonts w:hint="default" w:ascii="Times New Roman" w:hAnsi="Times New Roman" w:cs="Times New Roman"/>
          <w:color w:val="auto"/>
          <w:szCs w:val="21"/>
          <w:highlight w:val="none"/>
        </w:rPr>
      </w:pPr>
    </w:p>
    <w:p w14:paraId="4F3EDCA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footerReference r:id="rId29" w:type="first"/>
          <w:footerReference r:id="rId28"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5FB5DEAE">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35" w:name="_Toc30325"/>
      <w:bookmarkStart w:id="336" w:name="_Toc13335"/>
      <w:r>
        <w:rPr>
          <w:rFonts w:hint="default" w:ascii="Times New Roman" w:hAnsi="Times New Roman" w:eastAsia="宋体" w:cs="Times New Roman"/>
          <w:color w:val="auto"/>
          <w:highlight w:val="none"/>
        </w:rPr>
        <w:t>8 环境管理与监测计划</w:t>
      </w:r>
      <w:bookmarkEnd w:id="335"/>
      <w:bookmarkEnd w:id="336"/>
    </w:p>
    <w:p w14:paraId="316A8572">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为了贯彻执行国家和地方环境保护</w:t>
      </w:r>
      <w:r>
        <w:rPr>
          <w:rFonts w:hint="eastAsia" w:cs="Times New Roman"/>
          <w:color w:val="auto"/>
          <w:kern w:val="0"/>
          <w:highlight w:val="none"/>
          <w:lang w:eastAsia="zh-CN"/>
        </w:rPr>
        <w:t>法律法规</w:t>
      </w:r>
      <w:r>
        <w:rPr>
          <w:rFonts w:hint="default" w:ascii="Times New Roman" w:hAnsi="Times New Roman" w:cs="Times New Roman"/>
          <w:color w:val="auto"/>
          <w:kern w:val="0"/>
          <w:highlight w:val="none"/>
        </w:rPr>
        <w:t>、政策与标准，及时掌握和了解污染控制措施的效果，以及项目所在区域环境质量的变化情况，更好地监控环保设施的运行情况，协调与地方</w:t>
      </w:r>
      <w:r>
        <w:rPr>
          <w:rFonts w:hint="eastAsia" w:cs="Times New Roman"/>
          <w:color w:val="auto"/>
          <w:kern w:val="0"/>
          <w:highlight w:val="none"/>
          <w:lang w:val="en-US" w:eastAsia="zh-CN"/>
        </w:rPr>
        <w:t>生态环境</w:t>
      </w:r>
      <w:r>
        <w:rPr>
          <w:rFonts w:hint="default" w:ascii="Times New Roman" w:hAnsi="Times New Roman" w:cs="Times New Roman"/>
          <w:color w:val="auto"/>
          <w:kern w:val="0"/>
          <w:highlight w:val="none"/>
        </w:rPr>
        <w:t>职能部门和其他有关部门的工作，同时保证企业生产管理和环境管理的正常运作，建立环境管理体系与监测制度是非常必要和重要的。</w:t>
      </w:r>
    </w:p>
    <w:p w14:paraId="4D4FC381">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14:paraId="6F51A57D">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37" w:name="_Toc2737"/>
      <w:bookmarkStart w:id="338" w:name="_Toc6634"/>
      <w:r>
        <w:rPr>
          <w:rFonts w:hint="default" w:ascii="Times New Roman" w:hAnsi="Times New Roman" w:eastAsia="宋体" w:cs="Times New Roman"/>
          <w:color w:val="auto"/>
          <w:highlight w:val="none"/>
        </w:rPr>
        <w:t>8.1 环境管理</w:t>
      </w:r>
      <w:bookmarkEnd w:id="337"/>
      <w:bookmarkEnd w:id="338"/>
    </w:p>
    <w:p w14:paraId="22C7B069">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8.1.1 环境管理机构的设置及职责</w:t>
      </w:r>
    </w:p>
    <w:p w14:paraId="17943252">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本项目依托</w:t>
      </w:r>
      <w:r>
        <w:rPr>
          <w:rFonts w:hint="default" w:ascii="Times New Roman" w:hAnsi="Times New Roman" w:cs="Times New Roman"/>
          <w:color w:val="auto"/>
          <w:kern w:val="0"/>
          <w:highlight w:val="none"/>
          <w:lang w:eastAsia="zh-CN"/>
        </w:rPr>
        <w:t>鄯善县厚旺铜矿有限责任公司</w:t>
      </w:r>
      <w:r>
        <w:rPr>
          <w:rFonts w:hint="default" w:ascii="Times New Roman" w:hAnsi="Times New Roman" w:cs="Times New Roman"/>
          <w:color w:val="auto"/>
          <w:kern w:val="0"/>
          <w:highlight w:val="none"/>
        </w:rPr>
        <w:t>已有的环境管理机构，实行分级管理</w:t>
      </w:r>
      <w:r>
        <w:rPr>
          <w:rFonts w:hint="eastAsia" w:cs="Times New Roman"/>
          <w:color w:val="auto"/>
          <w:kern w:val="0"/>
          <w:highlight w:val="none"/>
          <w:lang w:eastAsia="zh-CN"/>
        </w:rPr>
        <w:t>制度</w:t>
      </w:r>
      <w:r>
        <w:rPr>
          <w:rFonts w:hint="default" w:ascii="Times New Roman" w:hAnsi="Times New Roman" w:cs="Times New Roman"/>
          <w:color w:val="auto"/>
          <w:kern w:val="0"/>
          <w:highlight w:val="none"/>
        </w:rPr>
        <w:t>：</w:t>
      </w:r>
      <w:r>
        <w:rPr>
          <w:rFonts w:hint="default" w:ascii="Times New Roman" w:hAnsi="Times New Roman" w:cs="Times New Roman"/>
          <w:color w:val="auto"/>
          <w:highlight w:val="none"/>
        </w:rPr>
        <w:t>一级为</w:t>
      </w:r>
      <w:r>
        <w:rPr>
          <w:rFonts w:hint="eastAsia" w:cs="Times New Roman"/>
          <w:color w:val="auto"/>
          <w:highlight w:val="none"/>
          <w:lang w:eastAsia="zh-CN"/>
        </w:rPr>
        <w:t>企业建设单位管理</w:t>
      </w:r>
      <w:r>
        <w:rPr>
          <w:rFonts w:hint="default" w:ascii="Times New Roman" w:hAnsi="Times New Roman" w:cs="Times New Roman"/>
          <w:color w:val="auto"/>
          <w:highlight w:val="none"/>
        </w:rPr>
        <w:t>副经理；二级为企业安全环保部门；三级为各生产车间主任和后勤服务负责人，其主要职责如下：</w:t>
      </w:r>
    </w:p>
    <w:p w14:paraId="0E46D37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（1）经理、主管副经理职责</w:t>
      </w:r>
    </w:p>
    <w:p w14:paraId="032D844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（a）负责贯彻执行国家环境保护法、环境保护方针和政策。</w:t>
      </w:r>
    </w:p>
    <w:p w14:paraId="11A4B33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（b）负责建立完整的环保机构，保证人员的落实。</w:t>
      </w:r>
    </w:p>
    <w:p w14:paraId="77BE2F7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（2）安全环保部门职责</w:t>
      </w:r>
    </w:p>
    <w:p w14:paraId="60D5FB8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（a）贯彻上级领导或环保部门有关的环保制度和规定。</w:t>
      </w:r>
    </w:p>
    <w:p w14:paraId="4869B86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（b）建立环保档案，包括环评报告、环保工程验收报告、污染源监测报告、环保设备运行记录以及</w:t>
      </w:r>
      <w:r>
        <w:rPr>
          <w:rFonts w:hint="eastAsia" w:cs="Times New Roman"/>
          <w:color w:val="auto"/>
          <w:highlight w:val="none"/>
          <w:lang w:eastAsia="zh-CN"/>
        </w:rPr>
        <w:t>其他环境</w:t>
      </w:r>
      <w:r>
        <w:rPr>
          <w:rFonts w:hint="default" w:ascii="Times New Roman" w:hAnsi="Times New Roman" w:cs="Times New Roman"/>
          <w:color w:val="auto"/>
          <w:highlight w:val="none"/>
        </w:rPr>
        <w:t>统计资料，并定期向当地生态环境行政主管部门汇报。</w:t>
      </w:r>
    </w:p>
    <w:p w14:paraId="605CC88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（c）汇总、编报环保年度计划及规划，并监督、检查执行情况。</w:t>
      </w:r>
    </w:p>
    <w:p w14:paraId="737335B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（d）制定环保考核制度和有关奖罚规定。</w:t>
      </w:r>
    </w:p>
    <w:p w14:paraId="3F330D2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（e）对污染源进行监督管理，贯彻预防为主的方针，发现问题，及时采取措施，并向上级主管部门汇报。</w:t>
      </w:r>
    </w:p>
    <w:p w14:paraId="333D23E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（f）负责组织突发性污染事故的善后处理，追查事故原因，杜绝事故隐患，并参照企业管理规章，提出对事故责任人的处理意见，上报上级主管部门。</w:t>
      </w:r>
    </w:p>
    <w:p w14:paraId="2D4C4B6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（g）对环境保护的先进经验、先进技术进行推广和应用。</w:t>
      </w:r>
    </w:p>
    <w:p w14:paraId="69DA770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（h）负责环保设备的统一管理，每月考核一次收尘设备的运行情况，并负责对收尘器的大、中修的质量验收。</w:t>
      </w:r>
    </w:p>
    <w:p w14:paraId="35E64DF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（i）组织职工进行环保教育，搞好环境宣传及环保技术培训。</w:t>
      </w:r>
    </w:p>
    <w:p w14:paraId="606EC33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（3）各生产车间主任和后勤服务负责人主要职责</w:t>
      </w:r>
    </w:p>
    <w:p w14:paraId="040D7AA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（a）负责本部门的具体环境保护工作。</w:t>
      </w:r>
    </w:p>
    <w:p w14:paraId="7A3F2A4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（b）按照安全环保部门的统一部署，提出本部门环保治理项目计划，报安全环保部门及各职能部门。</w:t>
      </w:r>
    </w:p>
    <w:p w14:paraId="715B753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（c）负责本部门环保设施的使用、管理和检查，保证环保设施处于最佳状态。车间主管环保的领导和环保工作人员至少每半个月对所辖范围内的环保设备工作情况进行一次巡回检查。</w:t>
      </w:r>
    </w:p>
    <w:p w14:paraId="443F991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（d）参加环保会议和污染事故调查，并上报污染事故报告。</w:t>
      </w:r>
    </w:p>
    <w:p w14:paraId="3B935731">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8.1.2 施工期环境管理</w:t>
      </w:r>
    </w:p>
    <w:p w14:paraId="71089576">
      <w:pPr>
        <w:pageBreakBefore w:val="0"/>
        <w:wordWrap/>
        <w:topLinePunct w:val="0"/>
        <w:bidi w:val="0"/>
        <w:adjustRightInd w:val="0"/>
        <w:snapToGrid w:val="0"/>
        <w:spacing w:line="44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为加强施工现场管理，防止施工扬尘污染、噪声污染，本评价要求建设单位配备1名具有环保专业知识的技术人员，专职或兼职负责施工期的环境保护工作；施工单位设置1名专职或兼职环境保护人员。</w:t>
      </w:r>
    </w:p>
    <w:p w14:paraId="1CD3059A">
      <w:pPr>
        <w:pageBreakBefore w:val="0"/>
        <w:wordWrap/>
        <w:topLinePunct w:val="0"/>
        <w:bidi w:val="0"/>
        <w:adjustRightInd w:val="0"/>
        <w:snapToGrid w:val="0"/>
        <w:spacing w:line="44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（1）施工阶段各环境要素控制措施</w:t>
      </w:r>
    </w:p>
    <w:p w14:paraId="38C2AE4B">
      <w:pPr>
        <w:pageBreakBefore w:val="0"/>
        <w:wordWrap/>
        <w:topLinePunct w:val="0"/>
        <w:bidi w:val="0"/>
        <w:adjustRightInd w:val="0"/>
        <w:snapToGrid w:val="0"/>
        <w:spacing w:line="44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①大气污染防治措施</w:t>
      </w:r>
    </w:p>
    <w:p w14:paraId="3540D1D5">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※物料运输车辆必须进行苫盖、密闭严实，苫布边缘至少要遮住槽帮上沿以下15cm；车辆应按照批准的路线和时间进行物料、渣土、垃圾的运输；车辆严禁超载。</w:t>
      </w:r>
    </w:p>
    <w:p w14:paraId="7369767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※施工期采用商品混凝土，不得在项目区内设置混凝土搅拌站。</w:t>
      </w:r>
    </w:p>
    <w:p w14:paraId="6E52FF2B">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※堆场场地平整、沉淀池开挖等易起尘作业过程中，应辅以洒水压尘。</w:t>
      </w:r>
    </w:p>
    <w:p w14:paraId="3D6ED5A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※渣土、建筑垃圾以及易起尘物料应集中分类堆存，临时堆放点应设置围挡，采用防尘网进行苫盖，并及时进行清运。</w:t>
      </w:r>
    </w:p>
    <w:p w14:paraId="427A1634">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※施工材料装卸过程应控制落差，减少装卸料过程起尘，并在厂区内临时设置雾炮机进行降尘。</w:t>
      </w:r>
    </w:p>
    <w:p w14:paraId="078F751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※选择环保型机械设备，运输车辆按规定方向进出，减少怠速</w:t>
      </w:r>
      <w:r>
        <w:rPr>
          <w:rFonts w:hint="eastAsia" w:cs="Times New Roman"/>
          <w:color w:val="auto"/>
          <w:highlight w:val="none"/>
          <w:lang w:eastAsia="zh-CN"/>
        </w:rPr>
        <w:t>行驶</w:t>
      </w:r>
      <w:r>
        <w:rPr>
          <w:rFonts w:hint="default" w:ascii="Times New Roman" w:hAnsi="Times New Roman" w:cs="Times New Roman"/>
          <w:color w:val="auto"/>
          <w:highlight w:val="none"/>
        </w:rPr>
        <w:t>，将尾气排放降到最低。施工单位在施工期内安排专人注意加强施工机械维护，确保机械设备正常运行，提高设备原料的利用率。</w:t>
      </w:r>
    </w:p>
    <w:p w14:paraId="1D129A6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②水环境防治措施</w:t>
      </w:r>
    </w:p>
    <w:p w14:paraId="4D8CF6B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生活污水排入</w:t>
      </w:r>
      <w:r>
        <w:rPr>
          <w:rFonts w:hint="eastAsia" w:cs="Times New Roman"/>
          <w:color w:val="auto"/>
          <w:highlight w:val="none"/>
          <w:lang w:val="en-US" w:eastAsia="zh-CN"/>
        </w:rPr>
        <w:t>厂区</w:t>
      </w:r>
      <w:r>
        <w:rPr>
          <w:rFonts w:hint="default" w:ascii="Times New Roman" w:hAnsi="Times New Roman" w:cs="Times New Roman"/>
          <w:color w:val="auto"/>
          <w:highlight w:val="none"/>
        </w:rPr>
        <w:t>现有</w:t>
      </w:r>
      <w:r>
        <w:rPr>
          <w:rFonts w:hint="eastAsia" w:cs="Times New Roman"/>
          <w:color w:val="auto"/>
          <w:highlight w:val="none"/>
          <w:lang w:eastAsia="zh-CN"/>
        </w:rPr>
        <w:t>化粪池</w:t>
      </w:r>
      <w:r>
        <w:rPr>
          <w:rFonts w:hint="default" w:ascii="Times New Roman" w:hAnsi="Times New Roman" w:cs="Times New Roman"/>
          <w:color w:val="auto"/>
          <w:highlight w:val="none"/>
        </w:rPr>
        <w:t>，</w:t>
      </w:r>
      <w:r>
        <w:rPr>
          <w:rFonts w:hint="eastAsia" w:cs="Times New Roman"/>
          <w:color w:val="auto"/>
          <w:highlight w:val="none"/>
          <w:lang w:eastAsia="zh-CN"/>
        </w:rPr>
        <w:t>定期拉运清掏</w:t>
      </w:r>
      <w:r>
        <w:rPr>
          <w:rFonts w:hint="default" w:ascii="Times New Roman" w:hAnsi="Times New Roman" w:cs="Times New Roman"/>
          <w:color w:val="auto"/>
          <w:highlight w:val="none"/>
        </w:rPr>
        <w:t>；施工现场设置临时沉淀池，生产废水中含泥沙污水排入沉淀池，经沉淀处理后进行回用，不外排；加强施工期环境管理工作，由专人负责，加强对人员的环保宣传教育，文明施工，禁止不按规定排放废水。</w:t>
      </w:r>
    </w:p>
    <w:p w14:paraId="77BB906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③噪声污染防治措施</w:t>
      </w:r>
    </w:p>
    <w:p w14:paraId="6747854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用低噪声设备，合理安排施工机械的使用，减少或限制高噪声设备的使用时间，加强各种施工机械的维修保养；施工区域设置围挡，合理布局，噪声设备尽量布置在远离厂界的位置；合理安排运输车辆的路线和行驶速度。</w:t>
      </w:r>
    </w:p>
    <w:p w14:paraId="5C2CBEA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④固体废物的控制</w:t>
      </w:r>
    </w:p>
    <w:p w14:paraId="3A45D32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现场设置生活垃圾收集箱，生活垃圾集中收集后由环卫部门统一收集清运。可回收的建筑垃圾进行分类收集后外运至废品收购公司再利用，剩余不可回收的建筑垃圾集中收集后清运至当地建筑垃圾填埋场处置。</w:t>
      </w:r>
    </w:p>
    <w:p w14:paraId="0F15A578">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（2）施工期环境监理</w:t>
      </w:r>
    </w:p>
    <w:p w14:paraId="58946E22">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①监理阶段</w:t>
      </w:r>
    </w:p>
    <w:p w14:paraId="035C9DF4">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环境监理对象包括拟建工程内容。</w:t>
      </w:r>
    </w:p>
    <w:p w14:paraId="5BF10D58">
      <w:pPr>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环境监理时段：从开工建设到竣工验收结束的整个工程建设期。</w:t>
      </w:r>
    </w:p>
    <w:p w14:paraId="61769622">
      <w:pPr>
        <w:pageBreakBefore w:val="0"/>
        <w:wordWrap/>
        <w:topLinePunct w:val="0"/>
        <w:bidi w:val="0"/>
        <w:adjustRightInd w:val="0"/>
        <w:snapToGrid w:val="0"/>
        <w:spacing w:line="500" w:lineRule="exact"/>
        <w:ind w:left="0" w:leftChars="0" w:right="0" w:firstLine="480" w:firstLineChars="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②监理范围、内容及方式</w:t>
      </w:r>
    </w:p>
    <w:p w14:paraId="6DE9CA80">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环境监理范围为：项目占地区域及厂界外延200m范围。</w:t>
      </w:r>
    </w:p>
    <w:p w14:paraId="228F014A">
      <w:pPr>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监理内容包括生态保护、水土保持、绿化、污染物防治等环境保护工作的所有方面。</w:t>
      </w:r>
    </w:p>
    <w:p w14:paraId="4624A9E3">
      <w:pPr>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环境监理方式：由主体工程监理担任或是独立的环境监理。</w:t>
      </w:r>
    </w:p>
    <w:p w14:paraId="3790A219">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③监理工作内容</w:t>
      </w:r>
    </w:p>
    <w:p w14:paraId="6218C7AE">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 xml:space="preserve">环境监理的工作内容包括环保达标监理和环保工程监理。 </w:t>
      </w:r>
    </w:p>
    <w:p w14:paraId="4FA73D6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环保达标监理指对主体工程的施工过程是否符合环境保护的要求进行监理，如噪声、废气、污水等排放应达到有关的标准等，施工是否造成水土流失和生态破坏，是否符合有关环境保护</w:t>
      </w:r>
      <w:r>
        <w:rPr>
          <w:rFonts w:hint="eastAsia" w:cs="Times New Roman"/>
          <w:color w:val="auto"/>
          <w:kern w:val="0"/>
          <w:szCs w:val="20"/>
          <w:highlight w:val="none"/>
          <w:lang w:eastAsia="zh-CN"/>
        </w:rPr>
        <w:t>法律法规</w:t>
      </w:r>
      <w:r>
        <w:rPr>
          <w:rFonts w:hint="default" w:ascii="Times New Roman" w:hAnsi="Times New Roman" w:cs="Times New Roman"/>
          <w:color w:val="auto"/>
          <w:kern w:val="0"/>
          <w:szCs w:val="20"/>
          <w:highlight w:val="none"/>
        </w:rPr>
        <w:t xml:space="preserve">规定等进行监理。 </w:t>
      </w:r>
    </w:p>
    <w:p w14:paraId="0F5288E3">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环保工程监理是指对为保护施工和</w:t>
      </w:r>
      <w:r>
        <w:rPr>
          <w:rFonts w:hint="eastAsia" w:cs="Times New Roman"/>
          <w:color w:val="auto"/>
          <w:kern w:val="0"/>
          <w:szCs w:val="20"/>
          <w:highlight w:val="none"/>
          <w:lang w:eastAsia="zh-CN"/>
        </w:rPr>
        <w:t>运营期</w:t>
      </w:r>
      <w:r>
        <w:rPr>
          <w:rFonts w:hint="default" w:ascii="Times New Roman" w:hAnsi="Times New Roman" w:cs="Times New Roman"/>
          <w:color w:val="auto"/>
          <w:kern w:val="0"/>
          <w:szCs w:val="20"/>
          <w:highlight w:val="none"/>
        </w:rPr>
        <w:t xml:space="preserve">的环境而建设的各项环境保护设施（包括临时工程）进行监理。 </w:t>
      </w:r>
    </w:p>
    <w:p w14:paraId="3AFFF1FC">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④监理组织机构及工作制度</w:t>
      </w:r>
    </w:p>
    <w:p w14:paraId="363A60AF">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 xml:space="preserve">※监理组织机构 </w:t>
      </w:r>
    </w:p>
    <w:p w14:paraId="1769BE20">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拟建工程可采取总监理工程师负责的二级监理体系，即工程监理体系由总监理工程师办公室和驻地监理工程师办公室组成。环境保护作为一个专业，纳入主体工程监理体系。</w:t>
      </w:r>
    </w:p>
    <w:p w14:paraId="481EB098">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总监主管整个项目的工程环境监理工作，总监办负责组织与</w:t>
      </w:r>
      <w:r>
        <w:rPr>
          <w:rFonts w:hint="eastAsia" w:cs="Times New Roman"/>
          <w:color w:val="auto"/>
          <w:kern w:val="0"/>
          <w:szCs w:val="20"/>
          <w:highlight w:val="none"/>
          <w:lang w:eastAsia="zh-CN"/>
        </w:rPr>
        <w:t>具体实施</w:t>
      </w:r>
      <w:r>
        <w:rPr>
          <w:rFonts w:hint="default" w:ascii="Times New Roman" w:hAnsi="Times New Roman" w:cs="Times New Roman"/>
          <w:color w:val="auto"/>
          <w:kern w:val="0"/>
          <w:szCs w:val="20"/>
          <w:highlight w:val="none"/>
        </w:rPr>
        <w:t>的管理，总监办配备环保专业工程师1名；各驻地办具体承担工程环境监理任务，现场环境监理工程师由驻地办环保专业监理工程师组成。</w:t>
      </w:r>
    </w:p>
    <w:p w14:paraId="69163BEB">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※工作制度</w:t>
      </w:r>
    </w:p>
    <w:p w14:paraId="03CB4B9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主要包括：环境监理会议制度、环境监理记录与报告制度、人员培训制度、函件来往制度、环境监理奖惩制度以及环境监理资料归档制度。环境监理的工作制度同主体工程监理。</w:t>
      </w:r>
    </w:p>
    <w:p w14:paraId="0C0765EF">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8.1.3运营期环境管理</w:t>
      </w:r>
    </w:p>
    <w:p w14:paraId="20E99382">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（1）“三同时”制度</w:t>
      </w:r>
    </w:p>
    <w:p w14:paraId="4707AB0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根据《建设项目环境保护管理条例》，建设项目需要配套建设的环境保护设施，必须与主体工程同时设计、同时施工、同时投产使用。本项目配套建设的环境保护设施经验收合格，方可投入生产或者使用。项目竣工后，建设单位应当按照生态环境行政主管部门规定的标准和程序，对配套建设的环境保护设施进行自主验收，编制验收报告。建设单位在环境保护设施验收过程中，应当如实查验、监测、记载建设项目环境保护设施的建设和调试情况，不得弄虚作假，验收报告应依法向社会公开。</w:t>
      </w:r>
    </w:p>
    <w:p w14:paraId="431DFFA1">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（2）排污许可管理制度</w:t>
      </w:r>
    </w:p>
    <w:p w14:paraId="121314D1">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2016年11月，国务院办公厅发布了《控制污染物排放许可制实施方案》，方案指出：“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w:t>
      </w:r>
    </w:p>
    <w:p w14:paraId="646A5E32">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因此，本项目在报批环评报告书后、项目实际运行前，应尽快申领排污许可证，作为本项目合法运行的前提。</w:t>
      </w:r>
    </w:p>
    <w:p w14:paraId="6C8CED1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（3）企业环境信息公开制度</w:t>
      </w:r>
    </w:p>
    <w:p w14:paraId="2B6FC6E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建设单位应根据《企业环境信息依法披露管理办法》（生态环境部 部令第24号）、《企业环境信息依法披露格式准则》（环办综合〔2021〕32号）规定，并结合新疆维吾尔自治区的相关要求，可通过政府网站、报刊、广播、电视等便于公众知晓的方式公布。公司应公开以下内容：</w:t>
      </w:r>
    </w:p>
    <w:p w14:paraId="2C1657C8">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※企业基本信息，包括中文名称、法定代表人、注册地址、生产地址、行业类别、企业联系人及联系方式、企业性质</w:t>
      </w:r>
      <w:r>
        <w:rPr>
          <w:rFonts w:hint="eastAsia" w:cs="Times New Roman"/>
          <w:color w:val="auto"/>
          <w:kern w:val="0"/>
          <w:szCs w:val="20"/>
          <w:highlight w:val="none"/>
          <w:lang w:eastAsia="zh-CN"/>
        </w:rPr>
        <w:t>以及</w:t>
      </w:r>
      <w:r>
        <w:rPr>
          <w:rFonts w:hint="default" w:ascii="Times New Roman" w:hAnsi="Times New Roman" w:cs="Times New Roman"/>
          <w:color w:val="auto"/>
          <w:kern w:val="0"/>
          <w:szCs w:val="20"/>
          <w:highlight w:val="none"/>
        </w:rPr>
        <w:t>属于重点排污单位、实施强制性清洁生产审核的企业等情况，还包括主要产品与服务、生产工艺的名称，以及生产工艺属于国家、地方等公布的鼓励类、限制类或淘汰类目录（名录）的情况；</w:t>
      </w:r>
    </w:p>
    <w:p w14:paraId="1F2859D8">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境管理信息，主要为有效期内或正在申请核发或变更的全部生态环境行政许可（包括但不限于排污许可、建设项目环境影响评价、危险废物经营许可、废弃电器电子产品处理资格许可等）的相关信息；还包括环境保护税缴纳信息、依法投保环境污染责任保险信息、环保信用评价等级等情况；</w:t>
      </w:r>
    </w:p>
    <w:p w14:paraId="3486FE17">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污染物产生、治理与排放信息，包括主要污染防治设施的名称、对应的产污环节、处理的污染物、对应排污口的名称、编号、年度非正常运行的设施名称、排放的污染物、次数、日期及时长、主要原因；污染防治设施由第三方负责运行维护的应当提供运维方信息；</w:t>
      </w:r>
    </w:p>
    <w:p w14:paraId="247B413B">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企业应当就排污许可、建设项目环境影响评价、危险废物经营许可、废弃电器电子产品处理资格许可等生态环境行政许可新获得、变更、撤销等情况，披露变更事项、批复机关、批复文件文号、批复时间、批复原文内容等信息；</w:t>
      </w:r>
    </w:p>
    <w:p w14:paraId="1730A472">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※突发环境事件应急预案；</w:t>
      </w:r>
    </w:p>
    <w:p w14:paraId="4F5CCB41">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※其他应当公开的环境信息。</w:t>
      </w:r>
    </w:p>
    <w:p w14:paraId="5A5CD4C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（4）运行期的环境保护管理要求</w:t>
      </w:r>
    </w:p>
    <w:p w14:paraId="353D971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①根据国家环保政策、标准及环境监测要求，制定该项目运行期环保管理规章制度、各种污染物排放控制指标；</w:t>
      </w:r>
    </w:p>
    <w:p w14:paraId="013F7A6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②负责该项目内所有环保设施的日常运行管理，保障各环保设施的正常运行，并对环保设施的改进提出积极的建议；</w:t>
      </w:r>
    </w:p>
    <w:p w14:paraId="024EB8B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③负责该项目运行期环境监测工作，及时掌握该项目污染状况，整理监测数据，建立污染源档案；</w:t>
      </w:r>
    </w:p>
    <w:p w14:paraId="74E8B3B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④项目运行期的环境管理由安全环保部承担；负责该项目内所有环保设施的日常运行管理，保障各环保设施的正常运行，并对环保设施的改进提出积极的建议；</w:t>
      </w:r>
    </w:p>
    <w:p w14:paraId="5DC9A94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⑤负责对职工进行环保宣传教育工作，以及检查、监督各单位环保制度的执行情况；</w:t>
      </w:r>
    </w:p>
    <w:p w14:paraId="1191E64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⑥建立健全环境档案管理与保密制度、污染防治设施设计技术改进及运行资料、污染源调查技术档案、环境监测及评价资料、项目平面图和给排水管网图等。</w:t>
      </w:r>
    </w:p>
    <w:p w14:paraId="6A46A36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（5）《建设项目环境影响后评价技术导则》（DB65/T4321-2020）规定在</w:t>
      </w:r>
      <w:bookmarkStart w:id="339" w:name="_Hlk149999603"/>
      <w:r>
        <w:rPr>
          <w:rFonts w:hint="default" w:ascii="Times New Roman" w:hAnsi="Times New Roman" w:cs="Times New Roman"/>
          <w:color w:val="auto"/>
          <w:highlight w:val="none"/>
        </w:rPr>
        <w:t>项目通过环境保护设施竣工验收且稳定运行三</w:t>
      </w:r>
      <w:r>
        <w:rPr>
          <w:rFonts w:hint="eastAsia" w:cs="Times New Roman"/>
          <w:color w:val="auto"/>
          <w:highlight w:val="none"/>
          <w:lang w:eastAsia="zh-CN"/>
        </w:rPr>
        <w:t>到</w:t>
      </w:r>
      <w:r>
        <w:rPr>
          <w:rFonts w:hint="default" w:ascii="Times New Roman" w:hAnsi="Times New Roman" w:cs="Times New Roman"/>
          <w:color w:val="auto"/>
          <w:highlight w:val="none"/>
        </w:rPr>
        <w:t>五年内应进行环境影响后评价，</w:t>
      </w:r>
      <w:bookmarkEnd w:id="339"/>
      <w:r>
        <w:rPr>
          <w:rFonts w:hint="default" w:ascii="Times New Roman" w:hAnsi="Times New Roman" w:cs="Times New Roman"/>
          <w:color w:val="auto"/>
          <w:highlight w:val="none"/>
        </w:rPr>
        <w:t>对实际产生的环境影响以及污染防治、生态保护和环境风险防范措施的有效性进行跟踪监测和验证评价，并提出补救方案或者改进措施。</w:t>
      </w:r>
    </w:p>
    <w:p w14:paraId="133AC8B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bookmarkStart w:id="340" w:name="_Hlk149999618"/>
      <w:r>
        <w:rPr>
          <w:rFonts w:hint="default" w:ascii="Times New Roman" w:hAnsi="Times New Roman" w:cs="Times New Roman"/>
          <w:color w:val="auto"/>
          <w:highlight w:val="none"/>
        </w:rPr>
        <w:t>项目运行后应根据《重点监管单位土壤污染隐患排查指南（试行）》开展土壤、地下水污染隐患排查。根据《危险废物管理计划和管理台账制定技术规范</w:t>
      </w:r>
      <w:r>
        <w:rPr>
          <w:rFonts w:hint="eastAsia" w:cs="Times New Roman"/>
          <w:color w:val="auto"/>
          <w:highlight w:val="none"/>
          <w:lang w:eastAsia="zh-CN"/>
        </w:rPr>
        <w:t>》和</w:t>
      </w:r>
      <w:r>
        <w:rPr>
          <w:rFonts w:hint="default" w:ascii="Times New Roman" w:hAnsi="Times New Roman" w:cs="Times New Roman"/>
          <w:color w:val="auto"/>
          <w:highlight w:val="none"/>
        </w:rPr>
        <w:t>《一般工业固体废物管理台账制定指南》制定危险废物管理计划、管理台账和一般工业固体废物管理台账。</w:t>
      </w:r>
    </w:p>
    <w:bookmarkEnd w:id="340"/>
    <w:p w14:paraId="35009966">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8.1.4 排污口规范化</w:t>
      </w:r>
    </w:p>
    <w:p w14:paraId="34316EAF">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本项目应按《环境保护图形标志—排放口（源）》（GB15562.1-1995）规定的图形，在各气、水、声排污口（源）挂牌标识，做到各排污口（源）的环保标志明显，便于企业管理和公众监督。</w:t>
      </w:r>
    </w:p>
    <w:p w14:paraId="0B8DC300">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列入总量控制污染物的排污口为管理的重点，排污口应便于采样与计量监测，便于日常现场监督检查。排污口位置必须合理确定，按环监</w:t>
      </w:r>
      <w:r>
        <w:rPr>
          <w:rFonts w:hint="eastAsia" w:cs="Times New Roman"/>
          <w:color w:val="auto"/>
          <w:highlight w:val="none"/>
          <w:lang w:eastAsia="zh-CN"/>
        </w:rPr>
        <w:t>〔1996〕470号</w:t>
      </w:r>
      <w:r>
        <w:rPr>
          <w:rFonts w:hint="default" w:ascii="Times New Roman" w:hAnsi="Times New Roman" w:cs="Times New Roman"/>
          <w:color w:val="auto"/>
          <w:highlight w:val="none"/>
        </w:rPr>
        <w:t>文件要求进行规范化管理。</w:t>
      </w:r>
    </w:p>
    <w:p w14:paraId="299125AF">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污染物排放口的环保图形标志牌应设置在靠近采样点的醒目位置处，标志牌设置高度为其上缘距地面约2m。</w:t>
      </w:r>
    </w:p>
    <w:p w14:paraId="4C227D8D">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重点排污单位的污染物排放口或固体废物贮存处置场地以设置立式标志牌为主，一般排污单位的污染物排放口或固体废物贮存处置场地可以根据情况设置立式或平面固定式标志牌。一般污染物排放口、危险废物排放口或固体废物贮存堆放场地设置提示性环境保护图形标志牌。</w:t>
      </w:r>
    </w:p>
    <w:p w14:paraId="5D7EFB1F">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环境保护图形标志具体设置图形见表8.1-1。</w:t>
      </w:r>
    </w:p>
    <w:p w14:paraId="08EFE5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表8.1-1  一般污染物环境保护图形标志设置图形表</w:t>
      </w:r>
    </w:p>
    <w:tbl>
      <w:tblPr>
        <w:tblStyle w:val="33"/>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2289"/>
        <w:gridCol w:w="2257"/>
        <w:gridCol w:w="2269"/>
      </w:tblGrid>
      <w:tr w14:paraId="7DBF1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57" w:type="dxa"/>
            <w:tcBorders>
              <w:tl2br w:val="nil"/>
              <w:tr2bl w:val="nil"/>
            </w:tcBorders>
            <w:vAlign w:val="center"/>
          </w:tcPr>
          <w:p w14:paraId="03FFBB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排放口</w:t>
            </w:r>
          </w:p>
        </w:tc>
        <w:tc>
          <w:tcPr>
            <w:tcW w:w="2289" w:type="dxa"/>
            <w:tcBorders>
              <w:tl2br w:val="nil"/>
              <w:tr2bl w:val="nil"/>
            </w:tcBorders>
            <w:vAlign w:val="center"/>
          </w:tcPr>
          <w:p w14:paraId="3C9EA8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废水排口</w:t>
            </w:r>
          </w:p>
        </w:tc>
        <w:tc>
          <w:tcPr>
            <w:tcW w:w="2257" w:type="dxa"/>
            <w:tcBorders>
              <w:tl2br w:val="nil"/>
              <w:tr2bl w:val="nil"/>
            </w:tcBorders>
            <w:vAlign w:val="center"/>
          </w:tcPr>
          <w:p w14:paraId="46D4DD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废气排口</w:t>
            </w:r>
          </w:p>
        </w:tc>
        <w:tc>
          <w:tcPr>
            <w:tcW w:w="2269" w:type="dxa"/>
            <w:tcBorders>
              <w:tl2br w:val="nil"/>
              <w:tr2bl w:val="nil"/>
            </w:tcBorders>
            <w:vAlign w:val="center"/>
          </w:tcPr>
          <w:p w14:paraId="1EC23B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噪声源</w:t>
            </w:r>
          </w:p>
        </w:tc>
      </w:tr>
      <w:tr w14:paraId="722FA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57" w:type="dxa"/>
            <w:tcBorders>
              <w:tl2br w:val="nil"/>
              <w:tr2bl w:val="nil"/>
            </w:tcBorders>
            <w:vAlign w:val="center"/>
          </w:tcPr>
          <w:p w14:paraId="7AD9F2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图形符号</w:t>
            </w:r>
          </w:p>
        </w:tc>
        <w:tc>
          <w:tcPr>
            <w:tcW w:w="2289" w:type="dxa"/>
            <w:tcBorders>
              <w:tl2br w:val="nil"/>
              <w:tr2bl w:val="nil"/>
            </w:tcBorders>
            <w:vAlign w:val="center"/>
          </w:tcPr>
          <w:p w14:paraId="5B160E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drawing>
                <wp:inline distT="0" distB="0" distL="0" distR="0">
                  <wp:extent cx="1095375" cy="1028700"/>
                  <wp:effectExtent l="0" t="0" r="9525" b="0"/>
                  <wp:docPr id="88" name="图片 88"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废水排口"/>
                          <pic:cNvPicPr>
                            <a:picLocks noChangeAspect="1" noChangeArrowheads="1"/>
                          </pic:cNvPicPr>
                        </pic:nvPicPr>
                        <pic:blipFill>
                          <a:blip r:embed="rId95"/>
                          <a:srcRect/>
                          <a:stretch>
                            <a:fillRect/>
                          </a:stretch>
                        </pic:blipFill>
                        <pic:spPr>
                          <a:xfrm>
                            <a:off x="0" y="0"/>
                            <a:ext cx="1095375" cy="1028700"/>
                          </a:xfrm>
                          <a:prstGeom prst="rect">
                            <a:avLst/>
                          </a:prstGeom>
                          <a:noFill/>
                        </pic:spPr>
                      </pic:pic>
                    </a:graphicData>
                  </a:graphic>
                </wp:inline>
              </w:drawing>
            </w:r>
          </w:p>
        </w:tc>
        <w:tc>
          <w:tcPr>
            <w:tcW w:w="2257" w:type="dxa"/>
            <w:tcBorders>
              <w:tl2br w:val="nil"/>
              <w:tr2bl w:val="nil"/>
            </w:tcBorders>
            <w:vAlign w:val="center"/>
          </w:tcPr>
          <w:p w14:paraId="1B1421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drawing>
                <wp:inline distT="0" distB="0" distL="0" distR="0">
                  <wp:extent cx="1125220" cy="1017905"/>
                  <wp:effectExtent l="0" t="0" r="17780" b="1079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96" cstate="email"/>
                          <a:srcRect/>
                          <a:stretch>
                            <a:fillRect/>
                          </a:stretch>
                        </pic:blipFill>
                        <pic:spPr>
                          <a:xfrm>
                            <a:off x="0" y="0"/>
                            <a:ext cx="1125220" cy="1017905"/>
                          </a:xfrm>
                          <a:prstGeom prst="rect">
                            <a:avLst/>
                          </a:prstGeom>
                          <a:noFill/>
                        </pic:spPr>
                      </pic:pic>
                    </a:graphicData>
                  </a:graphic>
                </wp:inline>
              </w:drawing>
            </w:r>
          </w:p>
        </w:tc>
        <w:tc>
          <w:tcPr>
            <w:tcW w:w="2269" w:type="dxa"/>
            <w:tcBorders>
              <w:tl2br w:val="nil"/>
              <w:tr2bl w:val="nil"/>
            </w:tcBorders>
            <w:vAlign w:val="center"/>
          </w:tcPr>
          <w:p w14:paraId="31C494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drawing>
                <wp:inline distT="0" distB="0" distL="0" distR="0">
                  <wp:extent cx="1047750" cy="1047750"/>
                  <wp:effectExtent l="0" t="0" r="0" b="0"/>
                  <wp:docPr id="90" name="图片 90"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噪声"/>
                          <pic:cNvPicPr>
                            <a:picLocks noChangeAspect="1" noChangeArrowheads="1"/>
                          </pic:cNvPicPr>
                        </pic:nvPicPr>
                        <pic:blipFill>
                          <a:blip r:embed="rId97"/>
                          <a:srcRect/>
                          <a:stretch>
                            <a:fillRect/>
                          </a:stretch>
                        </pic:blipFill>
                        <pic:spPr>
                          <a:xfrm>
                            <a:off x="0" y="0"/>
                            <a:ext cx="1047750" cy="1047750"/>
                          </a:xfrm>
                          <a:prstGeom prst="rect">
                            <a:avLst/>
                          </a:prstGeom>
                          <a:noFill/>
                        </pic:spPr>
                      </pic:pic>
                    </a:graphicData>
                  </a:graphic>
                </wp:inline>
              </w:drawing>
            </w:r>
          </w:p>
        </w:tc>
      </w:tr>
      <w:tr w14:paraId="388BC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57" w:type="dxa"/>
            <w:tcBorders>
              <w:tl2br w:val="nil"/>
              <w:tr2bl w:val="nil"/>
            </w:tcBorders>
            <w:vAlign w:val="center"/>
          </w:tcPr>
          <w:p w14:paraId="7A2F91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背景颜色</w:t>
            </w:r>
          </w:p>
        </w:tc>
        <w:tc>
          <w:tcPr>
            <w:tcW w:w="6815" w:type="dxa"/>
            <w:gridSpan w:val="3"/>
            <w:tcBorders>
              <w:tl2br w:val="nil"/>
              <w:tr2bl w:val="nil"/>
            </w:tcBorders>
            <w:vAlign w:val="center"/>
          </w:tcPr>
          <w:p w14:paraId="2CD90F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绿色</w:t>
            </w:r>
          </w:p>
        </w:tc>
      </w:tr>
      <w:tr w14:paraId="534BD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57" w:type="dxa"/>
            <w:tcBorders>
              <w:tl2br w:val="nil"/>
              <w:tr2bl w:val="nil"/>
            </w:tcBorders>
            <w:vAlign w:val="center"/>
          </w:tcPr>
          <w:p w14:paraId="586FBD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图形颜色</w:t>
            </w:r>
          </w:p>
        </w:tc>
        <w:tc>
          <w:tcPr>
            <w:tcW w:w="6815" w:type="dxa"/>
            <w:gridSpan w:val="3"/>
            <w:tcBorders>
              <w:tl2br w:val="nil"/>
              <w:tr2bl w:val="nil"/>
            </w:tcBorders>
            <w:vAlign w:val="center"/>
          </w:tcPr>
          <w:p w14:paraId="713F33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白色</w:t>
            </w:r>
          </w:p>
        </w:tc>
      </w:tr>
    </w:tbl>
    <w:p w14:paraId="6CCFD291">
      <w:pPr>
        <w:pageBreakBefore w:val="0"/>
        <w:wordWrap/>
        <w:topLinePunct w:val="0"/>
        <w:bidi w:val="0"/>
        <w:adjustRightInd w:val="0"/>
        <w:snapToGrid w:val="0"/>
        <w:ind w:left="0" w:leftChars="0" w:right="0" w:firstLine="0" w:firstLineChars="0"/>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危险废物标识：</w:t>
      </w:r>
    </w:p>
    <w:p w14:paraId="4D5CAFF6">
      <w:pPr>
        <w:pageBreakBefore w:val="0"/>
        <w:wordWrap/>
        <w:topLinePunct w:val="0"/>
        <w:bidi w:val="0"/>
        <w:adjustRightInd w:val="0"/>
        <w:snapToGrid w:val="0"/>
        <w:ind w:left="0" w:leftChars="0" w:right="0" w:firstLine="482"/>
        <w:rPr>
          <w:rFonts w:hint="default" w:ascii="Times New Roman" w:hAnsi="Times New Roman" w:cs="Times New Roman" w:eastAsiaTheme="minorEastAsia"/>
          <w:b/>
          <w:bCs/>
          <w:color w:val="auto"/>
          <w:highlight w:val="none"/>
        </w:rPr>
      </w:pPr>
      <w:r>
        <w:rPr>
          <w:rFonts w:hint="eastAsia" w:cs="Times New Roman" w:eastAsiaTheme="minorEastAsia"/>
          <w:b/>
          <w:bCs/>
          <w:color w:val="auto"/>
          <w:highlight w:val="none"/>
          <w:lang w:eastAsia="zh-CN"/>
        </w:rPr>
        <w:t>1.</w:t>
      </w:r>
      <w:r>
        <w:rPr>
          <w:rFonts w:hint="default" w:ascii="Times New Roman" w:hAnsi="Times New Roman" w:cs="Times New Roman" w:eastAsiaTheme="minorEastAsia"/>
          <w:b/>
          <w:bCs/>
          <w:color w:val="auto"/>
          <w:highlight w:val="none"/>
        </w:rPr>
        <w:t>危险废物标签</w:t>
      </w:r>
    </w:p>
    <w:p w14:paraId="44B5097D">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（1）标签样式</w:t>
      </w:r>
    </w:p>
    <w:p w14:paraId="43702984">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z w:val="21"/>
          <w:highlight w:val="none"/>
        </w:rPr>
        <w:drawing>
          <wp:inline distT="0" distB="0" distL="114300" distR="114300">
            <wp:extent cx="3599815" cy="3599815"/>
            <wp:effectExtent l="0" t="0" r="635" b="635"/>
            <wp:docPr id="91" name="图片 91"/>
            <wp:cNvGraphicFramePr/>
            <a:graphic xmlns:a="http://schemas.openxmlformats.org/drawingml/2006/main">
              <a:graphicData uri="http://schemas.openxmlformats.org/drawingml/2006/picture">
                <pic:pic xmlns:pic="http://schemas.openxmlformats.org/drawingml/2006/picture">
                  <pic:nvPicPr>
                    <pic:cNvPr id="91" name="图片 91"/>
                    <pic:cNvPicPr/>
                  </pic:nvPicPr>
                  <pic:blipFill>
                    <a:blip r:embed="rId98"/>
                    <a:stretch>
                      <a:fillRect/>
                    </a:stretch>
                  </pic:blipFill>
                  <pic:spPr>
                    <a:xfrm>
                      <a:off x="0" y="0"/>
                      <a:ext cx="3599815" cy="3599815"/>
                    </a:xfrm>
                    <a:prstGeom prst="rect">
                      <a:avLst/>
                    </a:prstGeom>
                    <a:noFill/>
                    <a:ln>
                      <a:noFill/>
                    </a:ln>
                  </pic:spPr>
                </pic:pic>
              </a:graphicData>
            </a:graphic>
          </wp:inline>
        </w:drawing>
      </w:r>
    </w:p>
    <w:p w14:paraId="3E643F57">
      <w:pPr>
        <w:pageBreakBefore w:val="0"/>
        <w:widowControl/>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危险废物标签的制作样式</w:t>
      </w:r>
    </w:p>
    <w:p w14:paraId="57ED624D">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（2）尺寸要求</w:t>
      </w:r>
    </w:p>
    <w:p w14:paraId="7C7569B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表8.1-2  危险废物标签的尺寸要求</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0AE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224CB7B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序号</w:t>
            </w:r>
          </w:p>
        </w:tc>
        <w:tc>
          <w:tcPr>
            <w:tcW w:w="2130" w:type="dxa"/>
            <w:tcBorders>
              <w:tl2br w:val="nil"/>
              <w:tr2bl w:val="nil"/>
            </w:tcBorders>
            <w:vAlign w:val="center"/>
          </w:tcPr>
          <w:p w14:paraId="0606091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容器或包装物容积</w:t>
            </w:r>
          </w:p>
          <w:p w14:paraId="7EC2998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L</w:t>
            </w:r>
            <w:r>
              <w:rPr>
                <w:rFonts w:hint="eastAsia" w:cs="Times New Roman"/>
                <w:color w:val="auto"/>
                <w:kern w:val="0"/>
                <w:sz w:val="21"/>
                <w:szCs w:val="21"/>
                <w:highlight w:val="none"/>
                <w:lang w:eastAsia="zh-CN" w:bidi="ar"/>
              </w:rPr>
              <w:t>)</w:t>
            </w:r>
          </w:p>
        </w:tc>
        <w:tc>
          <w:tcPr>
            <w:tcW w:w="2131" w:type="dxa"/>
            <w:tcBorders>
              <w:tl2br w:val="nil"/>
              <w:tr2bl w:val="nil"/>
            </w:tcBorders>
            <w:vAlign w:val="center"/>
          </w:tcPr>
          <w:p w14:paraId="3B9E92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标签最小尺寸（mm×mm）</w:t>
            </w:r>
          </w:p>
        </w:tc>
        <w:tc>
          <w:tcPr>
            <w:tcW w:w="2131" w:type="dxa"/>
            <w:tcBorders>
              <w:tl2br w:val="nil"/>
              <w:tr2bl w:val="nil"/>
            </w:tcBorders>
            <w:vAlign w:val="center"/>
          </w:tcPr>
          <w:p w14:paraId="051EDAC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最低文字高度</w:t>
            </w:r>
          </w:p>
          <w:p w14:paraId="0BF496B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mm</w:t>
            </w:r>
            <w:r>
              <w:rPr>
                <w:rFonts w:hint="eastAsia" w:cs="Times New Roman"/>
                <w:color w:val="auto"/>
                <w:kern w:val="0"/>
                <w:sz w:val="21"/>
                <w:szCs w:val="21"/>
                <w:highlight w:val="none"/>
                <w:lang w:eastAsia="zh-CN" w:bidi="ar"/>
              </w:rPr>
              <w:t>)</w:t>
            </w:r>
          </w:p>
        </w:tc>
      </w:tr>
      <w:tr w14:paraId="067D4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713EFB1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2130" w:type="dxa"/>
            <w:tcBorders>
              <w:tl2br w:val="nil"/>
              <w:tr2bl w:val="nil"/>
            </w:tcBorders>
            <w:vAlign w:val="center"/>
          </w:tcPr>
          <w:p w14:paraId="44FC07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≤50</w:t>
            </w:r>
          </w:p>
        </w:tc>
        <w:tc>
          <w:tcPr>
            <w:tcW w:w="2131" w:type="dxa"/>
            <w:tcBorders>
              <w:tl2br w:val="nil"/>
              <w:tr2bl w:val="nil"/>
            </w:tcBorders>
            <w:vAlign w:val="center"/>
          </w:tcPr>
          <w:p w14:paraId="78710B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100×100</w:t>
            </w:r>
          </w:p>
        </w:tc>
        <w:tc>
          <w:tcPr>
            <w:tcW w:w="2131" w:type="dxa"/>
            <w:tcBorders>
              <w:tl2br w:val="nil"/>
              <w:tr2bl w:val="nil"/>
            </w:tcBorders>
            <w:vAlign w:val="center"/>
          </w:tcPr>
          <w:p w14:paraId="6EB3D29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p>
        </w:tc>
      </w:tr>
      <w:tr w14:paraId="32915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4C44B72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w:t>
            </w:r>
          </w:p>
        </w:tc>
        <w:tc>
          <w:tcPr>
            <w:tcW w:w="2130" w:type="dxa"/>
            <w:tcBorders>
              <w:tl2br w:val="nil"/>
              <w:tr2bl w:val="nil"/>
            </w:tcBorders>
            <w:vAlign w:val="center"/>
          </w:tcPr>
          <w:p w14:paraId="299D22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&gt;</w:t>
            </w:r>
            <w:r>
              <w:rPr>
                <w:rFonts w:hint="default" w:ascii="Times New Roman" w:hAnsi="Times New Roman" w:cs="Times New Roman"/>
                <w:color w:val="auto"/>
                <w:kern w:val="0"/>
                <w:sz w:val="21"/>
                <w:szCs w:val="21"/>
                <w:highlight w:val="none"/>
                <w:lang w:bidi="ar"/>
              </w:rPr>
              <w:t>50</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≤450</w:t>
            </w:r>
          </w:p>
        </w:tc>
        <w:tc>
          <w:tcPr>
            <w:tcW w:w="2131" w:type="dxa"/>
            <w:tcBorders>
              <w:tl2br w:val="nil"/>
              <w:tr2bl w:val="nil"/>
            </w:tcBorders>
            <w:vAlign w:val="center"/>
          </w:tcPr>
          <w:p w14:paraId="497B9E1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150×150</w:t>
            </w:r>
          </w:p>
        </w:tc>
        <w:tc>
          <w:tcPr>
            <w:tcW w:w="2131" w:type="dxa"/>
            <w:tcBorders>
              <w:tl2br w:val="nil"/>
              <w:tr2bl w:val="nil"/>
            </w:tcBorders>
            <w:vAlign w:val="center"/>
          </w:tcPr>
          <w:p w14:paraId="22877FA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w:t>
            </w:r>
          </w:p>
        </w:tc>
      </w:tr>
      <w:tr w14:paraId="39B80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5148387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p>
        </w:tc>
        <w:tc>
          <w:tcPr>
            <w:tcW w:w="2130" w:type="dxa"/>
            <w:tcBorders>
              <w:tl2br w:val="nil"/>
              <w:tr2bl w:val="nil"/>
            </w:tcBorders>
            <w:vAlign w:val="center"/>
          </w:tcPr>
          <w:p w14:paraId="132BD1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&gt;</w:t>
            </w:r>
            <w:r>
              <w:rPr>
                <w:rFonts w:hint="default" w:ascii="Times New Roman" w:hAnsi="Times New Roman" w:cs="Times New Roman"/>
                <w:color w:val="auto"/>
                <w:kern w:val="0"/>
                <w:sz w:val="21"/>
                <w:szCs w:val="21"/>
                <w:highlight w:val="none"/>
                <w:lang w:bidi="ar"/>
              </w:rPr>
              <w:t>450</w:t>
            </w:r>
          </w:p>
        </w:tc>
        <w:tc>
          <w:tcPr>
            <w:tcW w:w="2131" w:type="dxa"/>
            <w:tcBorders>
              <w:tl2br w:val="nil"/>
              <w:tr2bl w:val="nil"/>
            </w:tcBorders>
            <w:vAlign w:val="center"/>
          </w:tcPr>
          <w:p w14:paraId="1AFF8E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200×200</w:t>
            </w:r>
          </w:p>
        </w:tc>
        <w:tc>
          <w:tcPr>
            <w:tcW w:w="2131" w:type="dxa"/>
            <w:tcBorders>
              <w:tl2br w:val="nil"/>
              <w:tr2bl w:val="nil"/>
            </w:tcBorders>
            <w:vAlign w:val="center"/>
          </w:tcPr>
          <w:p w14:paraId="2C076B9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w:t>
            </w:r>
          </w:p>
        </w:tc>
      </w:tr>
    </w:tbl>
    <w:p w14:paraId="3E3A0047">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（3）张贴位置</w:t>
      </w:r>
    </w:p>
    <w:p w14:paraId="43A252D4">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张贴在盛装危险废物容器或包装物明显处。</w:t>
      </w:r>
    </w:p>
    <w:p w14:paraId="20D7DEE7">
      <w:pPr>
        <w:pageBreakBefore w:val="0"/>
        <w:wordWrap/>
        <w:topLinePunct w:val="0"/>
        <w:bidi w:val="0"/>
        <w:adjustRightInd w:val="0"/>
        <w:snapToGrid w:val="0"/>
        <w:ind w:left="0" w:leftChars="0" w:right="0" w:firstLine="482"/>
        <w:rPr>
          <w:rFonts w:hint="default" w:ascii="Times New Roman" w:hAnsi="Times New Roman" w:cs="Times New Roman" w:eastAsiaTheme="minorEastAsia"/>
          <w:b/>
          <w:bCs/>
          <w:color w:val="auto"/>
          <w:highlight w:val="none"/>
        </w:rPr>
      </w:pPr>
      <w:r>
        <w:rPr>
          <w:rFonts w:hint="eastAsia" w:cs="Times New Roman" w:eastAsiaTheme="minorEastAsia"/>
          <w:b/>
          <w:bCs/>
          <w:color w:val="auto"/>
          <w:highlight w:val="none"/>
          <w:lang w:eastAsia="zh-CN"/>
        </w:rPr>
        <w:t>2.</w:t>
      </w:r>
      <w:r>
        <w:rPr>
          <w:rFonts w:hint="default" w:ascii="Times New Roman" w:hAnsi="Times New Roman" w:cs="Times New Roman" w:eastAsiaTheme="minorEastAsia"/>
          <w:b/>
          <w:bCs/>
          <w:color w:val="auto"/>
          <w:highlight w:val="none"/>
        </w:rPr>
        <w:t>危险废物贮存分区标志</w:t>
      </w:r>
    </w:p>
    <w:p w14:paraId="6493C28A">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（1）标签样式</w:t>
      </w:r>
    </w:p>
    <w:p w14:paraId="78CC175B">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z w:val="21"/>
          <w:highlight w:val="none"/>
        </w:rPr>
        <w:drawing>
          <wp:inline distT="0" distB="0" distL="114300" distR="114300">
            <wp:extent cx="4319905" cy="3599815"/>
            <wp:effectExtent l="0" t="0" r="4445" b="635"/>
            <wp:docPr id="92" name="图片 92"/>
            <wp:cNvGraphicFramePr/>
            <a:graphic xmlns:a="http://schemas.openxmlformats.org/drawingml/2006/main">
              <a:graphicData uri="http://schemas.openxmlformats.org/drawingml/2006/picture">
                <pic:pic xmlns:pic="http://schemas.openxmlformats.org/drawingml/2006/picture">
                  <pic:nvPicPr>
                    <pic:cNvPr id="92" name="图片 92"/>
                    <pic:cNvPicPr/>
                  </pic:nvPicPr>
                  <pic:blipFill>
                    <a:blip r:embed="rId99"/>
                    <a:stretch>
                      <a:fillRect/>
                    </a:stretch>
                  </pic:blipFill>
                  <pic:spPr>
                    <a:xfrm>
                      <a:off x="0" y="0"/>
                      <a:ext cx="4319905" cy="3599815"/>
                    </a:xfrm>
                    <a:prstGeom prst="rect">
                      <a:avLst/>
                    </a:prstGeom>
                    <a:noFill/>
                    <a:ln>
                      <a:noFill/>
                    </a:ln>
                  </pic:spPr>
                </pic:pic>
              </a:graphicData>
            </a:graphic>
          </wp:inline>
        </w:drawing>
      </w:r>
    </w:p>
    <w:p w14:paraId="43234EB5">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危险废物贮存分区标志样式示意图</w:t>
      </w:r>
    </w:p>
    <w:p w14:paraId="4D6B185B">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（2）尺寸要求</w:t>
      </w:r>
    </w:p>
    <w:p w14:paraId="31C1162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表8.1-3  危险废物贮存分区标志的尺寸要求</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3DAD6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130" w:type="dxa"/>
            <w:vMerge w:val="restart"/>
            <w:tcBorders>
              <w:tl2br w:val="nil"/>
              <w:tr2bl w:val="nil"/>
            </w:tcBorders>
            <w:vAlign w:val="center"/>
          </w:tcPr>
          <w:p w14:paraId="24A7013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观察距离L（m）</w:t>
            </w:r>
          </w:p>
        </w:tc>
        <w:tc>
          <w:tcPr>
            <w:tcW w:w="2130" w:type="dxa"/>
            <w:vMerge w:val="restart"/>
            <w:tcBorders>
              <w:tl2br w:val="nil"/>
              <w:tr2bl w:val="nil"/>
            </w:tcBorders>
            <w:vAlign w:val="center"/>
          </w:tcPr>
          <w:p w14:paraId="4D9E8F8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标志整体外形最小尺寸（mm）</w:t>
            </w:r>
          </w:p>
        </w:tc>
        <w:tc>
          <w:tcPr>
            <w:tcW w:w="4262" w:type="dxa"/>
            <w:gridSpan w:val="2"/>
            <w:tcBorders>
              <w:tl2br w:val="nil"/>
              <w:tr2bl w:val="nil"/>
            </w:tcBorders>
            <w:vAlign w:val="center"/>
          </w:tcPr>
          <w:p w14:paraId="7238DC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最低文字高度（mm）</w:t>
            </w:r>
          </w:p>
        </w:tc>
      </w:tr>
      <w:tr w14:paraId="32FE6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130" w:type="dxa"/>
            <w:vMerge w:val="continue"/>
            <w:tcBorders>
              <w:tl2br w:val="nil"/>
              <w:tr2bl w:val="nil"/>
            </w:tcBorders>
            <w:vAlign w:val="center"/>
          </w:tcPr>
          <w:p w14:paraId="5BFFA2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30" w:type="dxa"/>
            <w:vMerge w:val="continue"/>
            <w:tcBorders>
              <w:tl2br w:val="nil"/>
              <w:tr2bl w:val="nil"/>
            </w:tcBorders>
            <w:vAlign w:val="center"/>
          </w:tcPr>
          <w:p w14:paraId="24740BB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31" w:type="dxa"/>
            <w:tcBorders>
              <w:tl2br w:val="nil"/>
              <w:tr2bl w:val="nil"/>
            </w:tcBorders>
            <w:vAlign w:val="center"/>
          </w:tcPr>
          <w:p w14:paraId="47A1466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贮存分区标志</w:t>
            </w:r>
          </w:p>
        </w:tc>
        <w:tc>
          <w:tcPr>
            <w:tcW w:w="2131" w:type="dxa"/>
            <w:tcBorders>
              <w:tl2br w:val="nil"/>
              <w:tr2bl w:val="nil"/>
            </w:tcBorders>
            <w:vAlign w:val="center"/>
          </w:tcPr>
          <w:p w14:paraId="1C42004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其他文字</w:t>
            </w:r>
          </w:p>
        </w:tc>
      </w:tr>
      <w:tr w14:paraId="394FD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25AD4F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0</w:t>
            </w:r>
            <w:r>
              <w:rPr>
                <w:rFonts w:hint="eastAsia" w:cs="Times New Roman"/>
                <w:color w:val="auto"/>
                <w:kern w:val="0"/>
                <w:sz w:val="21"/>
                <w:szCs w:val="21"/>
                <w:highlight w:val="none"/>
                <w:lang w:eastAsia="zh-CN" w:bidi="ar"/>
              </w:rPr>
              <w:t>&lt;</w:t>
            </w:r>
            <w:r>
              <w:rPr>
                <w:rFonts w:hint="default" w:ascii="Times New Roman" w:hAnsi="Times New Roman" w:cs="Times New Roman"/>
                <w:color w:val="auto"/>
                <w:kern w:val="0"/>
                <w:sz w:val="21"/>
                <w:szCs w:val="21"/>
                <w:highlight w:val="none"/>
                <w:lang w:bidi="ar"/>
              </w:rPr>
              <w:t>L≤2.5</w:t>
            </w:r>
          </w:p>
        </w:tc>
        <w:tc>
          <w:tcPr>
            <w:tcW w:w="2130" w:type="dxa"/>
            <w:tcBorders>
              <w:tl2br w:val="nil"/>
              <w:tr2bl w:val="nil"/>
            </w:tcBorders>
            <w:vAlign w:val="center"/>
          </w:tcPr>
          <w:p w14:paraId="298A3F9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300×300</w:t>
            </w:r>
          </w:p>
        </w:tc>
        <w:tc>
          <w:tcPr>
            <w:tcW w:w="2131" w:type="dxa"/>
            <w:tcBorders>
              <w:tl2br w:val="nil"/>
              <w:tr2bl w:val="nil"/>
            </w:tcBorders>
            <w:vAlign w:val="center"/>
          </w:tcPr>
          <w:p w14:paraId="5BEE995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20</w:t>
            </w:r>
          </w:p>
        </w:tc>
        <w:tc>
          <w:tcPr>
            <w:tcW w:w="2131" w:type="dxa"/>
            <w:tcBorders>
              <w:tl2br w:val="nil"/>
              <w:tr2bl w:val="nil"/>
            </w:tcBorders>
            <w:vAlign w:val="center"/>
          </w:tcPr>
          <w:p w14:paraId="7B0FEE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w:t>
            </w:r>
          </w:p>
        </w:tc>
      </w:tr>
      <w:tr w14:paraId="111DE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44E4288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2.5</w:t>
            </w:r>
            <w:r>
              <w:rPr>
                <w:rFonts w:hint="eastAsia" w:cs="Times New Roman"/>
                <w:color w:val="auto"/>
                <w:kern w:val="0"/>
                <w:sz w:val="21"/>
                <w:szCs w:val="21"/>
                <w:highlight w:val="none"/>
                <w:lang w:eastAsia="zh-CN" w:bidi="ar"/>
              </w:rPr>
              <w:t>&lt;</w:t>
            </w:r>
            <w:r>
              <w:rPr>
                <w:rFonts w:hint="default" w:ascii="Times New Roman" w:hAnsi="Times New Roman" w:cs="Times New Roman"/>
                <w:color w:val="auto"/>
                <w:kern w:val="0"/>
                <w:sz w:val="21"/>
                <w:szCs w:val="21"/>
                <w:highlight w:val="none"/>
                <w:lang w:bidi="ar"/>
              </w:rPr>
              <w:t>L≤4</w:t>
            </w:r>
          </w:p>
        </w:tc>
        <w:tc>
          <w:tcPr>
            <w:tcW w:w="2130" w:type="dxa"/>
            <w:tcBorders>
              <w:tl2br w:val="nil"/>
              <w:tr2bl w:val="nil"/>
            </w:tcBorders>
            <w:vAlign w:val="center"/>
          </w:tcPr>
          <w:p w14:paraId="792FD69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450×450</w:t>
            </w:r>
          </w:p>
        </w:tc>
        <w:tc>
          <w:tcPr>
            <w:tcW w:w="2131" w:type="dxa"/>
            <w:tcBorders>
              <w:tl2br w:val="nil"/>
              <w:tr2bl w:val="nil"/>
            </w:tcBorders>
            <w:vAlign w:val="center"/>
          </w:tcPr>
          <w:p w14:paraId="07F1306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w:t>
            </w:r>
          </w:p>
        </w:tc>
        <w:tc>
          <w:tcPr>
            <w:tcW w:w="2131" w:type="dxa"/>
            <w:tcBorders>
              <w:tl2br w:val="nil"/>
              <w:tr2bl w:val="nil"/>
            </w:tcBorders>
            <w:vAlign w:val="center"/>
          </w:tcPr>
          <w:p w14:paraId="2DBD0B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w:t>
            </w:r>
          </w:p>
        </w:tc>
      </w:tr>
      <w:tr w14:paraId="0CD1E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5A5EEC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L</w:t>
            </w:r>
            <w:r>
              <w:rPr>
                <w:rFonts w:hint="eastAsia" w:cs="Times New Roman"/>
                <w:color w:val="auto"/>
                <w:kern w:val="0"/>
                <w:sz w:val="21"/>
                <w:szCs w:val="21"/>
                <w:highlight w:val="none"/>
                <w:lang w:eastAsia="zh-CN" w:bidi="ar"/>
              </w:rPr>
              <w:t>&gt;</w:t>
            </w:r>
            <w:r>
              <w:rPr>
                <w:rFonts w:hint="default" w:ascii="Times New Roman" w:hAnsi="Times New Roman" w:cs="Times New Roman"/>
                <w:color w:val="auto"/>
                <w:kern w:val="0"/>
                <w:sz w:val="21"/>
                <w:szCs w:val="21"/>
                <w:highlight w:val="none"/>
                <w:lang w:bidi="ar"/>
              </w:rPr>
              <w:t>4</w:t>
            </w:r>
          </w:p>
        </w:tc>
        <w:tc>
          <w:tcPr>
            <w:tcW w:w="2130" w:type="dxa"/>
            <w:tcBorders>
              <w:tl2br w:val="nil"/>
              <w:tr2bl w:val="nil"/>
            </w:tcBorders>
            <w:vAlign w:val="center"/>
          </w:tcPr>
          <w:p w14:paraId="2C535C1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600×600</w:t>
            </w:r>
          </w:p>
        </w:tc>
        <w:tc>
          <w:tcPr>
            <w:tcW w:w="2131" w:type="dxa"/>
            <w:tcBorders>
              <w:tl2br w:val="nil"/>
              <w:tr2bl w:val="nil"/>
            </w:tcBorders>
            <w:vAlign w:val="center"/>
          </w:tcPr>
          <w:p w14:paraId="3AE429A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40</w:t>
            </w:r>
          </w:p>
        </w:tc>
        <w:tc>
          <w:tcPr>
            <w:tcW w:w="2131" w:type="dxa"/>
            <w:tcBorders>
              <w:tl2br w:val="nil"/>
              <w:tr2bl w:val="nil"/>
            </w:tcBorders>
            <w:vAlign w:val="center"/>
          </w:tcPr>
          <w:p w14:paraId="6120F0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12</w:t>
            </w:r>
          </w:p>
        </w:tc>
      </w:tr>
    </w:tbl>
    <w:p w14:paraId="510820E4">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（3）张贴位置</w:t>
      </w:r>
    </w:p>
    <w:p w14:paraId="06BAB22D">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设置在该贮存分区前的通道位置或墙壁、栏杆等易于观察的位置。</w:t>
      </w:r>
    </w:p>
    <w:p w14:paraId="142037D1">
      <w:pPr>
        <w:pageBreakBefore w:val="0"/>
        <w:wordWrap/>
        <w:topLinePunct w:val="0"/>
        <w:bidi w:val="0"/>
        <w:adjustRightInd w:val="0"/>
        <w:snapToGrid w:val="0"/>
        <w:ind w:left="0" w:leftChars="0" w:right="0" w:firstLine="482"/>
        <w:rPr>
          <w:rFonts w:hint="default" w:ascii="Times New Roman" w:hAnsi="Times New Roman" w:cs="Times New Roman" w:eastAsiaTheme="minorEastAsia"/>
          <w:b/>
          <w:bCs/>
          <w:color w:val="auto"/>
          <w:highlight w:val="none"/>
        </w:rPr>
      </w:pPr>
      <w:r>
        <w:rPr>
          <w:rFonts w:hint="eastAsia" w:cs="Times New Roman" w:eastAsiaTheme="minorEastAsia"/>
          <w:b/>
          <w:bCs/>
          <w:color w:val="auto"/>
          <w:highlight w:val="none"/>
          <w:lang w:eastAsia="zh-CN"/>
        </w:rPr>
        <w:t>3.</w:t>
      </w:r>
      <w:r>
        <w:rPr>
          <w:rFonts w:hint="default" w:ascii="Times New Roman" w:hAnsi="Times New Roman" w:cs="Times New Roman" w:eastAsiaTheme="minorEastAsia"/>
          <w:b/>
          <w:bCs/>
          <w:color w:val="auto"/>
          <w:highlight w:val="none"/>
        </w:rPr>
        <w:t>危险废物贮存、利用、处置设施标志</w:t>
      </w:r>
    </w:p>
    <w:p w14:paraId="61448548">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（1）标签样式</w:t>
      </w:r>
    </w:p>
    <w:p w14:paraId="3A8B8ED6">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z w:val="21"/>
          <w:highlight w:val="none"/>
        </w:rPr>
        <w:drawing>
          <wp:inline distT="0" distB="0" distL="114300" distR="114300">
            <wp:extent cx="4260215" cy="2691130"/>
            <wp:effectExtent l="0" t="0" r="6985" b="1397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00"/>
                    <a:stretch>
                      <a:fillRect/>
                    </a:stretch>
                  </pic:blipFill>
                  <pic:spPr>
                    <a:xfrm>
                      <a:off x="0" y="0"/>
                      <a:ext cx="4260215" cy="2691130"/>
                    </a:xfrm>
                    <a:prstGeom prst="rect">
                      <a:avLst/>
                    </a:prstGeom>
                    <a:noFill/>
                    <a:ln>
                      <a:noFill/>
                    </a:ln>
                  </pic:spPr>
                </pic:pic>
              </a:graphicData>
            </a:graphic>
          </wp:inline>
        </w:drawing>
      </w:r>
    </w:p>
    <w:p w14:paraId="67293660">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贮存设施标志</w:t>
      </w:r>
    </w:p>
    <w:p w14:paraId="08AE7D45">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（2）尺寸要求</w:t>
      </w:r>
    </w:p>
    <w:p w14:paraId="34D1CDD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表8.1-4  不同观察距离时危险废物贮存、利用、处置设施标志的尺寸要求</w:t>
      </w:r>
    </w:p>
    <w:tbl>
      <w:tblPr>
        <w:tblStyle w:val="34"/>
        <w:tblW w:w="85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5"/>
        <w:gridCol w:w="1065"/>
      </w:tblGrid>
      <w:tr w14:paraId="0F9FE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65" w:type="dxa"/>
            <w:vMerge w:val="restart"/>
            <w:tcBorders>
              <w:tl2br w:val="nil"/>
              <w:tr2bl w:val="nil"/>
            </w:tcBorders>
            <w:vAlign w:val="center"/>
          </w:tcPr>
          <w:p w14:paraId="5A5E91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设置位置</w:t>
            </w:r>
          </w:p>
        </w:tc>
        <w:tc>
          <w:tcPr>
            <w:tcW w:w="1065" w:type="dxa"/>
            <w:vMerge w:val="restart"/>
            <w:tcBorders>
              <w:tl2br w:val="nil"/>
              <w:tr2bl w:val="nil"/>
            </w:tcBorders>
            <w:vAlign w:val="center"/>
          </w:tcPr>
          <w:p w14:paraId="6EDEA8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观察距离L（m）</w:t>
            </w:r>
          </w:p>
        </w:tc>
        <w:tc>
          <w:tcPr>
            <w:tcW w:w="1065" w:type="dxa"/>
            <w:vMerge w:val="restart"/>
            <w:tcBorders>
              <w:tl2br w:val="nil"/>
              <w:tr2bl w:val="nil"/>
            </w:tcBorders>
            <w:vAlign w:val="center"/>
          </w:tcPr>
          <w:p w14:paraId="53176D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标志整体外形最小尺寸（mm）</w:t>
            </w:r>
          </w:p>
        </w:tc>
        <w:tc>
          <w:tcPr>
            <w:tcW w:w="3195" w:type="dxa"/>
            <w:gridSpan w:val="3"/>
            <w:tcBorders>
              <w:tl2br w:val="nil"/>
              <w:tr2bl w:val="nil"/>
            </w:tcBorders>
            <w:vAlign w:val="center"/>
          </w:tcPr>
          <w:p w14:paraId="453AAC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三角形警告性标志</w:t>
            </w:r>
          </w:p>
        </w:tc>
        <w:tc>
          <w:tcPr>
            <w:tcW w:w="2130" w:type="dxa"/>
            <w:gridSpan w:val="2"/>
            <w:tcBorders>
              <w:tl2br w:val="nil"/>
              <w:tr2bl w:val="nil"/>
            </w:tcBorders>
            <w:vAlign w:val="center"/>
          </w:tcPr>
          <w:p w14:paraId="4651475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最低文字高度（mm）</w:t>
            </w:r>
          </w:p>
        </w:tc>
      </w:tr>
      <w:tr w14:paraId="15E24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65" w:type="dxa"/>
            <w:vMerge w:val="continue"/>
            <w:tcBorders>
              <w:tl2br w:val="nil"/>
              <w:tr2bl w:val="nil"/>
            </w:tcBorders>
            <w:vAlign w:val="center"/>
          </w:tcPr>
          <w:p w14:paraId="288C407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65" w:type="dxa"/>
            <w:vMerge w:val="continue"/>
            <w:tcBorders>
              <w:tl2br w:val="nil"/>
              <w:tr2bl w:val="nil"/>
            </w:tcBorders>
            <w:vAlign w:val="center"/>
          </w:tcPr>
          <w:p w14:paraId="5DB0BB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65" w:type="dxa"/>
            <w:vMerge w:val="continue"/>
            <w:tcBorders>
              <w:tl2br w:val="nil"/>
              <w:tr2bl w:val="nil"/>
            </w:tcBorders>
            <w:vAlign w:val="center"/>
          </w:tcPr>
          <w:p w14:paraId="177E74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65" w:type="dxa"/>
            <w:tcBorders>
              <w:tl2br w:val="nil"/>
              <w:tr2bl w:val="nil"/>
            </w:tcBorders>
            <w:vAlign w:val="center"/>
          </w:tcPr>
          <w:p w14:paraId="08246D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三角形外边长a</w:t>
            </w:r>
            <w:r>
              <w:rPr>
                <w:rFonts w:hint="default" w:ascii="Times New Roman" w:hAnsi="Times New Roman" w:cs="Times New Roman" w:eastAsiaTheme="minorEastAsia"/>
                <w:color w:val="auto"/>
                <w:sz w:val="21"/>
                <w:szCs w:val="21"/>
                <w:highlight w:val="none"/>
                <w:vertAlign w:val="subscript"/>
              </w:rPr>
              <w:t>1</w:t>
            </w:r>
            <w:r>
              <w:rPr>
                <w:rFonts w:hint="default" w:ascii="Times New Roman" w:hAnsi="Times New Roman" w:cs="Times New Roman" w:eastAsiaTheme="minorEastAsia"/>
                <w:color w:val="auto"/>
                <w:sz w:val="21"/>
                <w:szCs w:val="21"/>
                <w:highlight w:val="none"/>
              </w:rPr>
              <w:t>（mm）</w:t>
            </w:r>
          </w:p>
        </w:tc>
        <w:tc>
          <w:tcPr>
            <w:tcW w:w="1065" w:type="dxa"/>
            <w:tcBorders>
              <w:tl2br w:val="nil"/>
              <w:tr2bl w:val="nil"/>
            </w:tcBorders>
            <w:vAlign w:val="center"/>
          </w:tcPr>
          <w:p w14:paraId="397E54F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三角形内边长a</w:t>
            </w:r>
            <w:r>
              <w:rPr>
                <w:rFonts w:hint="default" w:ascii="Times New Roman" w:hAnsi="Times New Roman" w:cs="Times New Roman" w:eastAsiaTheme="minorEastAsia"/>
                <w:color w:val="auto"/>
                <w:sz w:val="21"/>
                <w:szCs w:val="21"/>
                <w:highlight w:val="none"/>
                <w:vertAlign w:val="subscript"/>
              </w:rPr>
              <w:t>2</w:t>
            </w:r>
            <w:r>
              <w:rPr>
                <w:rFonts w:hint="default" w:ascii="Times New Roman" w:hAnsi="Times New Roman" w:cs="Times New Roman" w:eastAsiaTheme="minorEastAsia"/>
                <w:color w:val="auto"/>
                <w:sz w:val="21"/>
                <w:szCs w:val="21"/>
                <w:highlight w:val="none"/>
              </w:rPr>
              <w:t>（mm）</w:t>
            </w:r>
          </w:p>
        </w:tc>
        <w:tc>
          <w:tcPr>
            <w:tcW w:w="1065" w:type="dxa"/>
            <w:tcBorders>
              <w:tl2br w:val="nil"/>
              <w:tr2bl w:val="nil"/>
            </w:tcBorders>
            <w:vAlign w:val="center"/>
          </w:tcPr>
          <w:p w14:paraId="2F804A5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边框外角圆弧半径（mm）</w:t>
            </w:r>
          </w:p>
        </w:tc>
        <w:tc>
          <w:tcPr>
            <w:tcW w:w="1065" w:type="dxa"/>
            <w:tcBorders>
              <w:tl2br w:val="nil"/>
              <w:tr2bl w:val="nil"/>
            </w:tcBorders>
            <w:vAlign w:val="center"/>
          </w:tcPr>
          <w:p w14:paraId="5E0130C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设施类型名称</w:t>
            </w:r>
          </w:p>
        </w:tc>
        <w:tc>
          <w:tcPr>
            <w:tcW w:w="1065" w:type="dxa"/>
            <w:tcBorders>
              <w:tl2br w:val="nil"/>
              <w:tr2bl w:val="nil"/>
            </w:tcBorders>
            <w:vAlign w:val="center"/>
          </w:tcPr>
          <w:p w14:paraId="65B78F5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其他文字</w:t>
            </w:r>
          </w:p>
        </w:tc>
      </w:tr>
      <w:tr w14:paraId="06CE0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 w:type="dxa"/>
            <w:tcBorders>
              <w:tl2br w:val="nil"/>
              <w:tr2bl w:val="nil"/>
            </w:tcBorders>
            <w:vAlign w:val="center"/>
          </w:tcPr>
          <w:p w14:paraId="446458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露天/室外入口</w:t>
            </w:r>
          </w:p>
        </w:tc>
        <w:tc>
          <w:tcPr>
            <w:tcW w:w="1065" w:type="dxa"/>
            <w:tcBorders>
              <w:tl2br w:val="nil"/>
              <w:tr2bl w:val="nil"/>
            </w:tcBorders>
            <w:vAlign w:val="center"/>
          </w:tcPr>
          <w:p w14:paraId="52011C9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&gt;</w:t>
            </w:r>
            <w:r>
              <w:rPr>
                <w:rFonts w:hint="default" w:ascii="Times New Roman" w:hAnsi="Times New Roman" w:cs="Times New Roman"/>
                <w:color w:val="auto"/>
                <w:kern w:val="0"/>
                <w:sz w:val="21"/>
                <w:szCs w:val="21"/>
                <w:highlight w:val="none"/>
                <w:lang w:bidi="ar"/>
              </w:rPr>
              <w:t>10</w:t>
            </w:r>
          </w:p>
        </w:tc>
        <w:tc>
          <w:tcPr>
            <w:tcW w:w="1065" w:type="dxa"/>
            <w:tcBorders>
              <w:tl2br w:val="nil"/>
              <w:tr2bl w:val="nil"/>
            </w:tcBorders>
            <w:vAlign w:val="center"/>
          </w:tcPr>
          <w:p w14:paraId="3B3BA95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900×558</w:t>
            </w:r>
          </w:p>
        </w:tc>
        <w:tc>
          <w:tcPr>
            <w:tcW w:w="1065" w:type="dxa"/>
            <w:tcBorders>
              <w:tl2br w:val="nil"/>
              <w:tr2bl w:val="nil"/>
            </w:tcBorders>
            <w:vAlign w:val="center"/>
          </w:tcPr>
          <w:p w14:paraId="069AE34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500</w:t>
            </w:r>
          </w:p>
        </w:tc>
        <w:tc>
          <w:tcPr>
            <w:tcW w:w="1065" w:type="dxa"/>
            <w:tcBorders>
              <w:tl2br w:val="nil"/>
              <w:tr2bl w:val="nil"/>
            </w:tcBorders>
            <w:vAlign w:val="center"/>
          </w:tcPr>
          <w:p w14:paraId="6001A37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375</w:t>
            </w:r>
          </w:p>
        </w:tc>
        <w:tc>
          <w:tcPr>
            <w:tcW w:w="1065" w:type="dxa"/>
            <w:tcBorders>
              <w:tl2br w:val="nil"/>
              <w:tr2bl w:val="nil"/>
            </w:tcBorders>
            <w:vAlign w:val="center"/>
          </w:tcPr>
          <w:p w14:paraId="05F19B8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w:t>
            </w:r>
          </w:p>
        </w:tc>
        <w:tc>
          <w:tcPr>
            <w:tcW w:w="1065" w:type="dxa"/>
            <w:tcBorders>
              <w:tl2br w:val="nil"/>
              <w:tr2bl w:val="nil"/>
            </w:tcBorders>
            <w:vAlign w:val="center"/>
          </w:tcPr>
          <w:p w14:paraId="4AB1F00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48</w:t>
            </w:r>
          </w:p>
        </w:tc>
        <w:tc>
          <w:tcPr>
            <w:tcW w:w="1065" w:type="dxa"/>
            <w:tcBorders>
              <w:tl2br w:val="nil"/>
              <w:tr2bl w:val="nil"/>
            </w:tcBorders>
            <w:vAlign w:val="center"/>
          </w:tcPr>
          <w:p w14:paraId="4F6A30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24</w:t>
            </w:r>
          </w:p>
        </w:tc>
      </w:tr>
      <w:tr w14:paraId="1F029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 w:type="dxa"/>
            <w:tcBorders>
              <w:tl2br w:val="nil"/>
              <w:tr2bl w:val="nil"/>
            </w:tcBorders>
            <w:vAlign w:val="center"/>
          </w:tcPr>
          <w:p w14:paraId="2C6A48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室内</w:t>
            </w:r>
          </w:p>
        </w:tc>
        <w:tc>
          <w:tcPr>
            <w:tcW w:w="1065" w:type="dxa"/>
            <w:tcBorders>
              <w:tl2br w:val="nil"/>
              <w:tr2bl w:val="nil"/>
            </w:tcBorders>
            <w:vAlign w:val="center"/>
          </w:tcPr>
          <w:p w14:paraId="5B2FCC7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4</w:t>
            </w:r>
            <w:r>
              <w:rPr>
                <w:rFonts w:hint="eastAsia" w:cs="Times New Roman"/>
                <w:color w:val="auto"/>
                <w:kern w:val="0"/>
                <w:sz w:val="21"/>
                <w:szCs w:val="21"/>
                <w:highlight w:val="none"/>
                <w:lang w:eastAsia="zh-CN" w:bidi="ar"/>
              </w:rPr>
              <w:t>&lt;</w:t>
            </w:r>
            <w:r>
              <w:rPr>
                <w:rFonts w:hint="default" w:ascii="Times New Roman" w:hAnsi="Times New Roman" w:cs="Times New Roman"/>
                <w:color w:val="auto"/>
                <w:kern w:val="0"/>
                <w:sz w:val="21"/>
                <w:szCs w:val="21"/>
                <w:highlight w:val="none"/>
                <w:lang w:bidi="ar"/>
              </w:rPr>
              <w:t>L≤10</w:t>
            </w:r>
          </w:p>
        </w:tc>
        <w:tc>
          <w:tcPr>
            <w:tcW w:w="1065" w:type="dxa"/>
            <w:tcBorders>
              <w:tl2br w:val="nil"/>
              <w:tr2bl w:val="nil"/>
            </w:tcBorders>
            <w:vAlign w:val="center"/>
          </w:tcPr>
          <w:p w14:paraId="38B4197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600×372</w:t>
            </w:r>
          </w:p>
        </w:tc>
        <w:tc>
          <w:tcPr>
            <w:tcW w:w="1065" w:type="dxa"/>
            <w:tcBorders>
              <w:tl2br w:val="nil"/>
              <w:tr2bl w:val="nil"/>
            </w:tcBorders>
            <w:vAlign w:val="center"/>
          </w:tcPr>
          <w:p w14:paraId="27DCB34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300</w:t>
            </w:r>
          </w:p>
        </w:tc>
        <w:tc>
          <w:tcPr>
            <w:tcW w:w="1065" w:type="dxa"/>
            <w:tcBorders>
              <w:tl2br w:val="nil"/>
              <w:tr2bl w:val="nil"/>
            </w:tcBorders>
            <w:vAlign w:val="center"/>
          </w:tcPr>
          <w:p w14:paraId="53DAF9B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225</w:t>
            </w:r>
          </w:p>
        </w:tc>
        <w:tc>
          <w:tcPr>
            <w:tcW w:w="1065" w:type="dxa"/>
            <w:tcBorders>
              <w:tl2br w:val="nil"/>
              <w:tr2bl w:val="nil"/>
            </w:tcBorders>
            <w:vAlign w:val="center"/>
          </w:tcPr>
          <w:p w14:paraId="1BD74FD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18</w:t>
            </w:r>
          </w:p>
        </w:tc>
        <w:tc>
          <w:tcPr>
            <w:tcW w:w="1065" w:type="dxa"/>
            <w:tcBorders>
              <w:tl2br w:val="nil"/>
              <w:tr2bl w:val="nil"/>
            </w:tcBorders>
            <w:vAlign w:val="center"/>
          </w:tcPr>
          <w:p w14:paraId="5193C5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32</w:t>
            </w:r>
          </w:p>
        </w:tc>
        <w:tc>
          <w:tcPr>
            <w:tcW w:w="1065" w:type="dxa"/>
            <w:tcBorders>
              <w:tl2br w:val="nil"/>
              <w:tr2bl w:val="nil"/>
            </w:tcBorders>
            <w:vAlign w:val="center"/>
          </w:tcPr>
          <w:p w14:paraId="64F9F3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16</w:t>
            </w:r>
          </w:p>
        </w:tc>
      </w:tr>
      <w:tr w14:paraId="47B29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 w:type="dxa"/>
            <w:tcBorders>
              <w:tl2br w:val="nil"/>
              <w:tr2bl w:val="nil"/>
            </w:tcBorders>
            <w:vAlign w:val="center"/>
          </w:tcPr>
          <w:p w14:paraId="79E605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室内</w:t>
            </w:r>
          </w:p>
        </w:tc>
        <w:tc>
          <w:tcPr>
            <w:tcW w:w="1065" w:type="dxa"/>
            <w:tcBorders>
              <w:tl2br w:val="nil"/>
              <w:tr2bl w:val="nil"/>
            </w:tcBorders>
            <w:vAlign w:val="center"/>
          </w:tcPr>
          <w:p w14:paraId="30A4708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≤4</w:t>
            </w:r>
          </w:p>
        </w:tc>
        <w:tc>
          <w:tcPr>
            <w:tcW w:w="1065" w:type="dxa"/>
            <w:tcBorders>
              <w:tl2br w:val="nil"/>
              <w:tr2bl w:val="nil"/>
            </w:tcBorders>
            <w:vAlign w:val="center"/>
          </w:tcPr>
          <w:p w14:paraId="11E8804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300×186</w:t>
            </w:r>
          </w:p>
        </w:tc>
        <w:tc>
          <w:tcPr>
            <w:tcW w:w="1065" w:type="dxa"/>
            <w:tcBorders>
              <w:tl2br w:val="nil"/>
              <w:tr2bl w:val="nil"/>
            </w:tcBorders>
            <w:vAlign w:val="center"/>
          </w:tcPr>
          <w:p w14:paraId="65D6959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140</w:t>
            </w:r>
          </w:p>
        </w:tc>
        <w:tc>
          <w:tcPr>
            <w:tcW w:w="1065" w:type="dxa"/>
            <w:tcBorders>
              <w:tl2br w:val="nil"/>
              <w:tr2bl w:val="nil"/>
            </w:tcBorders>
            <w:vAlign w:val="center"/>
          </w:tcPr>
          <w:p w14:paraId="7716E53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105</w:t>
            </w:r>
          </w:p>
        </w:tc>
        <w:tc>
          <w:tcPr>
            <w:tcW w:w="1065" w:type="dxa"/>
            <w:tcBorders>
              <w:tl2br w:val="nil"/>
              <w:tr2bl w:val="nil"/>
            </w:tcBorders>
            <w:vAlign w:val="center"/>
          </w:tcPr>
          <w:p w14:paraId="3554374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8.4</w:t>
            </w:r>
          </w:p>
        </w:tc>
        <w:tc>
          <w:tcPr>
            <w:tcW w:w="1065" w:type="dxa"/>
            <w:tcBorders>
              <w:tl2br w:val="nil"/>
              <w:tr2bl w:val="nil"/>
            </w:tcBorders>
            <w:vAlign w:val="center"/>
          </w:tcPr>
          <w:p w14:paraId="6592B9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16</w:t>
            </w:r>
          </w:p>
        </w:tc>
        <w:tc>
          <w:tcPr>
            <w:tcW w:w="1065" w:type="dxa"/>
            <w:tcBorders>
              <w:tl2br w:val="nil"/>
              <w:tr2bl w:val="nil"/>
            </w:tcBorders>
            <w:vAlign w:val="center"/>
          </w:tcPr>
          <w:p w14:paraId="0FF4222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8</w:t>
            </w:r>
          </w:p>
        </w:tc>
      </w:tr>
    </w:tbl>
    <w:p w14:paraId="11BA9488">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（3）张贴位置</w:t>
      </w:r>
    </w:p>
    <w:p w14:paraId="4165115C">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在场所的入口处设置相应的危险废物贮存设施标志。</w:t>
      </w:r>
    </w:p>
    <w:p w14:paraId="64169067">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8.1.5 环境管理台账记录与执行报告编制要求</w:t>
      </w:r>
    </w:p>
    <w:p w14:paraId="551519F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参考《排污许可证申请与核发技术规范 有色金属工业</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铜冶炼》（HJ863.3-2017）：铜冶炼行业排污单位应建立环境管理台账制度，设置专职人员进行台账的记录、整理、维护和管理，并对台账记录结果的真实性、准确性、完整性负责。台账应当按照电子化储存和纸质储存两种形式同步管理，台账保存期限不得少于三年。</w:t>
      </w:r>
    </w:p>
    <w:p w14:paraId="49AC6B8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（1）基本信息</w:t>
      </w:r>
    </w:p>
    <w:p w14:paraId="5634F2F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环境管理台账记录基本信息主要包括排污单位基本信息、生产设施基本信息、治理设施基本信息。</w:t>
      </w:r>
    </w:p>
    <w:p w14:paraId="192BBFE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排污单位基本信息：排污单位名称、注册地址、行业类别、生产经营场所地址、组织机构代码、统一社会信用代码、法定代表人、技术负责人、生产工艺、产品名称、生产规模、环保投资情况、环评及批复情况、竣工环保验收情况、排污许可证编号等；</w:t>
      </w:r>
    </w:p>
    <w:p w14:paraId="1D2CDF5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2）生产设施基本信息：生产设施（设备）名称、编码、设施规格型号、相关参数（包括参数名称、设计值、单位）、设计生产能力等；</w:t>
      </w:r>
    </w:p>
    <w:p w14:paraId="50DF9AC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3）治理设施基本信息：治理设施名称、编码、设施规格型号、相关参数（包括参数名称、设计值、单位）等。</w:t>
      </w:r>
    </w:p>
    <w:p w14:paraId="29FDBB0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（2）生产设施运行管理信息</w:t>
      </w:r>
    </w:p>
    <w:p w14:paraId="51AFE21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定期记录生产设施运行状况并留档保持，应按班次至少记录以下内容：</w:t>
      </w:r>
    </w:p>
    <w:p w14:paraId="06D1B1C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运行状态：开始时间、结束时间，是否按照生产要求正常运行；</w:t>
      </w:r>
    </w:p>
    <w:p w14:paraId="50F71F4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生产负荷：实际生产能力与设计生产能力之比，设计生产能力取最大设计值；</w:t>
      </w:r>
    </w:p>
    <w:p w14:paraId="1762D20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产品产量：记录统计时段内主要产品产量；</w:t>
      </w:r>
    </w:p>
    <w:p w14:paraId="25D3DBC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原辅料：记录名称、来源地、种类、用量、有毒有害物质成分及占比、是否为危险化学品；</w:t>
      </w:r>
    </w:p>
    <w:p w14:paraId="3379A78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燃料：记录种类、用量、成分、热值、品质。</w:t>
      </w:r>
    </w:p>
    <w:p w14:paraId="56084FC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（3）污染治理设施运行管理信息</w:t>
      </w:r>
    </w:p>
    <w:p w14:paraId="7875FBF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铜冶炼行业排污单位应记录环保设施的运行状态、污染物排放情况、治理药剂添加情况等。污染治理设施运行管理信息还应当包括设备运行校验关键参数，能充分反映生产设施及治理设施运行管理情况。</w:t>
      </w:r>
    </w:p>
    <w:p w14:paraId="47AABB3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有组织废气治理设施</w:t>
      </w:r>
    </w:p>
    <w:p w14:paraId="11EA6B2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废气环保设施台账应包括所有环保设施的运行参数及排放情况等，废气环保设施台账包括废气处理能力（立方米/小时）、运行参数（包括运行工况等）、废气排放量等。</w:t>
      </w:r>
    </w:p>
    <w:p w14:paraId="5CFB681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2）无组织废气治理设施</w:t>
      </w:r>
    </w:p>
    <w:p w14:paraId="5AE041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车间、道路等无组织</w:t>
      </w:r>
      <w:r>
        <w:rPr>
          <w:rFonts w:hint="eastAsia" w:ascii="Times New Roman" w:hAnsi="Times New Roman" w:eastAsia="宋体" w:cs="Times New Roman"/>
          <w:color w:val="auto"/>
          <w:sz w:val="24"/>
          <w:szCs w:val="24"/>
          <w:highlight w:val="none"/>
          <w:lang w:eastAsia="zh-CN"/>
        </w:rPr>
        <w:t>大气污染治理</w:t>
      </w:r>
      <w:r>
        <w:rPr>
          <w:rFonts w:hint="default" w:ascii="Times New Roman" w:hAnsi="Times New Roman" w:eastAsia="宋体" w:cs="Times New Roman"/>
          <w:color w:val="auto"/>
          <w:sz w:val="24"/>
          <w:szCs w:val="24"/>
          <w:highlight w:val="none"/>
        </w:rPr>
        <w:t>措施相应的运行、维护、管理相关的信息记录，可用于说明无组织治理措施（厂区降尘洒水、清扫、原料或产品场地封闭、遮盖等）运行情况和效果。</w:t>
      </w:r>
    </w:p>
    <w:p w14:paraId="4736BEC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3）废水治理设施</w:t>
      </w:r>
    </w:p>
    <w:p w14:paraId="7C0F240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水环保设施台账应包括所有环保设施的运行参数及排放情况等，废水治理设施包括废水处理能力（吨/日）、运行参数（包括运行工况等）、废水排放量、废水回用量、污泥产生量及运行费用（元/吨）、出水水质（各因子浓度和水量等）</w:t>
      </w:r>
      <w:r>
        <w:rPr>
          <w:rFonts w:hint="eastAsia" w:ascii="Times New Roman" w:hAnsi="Times New Roman"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排水去向等。</w:t>
      </w:r>
    </w:p>
    <w:p w14:paraId="0EC1353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）其他环境管理信息</w:t>
      </w:r>
    </w:p>
    <w:p w14:paraId="64EB8C4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排污单位应记录的其他环境管理信息包括以下几方面：</w:t>
      </w:r>
    </w:p>
    <w:p w14:paraId="361792F7">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 污染治理设施故障期间</w:t>
      </w:r>
    </w:p>
    <w:p w14:paraId="1EF9802F">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应记录污染治理设施故障设施、故障原因、故障期间污染物排放浓度以及应对措施。</w:t>
      </w:r>
    </w:p>
    <w:p w14:paraId="3A159C09">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 特殊时段</w:t>
      </w:r>
    </w:p>
    <w:p w14:paraId="5B586623">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应记录重污染天气应对期间、冬防期间等特殊时段管理要求、执行情况（包括特殊时段生产设施运行管理信息和污染治理设施运行管理信息）等。重污染天气应急预警期间、冬防期间等特殊时段的台账记录要求与正常生产记录频次要求一致，涉及特殊时段停产的排污单位或生产工序，该期间原则上仅对起始和结束当天各进行1次记录，地方管理部门有特殊要求的，从其规定。</w:t>
      </w:r>
    </w:p>
    <w:p w14:paraId="42FB413B">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③ 非正常工况</w:t>
      </w:r>
    </w:p>
    <w:p w14:paraId="063BC5A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排污单位开炉、设备检修（停炉）等非正常工况信息按工况期记录，每工况期记录1次，内容应记录非正常（开停炉）工况时间、事件原因、是否报告、应对措施，并按生产设施与污染治理设施填写具体情况：生产设施应记录设施名称、编号、产品产量、原辅料消耗量、燃料消耗量等；污染治理设施应记录设施名称、编号、污染因子、排放量、排放浓度等。</w:t>
      </w:r>
    </w:p>
    <w:p w14:paraId="7F3B58C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default" w:ascii="Times New Roman" w:hAnsi="Times New Roman" w:cs="Times New Roman"/>
          <w:color w:val="auto"/>
          <w:highlight w:val="none"/>
        </w:rPr>
        <w:t>）监测记录信息</w:t>
      </w:r>
    </w:p>
    <w:p w14:paraId="763ABD2F">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 自动监测运维记录</w:t>
      </w:r>
    </w:p>
    <w:p w14:paraId="0C028DF2">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包括自动监测系统运行状况、系统辅助设备运行状况、系统校准、校验工作等；仪器</w:t>
      </w:r>
    </w:p>
    <w:p w14:paraId="571E203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说明书及相关标准规范中规定的其他检查项目；校准、维护保养、维修记录等。</w:t>
      </w:r>
    </w:p>
    <w:p w14:paraId="723436BD">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 手工监测记录信息</w:t>
      </w:r>
    </w:p>
    <w:p w14:paraId="00A431B3">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无自动监测要求的废气、废水污染物，排污单位应当按照排污许可证中手工监测要求记录手工监测的日期、时间、污染物排放口和监测点位、监测方法、监测频次、监测仪器及型号、采样方法等，并建立台账记录报告。</w:t>
      </w:r>
    </w:p>
    <w:p w14:paraId="21762046">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③ 监测期间生产及污染治理设施运行状况记录信息</w:t>
      </w:r>
    </w:p>
    <w:p w14:paraId="226E99B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监测期间生产及污染治理设施运行状况记录信息内容分别见前文（3）、（4）部分相关规定。</w:t>
      </w:r>
    </w:p>
    <w:p w14:paraId="04EEB852">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6</w:t>
      </w:r>
      <w:r>
        <w:rPr>
          <w:rFonts w:hint="default" w:ascii="Times New Roman" w:hAnsi="Times New Roman" w:cs="Times New Roman"/>
          <w:color w:val="auto"/>
          <w:highlight w:val="none"/>
        </w:rPr>
        <w:t>）记录频次</w:t>
      </w:r>
    </w:p>
    <w:p w14:paraId="37853E0D">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 一般原则</w:t>
      </w:r>
    </w:p>
    <w:p w14:paraId="4EE2CF89">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记录频次应根据生产过程中的变化参数进行确定。</w:t>
      </w:r>
    </w:p>
    <w:p w14:paraId="0508DE31">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 生产设施运行管理信息</w:t>
      </w:r>
    </w:p>
    <w:p w14:paraId="469DAB94">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eastAsia" w:cs="Times New Roman"/>
          <w:color w:val="auto"/>
          <w:highlight w:val="none"/>
          <w:lang w:eastAsia="zh-CN"/>
        </w:rPr>
        <w:t>.</w:t>
      </w:r>
      <w:r>
        <w:rPr>
          <w:rFonts w:hint="default" w:ascii="Times New Roman" w:hAnsi="Times New Roman" w:cs="Times New Roman"/>
          <w:color w:val="auto"/>
          <w:highlight w:val="none"/>
        </w:rPr>
        <w:t>生产运行状况：按照排污单位生产班次记录，每班次记录1次。非正常工况按照工况期记录，每工况期记录1次，非正常工况开始时刻至工况恢复正常时刻为一个记录工况期；</w:t>
      </w:r>
    </w:p>
    <w:p w14:paraId="24EE8DB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B</w:t>
      </w:r>
      <w:r>
        <w:rPr>
          <w:rFonts w:hint="eastAsia" w:cs="Times New Roman"/>
          <w:color w:val="auto"/>
          <w:highlight w:val="none"/>
          <w:lang w:eastAsia="zh-CN"/>
        </w:rPr>
        <w:t>.</w:t>
      </w:r>
      <w:r>
        <w:rPr>
          <w:rFonts w:hint="default" w:ascii="Times New Roman" w:hAnsi="Times New Roman" w:cs="Times New Roman"/>
          <w:color w:val="auto"/>
          <w:highlight w:val="none"/>
        </w:rPr>
        <w:t>产品产量：连续性生产的排污单位产品产量按照班次记录，每班次记录1次。周期性生产的设施按照一个周期进行记录，周期小于1天的按照1天记录；</w:t>
      </w:r>
    </w:p>
    <w:p w14:paraId="11E7361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eastAsia" w:cs="Times New Roman"/>
          <w:color w:val="auto"/>
          <w:highlight w:val="none"/>
          <w:lang w:eastAsia="zh-CN"/>
        </w:rPr>
        <w:t>.</w:t>
      </w:r>
      <w:r>
        <w:rPr>
          <w:rFonts w:hint="default" w:ascii="Times New Roman" w:hAnsi="Times New Roman" w:cs="Times New Roman"/>
          <w:color w:val="auto"/>
          <w:highlight w:val="none"/>
        </w:rPr>
        <w:t>原辅料、燃料用量：按照批次记录，每批次记录1次。</w:t>
      </w:r>
    </w:p>
    <w:p w14:paraId="7A9DCBCF">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③ 污染治理设施运行管理信息</w:t>
      </w:r>
    </w:p>
    <w:p w14:paraId="002F696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eastAsia" w:cs="Times New Roman"/>
          <w:color w:val="auto"/>
          <w:highlight w:val="none"/>
          <w:lang w:eastAsia="zh-CN"/>
        </w:rPr>
        <w:t>.</w:t>
      </w:r>
      <w:r>
        <w:rPr>
          <w:rFonts w:hint="default" w:ascii="Times New Roman" w:hAnsi="Times New Roman" w:cs="Times New Roman"/>
          <w:color w:val="auto"/>
          <w:highlight w:val="none"/>
        </w:rPr>
        <w:t>污染治理设施运行状况：按照排污单位生产班次记录，每班次记录1次。非正常工况按照工况期记录，每工况期记录1次，非正常工况开始时刻至工况恢复正常时刻为一个记录工况期；</w:t>
      </w:r>
    </w:p>
    <w:p w14:paraId="3157813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B</w:t>
      </w:r>
      <w:r>
        <w:rPr>
          <w:rFonts w:hint="eastAsia" w:cs="Times New Roman"/>
          <w:color w:val="auto"/>
          <w:highlight w:val="none"/>
          <w:lang w:eastAsia="zh-CN"/>
        </w:rPr>
        <w:t>.</w:t>
      </w:r>
      <w:r>
        <w:rPr>
          <w:rFonts w:hint="default" w:ascii="Times New Roman" w:hAnsi="Times New Roman" w:cs="Times New Roman"/>
          <w:color w:val="auto"/>
          <w:highlight w:val="none"/>
        </w:rPr>
        <w:t>污染物产排放情况：连续排放污染物的，按班次记录，每班次记录1次。非连续排放污染物的，按照产排污阶段记录，每个产排阶段记录1次。安装自动监测设施的按照自动监测频率记录，DCS上保存自动监测记录；</w:t>
      </w:r>
    </w:p>
    <w:p w14:paraId="7EFE32BC">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eastAsia" w:cs="Times New Roman"/>
          <w:color w:val="auto"/>
          <w:highlight w:val="none"/>
          <w:lang w:eastAsia="zh-CN"/>
        </w:rPr>
        <w:t>.</w:t>
      </w:r>
      <w:r>
        <w:rPr>
          <w:rFonts w:hint="default" w:ascii="Times New Roman" w:hAnsi="Times New Roman" w:cs="Times New Roman"/>
          <w:color w:val="auto"/>
          <w:highlight w:val="none"/>
        </w:rPr>
        <w:t>药剂添加情况：采用批次投放的，按照投放批次记录，每投放批次记录1次。采用连续加药方式的，每班次记录1次。</w:t>
      </w:r>
    </w:p>
    <w:p w14:paraId="0E4F8C5E">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④ 监测记录信息</w:t>
      </w:r>
    </w:p>
    <w:p w14:paraId="16343DC1">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监测数据的记录频次按照前文采样和测定方法中所确定的监测频次要求记录。</w:t>
      </w:r>
    </w:p>
    <w:p w14:paraId="50286F50">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⑤ 其他环境管理信息</w:t>
      </w:r>
    </w:p>
    <w:p w14:paraId="256C34B1">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采取无组织废气污染控制措施的信息记录频次原则上不小于1天。</w:t>
      </w:r>
    </w:p>
    <w:p w14:paraId="6F8A421F">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特殊时段的台账记录频次原则上与正常生产记录频次要求一致，涉及特殊时段停产的排污单位或生产工序，该期间原则上仅对起始和结束当天进行1次记录，地方管理部门有特殊要求的，从其规定。</w:t>
      </w:r>
    </w:p>
    <w:p w14:paraId="7F90EA5E">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根据环境管理要求增加记录的内容，记录频次依实际情况确定。</w:t>
      </w:r>
    </w:p>
    <w:p w14:paraId="7E845AE0">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7</w:t>
      </w:r>
      <w:r>
        <w:rPr>
          <w:rFonts w:hint="default" w:ascii="Times New Roman" w:hAnsi="Times New Roman" w:cs="Times New Roman"/>
          <w:color w:val="auto"/>
          <w:highlight w:val="none"/>
        </w:rPr>
        <w:t>）记录保存</w:t>
      </w:r>
    </w:p>
    <w:p w14:paraId="7B1EE934">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 纸质存储</w:t>
      </w:r>
    </w:p>
    <w:p w14:paraId="76F775F7">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纸质台账应存放于保护袋、卷夹或保护盒中，专人保存于专门的档案保存地点，并由相关人员签字。档案保存应采取防光、防热、防潮、防细菌及防污染等措施。纸质类档案如有破损应随时修补。档案保存时间原则上不低于3年。</w:t>
      </w:r>
    </w:p>
    <w:p w14:paraId="2D295A24">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 电子存储</w:t>
      </w:r>
    </w:p>
    <w:p w14:paraId="3145A361">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电子台账保存于专门的存储设备中，并保留备份数据。设备由专人负责管理，定期进行维护。根据地方环境保护主管部门要求定期上传，纸版由排污单位留存备查。档案保存时间原则上不低于3年。</w:t>
      </w:r>
    </w:p>
    <w:p w14:paraId="2DF124DE">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41" w:name="_Toc10173"/>
      <w:bookmarkStart w:id="342" w:name="_Toc11748"/>
      <w:bookmarkStart w:id="343" w:name="_Hlk149949959"/>
      <w:r>
        <w:rPr>
          <w:rFonts w:hint="default" w:ascii="Times New Roman" w:hAnsi="Times New Roman" w:eastAsia="宋体" w:cs="Times New Roman"/>
          <w:color w:val="auto"/>
          <w:highlight w:val="none"/>
        </w:rPr>
        <w:t>8.2 监测计划</w:t>
      </w:r>
      <w:bookmarkEnd w:id="341"/>
      <w:bookmarkEnd w:id="342"/>
    </w:p>
    <w:bookmarkEnd w:id="343"/>
    <w:p w14:paraId="270C6058">
      <w:pPr>
        <w:pStyle w:val="4"/>
        <w:pageBreakBefore w:val="0"/>
        <w:wordWrap/>
        <w:topLinePunct w:val="0"/>
        <w:bidi w:val="0"/>
        <w:adjustRightInd w:val="0"/>
        <w:snapToGrid w:val="0"/>
        <w:ind w:left="0" w:leftChars="0" w:right="0" w:firstLine="562"/>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8.2.1污染源监测计划</w:t>
      </w:r>
    </w:p>
    <w:p w14:paraId="2002A2D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对运营期污染源开展日常环境监控监测，计划见表8.2-1。</w:t>
      </w:r>
    </w:p>
    <w:p w14:paraId="015E07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表8.2-1</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污染源企业自行监测计划一览表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433"/>
        <w:gridCol w:w="1471"/>
        <w:gridCol w:w="1605"/>
        <w:gridCol w:w="3705"/>
      </w:tblGrid>
      <w:tr w14:paraId="131EF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pct"/>
            <w:tcBorders>
              <w:tl2br w:val="nil"/>
              <w:tr2bl w:val="nil"/>
            </w:tcBorders>
            <w:noWrap w:val="0"/>
            <w:vAlign w:val="center"/>
          </w:tcPr>
          <w:p w14:paraId="2E54ECE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类型</w:t>
            </w:r>
          </w:p>
        </w:tc>
        <w:tc>
          <w:tcPr>
            <w:tcW w:w="801" w:type="pct"/>
            <w:tcBorders>
              <w:tl2br w:val="nil"/>
              <w:tr2bl w:val="nil"/>
            </w:tcBorders>
            <w:noWrap w:val="0"/>
            <w:vAlign w:val="center"/>
          </w:tcPr>
          <w:p w14:paraId="63BEEA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监测点位置</w:t>
            </w:r>
          </w:p>
        </w:tc>
        <w:tc>
          <w:tcPr>
            <w:tcW w:w="822" w:type="pct"/>
            <w:tcBorders>
              <w:tl2br w:val="nil"/>
              <w:tr2bl w:val="nil"/>
            </w:tcBorders>
            <w:noWrap w:val="0"/>
            <w:vAlign w:val="center"/>
          </w:tcPr>
          <w:p w14:paraId="36E8FE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897" w:type="pct"/>
            <w:tcBorders>
              <w:tl2br w:val="nil"/>
              <w:tr2bl w:val="nil"/>
            </w:tcBorders>
            <w:noWrap w:val="0"/>
            <w:vAlign w:val="center"/>
          </w:tcPr>
          <w:p w14:paraId="77AA82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建议监测频率</w:t>
            </w:r>
          </w:p>
        </w:tc>
        <w:tc>
          <w:tcPr>
            <w:tcW w:w="2071" w:type="pct"/>
            <w:tcBorders>
              <w:tl2br w:val="nil"/>
              <w:tr2bl w:val="nil"/>
            </w:tcBorders>
            <w:noWrap w:val="0"/>
            <w:vAlign w:val="center"/>
          </w:tcPr>
          <w:p w14:paraId="5C6DC51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w:t>
            </w:r>
          </w:p>
        </w:tc>
      </w:tr>
      <w:tr w14:paraId="3414A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pct"/>
            <w:vMerge w:val="restart"/>
            <w:tcBorders>
              <w:tl2br w:val="nil"/>
              <w:tr2bl w:val="nil"/>
            </w:tcBorders>
            <w:noWrap w:val="0"/>
            <w:vAlign w:val="center"/>
          </w:tcPr>
          <w:p w14:paraId="6A0AD0B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801" w:type="pct"/>
            <w:tcBorders>
              <w:tl2br w:val="nil"/>
              <w:tr2bl w:val="nil"/>
            </w:tcBorders>
            <w:noWrap w:val="0"/>
            <w:vAlign w:val="center"/>
          </w:tcPr>
          <w:p w14:paraId="1DA48D9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厂界无组织废气</w:t>
            </w:r>
          </w:p>
        </w:tc>
        <w:tc>
          <w:tcPr>
            <w:tcW w:w="822" w:type="pct"/>
            <w:tcBorders>
              <w:tl2br w:val="nil"/>
              <w:tr2bl w:val="nil"/>
            </w:tcBorders>
            <w:noWrap w:val="0"/>
            <w:vAlign w:val="center"/>
          </w:tcPr>
          <w:p w14:paraId="09F968E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颗粒物</w:t>
            </w:r>
            <w:r>
              <w:rPr>
                <w:rFonts w:hint="default"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硫酸雾</w:t>
            </w:r>
          </w:p>
        </w:tc>
        <w:tc>
          <w:tcPr>
            <w:tcW w:w="897" w:type="pct"/>
            <w:tcBorders>
              <w:tl2br w:val="nil"/>
              <w:tr2bl w:val="nil"/>
            </w:tcBorders>
            <w:noWrap w:val="0"/>
            <w:vAlign w:val="center"/>
          </w:tcPr>
          <w:p w14:paraId="2DBE13F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w:t>
            </w:r>
            <w:r>
              <w:rPr>
                <w:rFonts w:hint="eastAsia" w:cs="Times New Roman"/>
                <w:color w:val="auto"/>
                <w:sz w:val="21"/>
                <w:szCs w:val="21"/>
                <w:highlight w:val="none"/>
                <w:lang w:val="en-US" w:eastAsia="zh-CN"/>
              </w:rPr>
              <w:t>半年</w:t>
            </w:r>
          </w:p>
        </w:tc>
        <w:tc>
          <w:tcPr>
            <w:tcW w:w="2071" w:type="pct"/>
            <w:tcBorders>
              <w:tl2br w:val="nil"/>
              <w:tr2bl w:val="nil"/>
            </w:tcBorders>
            <w:noWrap w:val="0"/>
            <w:vAlign w:val="center"/>
          </w:tcPr>
          <w:p w14:paraId="17A8B7B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铜、镍、钴工业污染物排放标准</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（GB25467-2010）表6</w:t>
            </w:r>
          </w:p>
        </w:tc>
      </w:tr>
      <w:tr w14:paraId="542B8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pct"/>
            <w:vMerge w:val="continue"/>
            <w:tcBorders>
              <w:tl2br w:val="nil"/>
              <w:tr2bl w:val="nil"/>
            </w:tcBorders>
            <w:noWrap w:val="0"/>
            <w:vAlign w:val="center"/>
          </w:tcPr>
          <w:p w14:paraId="2B7A0A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801" w:type="pct"/>
            <w:tcBorders>
              <w:tl2br w:val="nil"/>
              <w:tr2bl w:val="nil"/>
            </w:tcBorders>
            <w:noWrap w:val="0"/>
            <w:vAlign w:val="center"/>
          </w:tcPr>
          <w:p w14:paraId="7FDEFB0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排气筒废气</w:t>
            </w:r>
          </w:p>
        </w:tc>
        <w:tc>
          <w:tcPr>
            <w:tcW w:w="822" w:type="pct"/>
            <w:tcBorders>
              <w:tl2br w:val="nil"/>
              <w:tr2bl w:val="nil"/>
            </w:tcBorders>
            <w:noWrap w:val="0"/>
            <w:vAlign w:val="center"/>
          </w:tcPr>
          <w:p w14:paraId="2EA1AFC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897" w:type="pct"/>
            <w:tcBorders>
              <w:tl2br w:val="nil"/>
              <w:tr2bl w:val="nil"/>
            </w:tcBorders>
            <w:noWrap w:val="0"/>
            <w:vAlign w:val="center"/>
          </w:tcPr>
          <w:p w14:paraId="3075A1A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eastAsia" w:cs="Times New Roman"/>
                <w:color w:val="auto"/>
                <w:sz w:val="21"/>
                <w:szCs w:val="21"/>
                <w:highlight w:val="none"/>
                <w:lang w:val="en-US" w:eastAsia="zh-CN"/>
              </w:rPr>
              <w:t>季度</w:t>
            </w:r>
          </w:p>
        </w:tc>
        <w:tc>
          <w:tcPr>
            <w:tcW w:w="2071" w:type="pct"/>
            <w:vMerge w:val="restart"/>
            <w:tcBorders>
              <w:tl2br w:val="nil"/>
              <w:tr2bl w:val="nil"/>
            </w:tcBorders>
            <w:noWrap w:val="0"/>
            <w:vAlign w:val="center"/>
          </w:tcPr>
          <w:p w14:paraId="7D2E78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铜、镍、钴工业污染物排放标准</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（GB25467-2010）表5</w:t>
            </w:r>
          </w:p>
        </w:tc>
      </w:tr>
      <w:tr w14:paraId="42ABD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pct"/>
            <w:vMerge w:val="continue"/>
            <w:tcBorders>
              <w:tl2br w:val="nil"/>
              <w:tr2bl w:val="nil"/>
            </w:tcBorders>
            <w:noWrap w:val="0"/>
            <w:vAlign w:val="center"/>
          </w:tcPr>
          <w:p w14:paraId="68AFA1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801" w:type="pct"/>
            <w:tcBorders>
              <w:tl2br w:val="nil"/>
              <w:tr2bl w:val="nil"/>
            </w:tcBorders>
            <w:noWrap w:val="0"/>
            <w:vAlign w:val="center"/>
          </w:tcPr>
          <w:p w14:paraId="2297611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rPr>
              <w:t>排气筒废气</w:t>
            </w:r>
          </w:p>
        </w:tc>
        <w:tc>
          <w:tcPr>
            <w:tcW w:w="822" w:type="pct"/>
            <w:tcBorders>
              <w:tl2br w:val="nil"/>
              <w:tr2bl w:val="nil"/>
            </w:tcBorders>
            <w:noWrap w:val="0"/>
            <w:vAlign w:val="center"/>
          </w:tcPr>
          <w:p w14:paraId="0F1D24A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897" w:type="pct"/>
            <w:tcBorders>
              <w:tl2br w:val="nil"/>
              <w:tr2bl w:val="nil"/>
            </w:tcBorders>
            <w:noWrap w:val="0"/>
            <w:vAlign w:val="center"/>
          </w:tcPr>
          <w:p w14:paraId="4F0F79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eastAsia" w:cs="Times New Roman"/>
                <w:color w:val="auto"/>
                <w:sz w:val="21"/>
                <w:szCs w:val="21"/>
                <w:highlight w:val="none"/>
                <w:lang w:val="en-US" w:eastAsia="zh-CN"/>
              </w:rPr>
              <w:t>季度</w:t>
            </w:r>
          </w:p>
        </w:tc>
        <w:tc>
          <w:tcPr>
            <w:tcW w:w="2071" w:type="pct"/>
            <w:vMerge w:val="continue"/>
            <w:tcBorders>
              <w:tl2br w:val="nil"/>
              <w:tr2bl w:val="nil"/>
            </w:tcBorders>
            <w:noWrap w:val="0"/>
            <w:vAlign w:val="center"/>
          </w:tcPr>
          <w:p w14:paraId="6F11209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eastAsia="zh-CN"/>
              </w:rPr>
            </w:pPr>
          </w:p>
        </w:tc>
      </w:tr>
      <w:tr w14:paraId="20AE1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pct"/>
            <w:vMerge w:val="continue"/>
            <w:tcBorders>
              <w:tl2br w:val="nil"/>
              <w:tr2bl w:val="nil"/>
            </w:tcBorders>
            <w:noWrap w:val="0"/>
            <w:vAlign w:val="center"/>
          </w:tcPr>
          <w:p w14:paraId="75841B1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801" w:type="pct"/>
            <w:tcBorders>
              <w:tl2br w:val="nil"/>
              <w:tr2bl w:val="nil"/>
            </w:tcBorders>
            <w:noWrap w:val="0"/>
            <w:vAlign w:val="center"/>
          </w:tcPr>
          <w:p w14:paraId="7B45AFB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DA003排气筒废气</w:t>
            </w:r>
          </w:p>
        </w:tc>
        <w:tc>
          <w:tcPr>
            <w:tcW w:w="822" w:type="pct"/>
            <w:tcBorders>
              <w:tl2br w:val="nil"/>
              <w:tr2bl w:val="nil"/>
            </w:tcBorders>
            <w:noWrap w:val="0"/>
            <w:vAlign w:val="center"/>
          </w:tcPr>
          <w:p w14:paraId="536CBD7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897" w:type="pct"/>
            <w:tcBorders>
              <w:tl2br w:val="nil"/>
              <w:tr2bl w:val="nil"/>
            </w:tcBorders>
            <w:noWrap w:val="0"/>
            <w:vAlign w:val="center"/>
          </w:tcPr>
          <w:p w14:paraId="3DEA713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eastAsia" w:cs="Times New Roman"/>
                <w:color w:val="auto"/>
                <w:sz w:val="21"/>
                <w:szCs w:val="21"/>
                <w:highlight w:val="none"/>
                <w:lang w:val="en-US" w:eastAsia="zh-CN"/>
              </w:rPr>
              <w:t>季度</w:t>
            </w:r>
          </w:p>
        </w:tc>
        <w:tc>
          <w:tcPr>
            <w:tcW w:w="2071" w:type="pct"/>
            <w:vMerge w:val="continue"/>
            <w:tcBorders>
              <w:tl2br w:val="nil"/>
              <w:tr2bl w:val="nil"/>
            </w:tcBorders>
            <w:noWrap w:val="0"/>
            <w:vAlign w:val="center"/>
          </w:tcPr>
          <w:p w14:paraId="045B2D6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eastAsia="zh-CN"/>
              </w:rPr>
            </w:pPr>
          </w:p>
        </w:tc>
      </w:tr>
      <w:tr w14:paraId="2B902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pct"/>
            <w:tcBorders>
              <w:tl2br w:val="nil"/>
              <w:tr2bl w:val="nil"/>
            </w:tcBorders>
            <w:noWrap w:val="0"/>
            <w:vAlign w:val="center"/>
          </w:tcPr>
          <w:p w14:paraId="175543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801" w:type="pct"/>
            <w:tcBorders>
              <w:tl2br w:val="nil"/>
              <w:tr2bl w:val="nil"/>
            </w:tcBorders>
            <w:noWrap w:val="0"/>
            <w:vAlign w:val="center"/>
          </w:tcPr>
          <w:p w14:paraId="0A70B0E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822" w:type="pct"/>
            <w:tcBorders>
              <w:tl2br w:val="nil"/>
              <w:tr2bl w:val="nil"/>
            </w:tcBorders>
            <w:noWrap w:val="0"/>
            <w:vAlign w:val="center"/>
          </w:tcPr>
          <w:p w14:paraId="460B44D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897" w:type="pct"/>
            <w:tcBorders>
              <w:tl2br w:val="nil"/>
              <w:tr2bl w:val="nil"/>
            </w:tcBorders>
            <w:noWrap w:val="0"/>
            <w:vAlign w:val="center"/>
          </w:tcPr>
          <w:p w14:paraId="4C9DC6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w:t>
            </w:r>
            <w:r>
              <w:rPr>
                <w:rFonts w:hint="default" w:ascii="Times New Roman" w:hAnsi="Times New Roman" w:cs="Times New Roman"/>
                <w:color w:val="auto"/>
                <w:sz w:val="21"/>
                <w:szCs w:val="21"/>
                <w:highlight w:val="none"/>
                <w:lang w:val="en-US" w:eastAsia="zh-CN"/>
              </w:rPr>
              <w:t>季度</w:t>
            </w:r>
          </w:p>
        </w:tc>
        <w:tc>
          <w:tcPr>
            <w:tcW w:w="2071" w:type="pct"/>
            <w:tcBorders>
              <w:tl2br w:val="nil"/>
              <w:tr2bl w:val="nil"/>
            </w:tcBorders>
            <w:noWrap w:val="0"/>
            <w:vAlign w:val="center"/>
          </w:tcPr>
          <w:p w14:paraId="51C502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《工业企业厂界环境噪声排放标准》（GB12348-2008）中3类</w:t>
            </w:r>
          </w:p>
        </w:tc>
      </w:tr>
    </w:tbl>
    <w:p w14:paraId="345D603E">
      <w:pPr>
        <w:pStyle w:val="4"/>
        <w:pageBreakBefore w:val="0"/>
        <w:wordWrap/>
        <w:topLinePunct w:val="0"/>
        <w:bidi w:val="0"/>
        <w:adjustRightInd w:val="0"/>
        <w:snapToGrid w:val="0"/>
        <w:ind w:left="0" w:leftChars="0" w:right="0" w:firstLine="562"/>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8.2.2环境质量监测计划</w:t>
      </w:r>
    </w:p>
    <w:p w14:paraId="0A7B264B">
      <w:pPr>
        <w:pageBreakBefore w:val="0"/>
        <w:wordWrap/>
        <w:topLinePunct w:val="0"/>
        <w:bidi w:val="0"/>
        <w:adjustRightInd w:val="0"/>
        <w:snapToGrid w:val="0"/>
        <w:ind w:left="0" w:leftChars="0" w:firstLine="48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Cs w:val="24"/>
          <w:highlight w:val="none"/>
        </w:rPr>
        <w:t>根据周围敏感区域分布以及评价等级要求，本项目环境质量监测计划见表8.2-2。</w:t>
      </w:r>
    </w:p>
    <w:p w14:paraId="1C8B9A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表8.2-2　环境质量监测计划表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246"/>
        <w:gridCol w:w="1231"/>
        <w:gridCol w:w="1174"/>
        <w:gridCol w:w="3586"/>
      </w:tblGrid>
      <w:tr w14:paraId="5DEBD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noWrap w:val="0"/>
            <w:vAlign w:val="center"/>
          </w:tcPr>
          <w:p w14:paraId="473A36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1255" w:type="pct"/>
            <w:tcBorders>
              <w:tl2br w:val="nil"/>
              <w:tr2bl w:val="nil"/>
            </w:tcBorders>
            <w:noWrap w:val="0"/>
            <w:vAlign w:val="center"/>
          </w:tcPr>
          <w:p w14:paraId="2ABC99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监测点位置</w:t>
            </w:r>
          </w:p>
        </w:tc>
        <w:tc>
          <w:tcPr>
            <w:tcW w:w="688" w:type="pct"/>
            <w:tcBorders>
              <w:tl2br w:val="nil"/>
              <w:tr2bl w:val="nil"/>
            </w:tcBorders>
            <w:noWrap w:val="0"/>
            <w:vAlign w:val="center"/>
          </w:tcPr>
          <w:p w14:paraId="048376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656" w:type="pct"/>
            <w:tcBorders>
              <w:tl2br w:val="nil"/>
              <w:tr2bl w:val="nil"/>
            </w:tcBorders>
            <w:noWrap w:val="0"/>
            <w:vAlign w:val="center"/>
          </w:tcPr>
          <w:p w14:paraId="717626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监测频率</w:t>
            </w:r>
          </w:p>
        </w:tc>
        <w:tc>
          <w:tcPr>
            <w:tcW w:w="2004" w:type="pct"/>
            <w:tcBorders>
              <w:tl2br w:val="nil"/>
              <w:tr2bl w:val="nil"/>
            </w:tcBorders>
            <w:noWrap w:val="0"/>
            <w:vAlign w:val="center"/>
          </w:tcPr>
          <w:p w14:paraId="4B2FE4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控制指标</w:t>
            </w:r>
          </w:p>
        </w:tc>
      </w:tr>
      <w:tr w14:paraId="31821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5" w:type="pct"/>
            <w:tcBorders>
              <w:tl2br w:val="nil"/>
              <w:tr2bl w:val="nil"/>
            </w:tcBorders>
            <w:noWrap w:val="0"/>
            <w:vAlign w:val="center"/>
          </w:tcPr>
          <w:p w14:paraId="7CB41E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地下水环境</w:t>
            </w:r>
          </w:p>
        </w:tc>
        <w:tc>
          <w:tcPr>
            <w:tcW w:w="1255" w:type="pct"/>
            <w:tcBorders>
              <w:tl2br w:val="nil"/>
              <w:tr2bl w:val="nil"/>
            </w:tcBorders>
            <w:noWrap w:val="0"/>
            <w:vAlign w:val="center"/>
          </w:tcPr>
          <w:p w14:paraId="2DB22E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矿区上游对照井（1#），</w:t>
            </w:r>
            <w:r>
              <w:rPr>
                <w:rFonts w:hint="eastAsia" w:ascii="Times New Roman" w:hAnsi="Times New Roman" w:eastAsia="宋体" w:cs="Times New Roman"/>
                <w:color w:val="auto"/>
                <w:sz w:val="21"/>
                <w:szCs w:val="21"/>
                <w:highlight w:val="none"/>
                <w:lang w:val="en-US" w:eastAsia="zh-CN"/>
              </w:rPr>
              <w:t>厂区</w:t>
            </w:r>
            <w:r>
              <w:rPr>
                <w:rFonts w:hint="default" w:ascii="Times New Roman" w:hAnsi="Times New Roman" w:eastAsia="宋体" w:cs="Times New Roman"/>
                <w:color w:val="auto"/>
                <w:sz w:val="21"/>
                <w:szCs w:val="21"/>
                <w:highlight w:val="none"/>
                <w:lang w:val="en-US" w:eastAsia="zh-CN"/>
              </w:rPr>
              <w:t>下游设置扩散井（2#、3#）</w:t>
            </w:r>
          </w:p>
        </w:tc>
        <w:tc>
          <w:tcPr>
            <w:tcW w:w="688" w:type="pct"/>
            <w:tcBorders>
              <w:tl2br w:val="nil"/>
              <w:tr2bl w:val="nil"/>
            </w:tcBorders>
            <w:noWrap w:val="0"/>
            <w:vAlign w:val="center"/>
          </w:tcPr>
          <w:p w14:paraId="3D9C75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砷</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铜</w:t>
            </w:r>
          </w:p>
        </w:tc>
        <w:tc>
          <w:tcPr>
            <w:tcW w:w="656" w:type="pct"/>
            <w:tcBorders>
              <w:tl2br w:val="nil"/>
              <w:tr2bl w:val="nil"/>
            </w:tcBorders>
            <w:noWrap w:val="0"/>
            <w:vAlign w:val="center"/>
          </w:tcPr>
          <w:p w14:paraId="047F50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val="en-US" w:eastAsia="zh-CN"/>
              </w:rPr>
              <w:t>a</w:t>
            </w:r>
          </w:p>
        </w:tc>
        <w:tc>
          <w:tcPr>
            <w:tcW w:w="2004" w:type="pct"/>
            <w:tcBorders>
              <w:tl2br w:val="nil"/>
              <w:tr2bl w:val="nil"/>
            </w:tcBorders>
            <w:noWrap w:val="0"/>
            <w:vAlign w:val="center"/>
          </w:tcPr>
          <w:p w14:paraId="2B6311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《地下水质量标准》（GB/T14848-2017）的Ⅲ类标准</w:t>
            </w:r>
          </w:p>
        </w:tc>
      </w:tr>
      <w:tr w14:paraId="1A6D4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5" w:type="pct"/>
            <w:tcBorders>
              <w:tl2br w:val="nil"/>
              <w:tr2bl w:val="nil"/>
            </w:tcBorders>
            <w:noWrap w:val="0"/>
            <w:vAlign w:val="center"/>
          </w:tcPr>
          <w:p w14:paraId="332BE0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声环境</w:t>
            </w:r>
          </w:p>
        </w:tc>
        <w:tc>
          <w:tcPr>
            <w:tcW w:w="1255" w:type="pct"/>
            <w:tcBorders>
              <w:tl2br w:val="nil"/>
              <w:tr2bl w:val="nil"/>
            </w:tcBorders>
            <w:noWrap w:val="0"/>
            <w:vAlign w:val="center"/>
          </w:tcPr>
          <w:p w14:paraId="5580AF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688" w:type="pct"/>
            <w:tcBorders>
              <w:tl2br w:val="nil"/>
              <w:tr2bl w:val="nil"/>
            </w:tcBorders>
            <w:noWrap w:val="0"/>
            <w:vAlign w:val="center"/>
          </w:tcPr>
          <w:p w14:paraId="251558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656" w:type="pct"/>
            <w:tcBorders>
              <w:tl2br w:val="nil"/>
              <w:tr2bl w:val="nil"/>
            </w:tcBorders>
            <w:noWrap w:val="0"/>
            <w:vAlign w:val="center"/>
          </w:tcPr>
          <w:p w14:paraId="1EAF10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eastAsia="zh-CN"/>
              </w:rPr>
              <w:t>季度</w:t>
            </w:r>
          </w:p>
        </w:tc>
        <w:tc>
          <w:tcPr>
            <w:tcW w:w="2004" w:type="pct"/>
            <w:tcBorders>
              <w:tl2br w:val="nil"/>
              <w:tr2bl w:val="nil"/>
            </w:tcBorders>
            <w:noWrap w:val="0"/>
            <w:vAlign w:val="center"/>
          </w:tcPr>
          <w:p w14:paraId="117FCF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《声环境质量标准》（GB3096-2008）3类声环境功能区</w:t>
            </w:r>
          </w:p>
        </w:tc>
      </w:tr>
      <w:tr w14:paraId="1854A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395" w:type="pct"/>
            <w:tcBorders>
              <w:tl2br w:val="nil"/>
              <w:tr2bl w:val="nil"/>
            </w:tcBorders>
            <w:noWrap w:val="0"/>
            <w:vAlign w:val="center"/>
          </w:tcPr>
          <w:p w14:paraId="555520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w:t>
            </w:r>
          </w:p>
          <w:p w14:paraId="4BE867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tc>
        <w:tc>
          <w:tcPr>
            <w:tcW w:w="1255" w:type="pct"/>
            <w:tcBorders>
              <w:tl2br w:val="nil"/>
              <w:tr2bl w:val="nil"/>
            </w:tcBorders>
            <w:noWrap w:val="0"/>
            <w:vAlign w:val="center"/>
          </w:tcPr>
          <w:p w14:paraId="6686C6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周边环境</w:t>
            </w:r>
          </w:p>
        </w:tc>
        <w:tc>
          <w:tcPr>
            <w:tcW w:w="688" w:type="pct"/>
            <w:tcBorders>
              <w:tl2br w:val="nil"/>
              <w:tr2bl w:val="nil"/>
            </w:tcBorders>
            <w:noWrap w:val="0"/>
            <w:vAlign w:val="center"/>
          </w:tcPr>
          <w:p w14:paraId="71C8B3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铜、砷</w:t>
            </w:r>
          </w:p>
        </w:tc>
        <w:tc>
          <w:tcPr>
            <w:tcW w:w="656" w:type="pct"/>
            <w:tcBorders>
              <w:tl2br w:val="nil"/>
              <w:tr2bl w:val="nil"/>
            </w:tcBorders>
            <w:noWrap w:val="0"/>
            <w:vAlign w:val="center"/>
          </w:tcPr>
          <w:p w14:paraId="4C1622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val="en-US" w:eastAsia="zh-CN"/>
              </w:rPr>
              <w:t>a</w:t>
            </w:r>
          </w:p>
        </w:tc>
        <w:tc>
          <w:tcPr>
            <w:tcW w:w="2004" w:type="pct"/>
            <w:tcBorders>
              <w:tl2br w:val="nil"/>
              <w:tr2bl w:val="nil"/>
            </w:tcBorders>
            <w:noWrap w:val="0"/>
            <w:vAlign w:val="center"/>
          </w:tcPr>
          <w:p w14:paraId="56A5D2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《土壤环境质量建设用地土壤污染风险管控标准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试行</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GB36600-2018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中的第二类用地筛选值</w:t>
            </w:r>
          </w:p>
        </w:tc>
      </w:tr>
    </w:tbl>
    <w:p w14:paraId="5A61C39E">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44" w:name="_Toc10826"/>
      <w:bookmarkStart w:id="345" w:name="_Toc18064"/>
      <w:r>
        <w:rPr>
          <w:rFonts w:hint="default" w:ascii="Times New Roman" w:hAnsi="Times New Roman" w:eastAsia="宋体" w:cs="Times New Roman"/>
          <w:color w:val="auto"/>
          <w:highlight w:val="none"/>
        </w:rPr>
        <w:t>8.3 污染物排放清单</w:t>
      </w:r>
      <w:bookmarkEnd w:id="344"/>
      <w:bookmarkEnd w:id="345"/>
    </w:p>
    <w:p w14:paraId="22A6F95D">
      <w:pPr>
        <w:pageBreakBefore w:val="0"/>
        <w:wordWrap/>
        <w:topLinePunct w:val="0"/>
        <w:autoSpaceDE w:val="0"/>
        <w:autoSpaceDN w:val="0"/>
        <w:bidi w:val="0"/>
        <w:adjustRightInd w:val="0"/>
        <w:snapToGrid w:val="0"/>
        <w:ind w:left="0" w:leftChars="0" w:firstLine="480" w:firstLineChars="200"/>
        <w:rPr>
          <w:rFonts w:hint="default" w:ascii="Times New Roman" w:hAnsi="Times New Roman" w:eastAsia="黑体" w:cs="Times New Roman"/>
          <w:color w:val="auto"/>
          <w:sz w:val="21"/>
          <w:highlight w:val="none"/>
        </w:rPr>
      </w:pPr>
      <w:r>
        <w:rPr>
          <w:rFonts w:hint="default" w:ascii="Times New Roman" w:hAnsi="Times New Roman" w:cs="Times New Roman"/>
          <w:bCs/>
          <w:color w:val="auto"/>
          <w:kern w:val="0"/>
          <w:szCs w:val="24"/>
          <w:highlight w:val="none"/>
        </w:rPr>
        <w:t>根据工程分析及环境治理措施，对本次环评污染物排放源及排放量进行梳理，形成污染</w:t>
      </w:r>
      <w:r>
        <w:rPr>
          <w:rFonts w:hint="default" w:ascii="Times New Roman" w:hAnsi="Times New Roman" w:cs="Times New Roman"/>
          <w:bCs/>
          <w:color w:val="auto"/>
          <w:kern w:val="0"/>
          <w:szCs w:val="24"/>
          <w:highlight w:val="none"/>
          <w:lang w:eastAsia="zh-CN"/>
        </w:rPr>
        <w:t>物</w:t>
      </w:r>
      <w:r>
        <w:rPr>
          <w:rFonts w:hint="default" w:ascii="Times New Roman" w:hAnsi="Times New Roman" w:cs="Times New Roman"/>
          <w:bCs/>
          <w:color w:val="auto"/>
          <w:kern w:val="0"/>
          <w:szCs w:val="24"/>
          <w:highlight w:val="none"/>
        </w:rPr>
        <w:t>排放清单，见表8.</w:t>
      </w:r>
      <w:r>
        <w:rPr>
          <w:rFonts w:hint="eastAsia" w:ascii="Times New Roman" w:hAnsi="Times New Roman" w:cs="Times New Roman"/>
          <w:bCs/>
          <w:color w:val="auto"/>
          <w:kern w:val="0"/>
          <w:szCs w:val="24"/>
          <w:highlight w:val="none"/>
          <w:lang w:val="en-US" w:eastAsia="zh-CN"/>
        </w:rPr>
        <w:t>3</w:t>
      </w:r>
      <w:r>
        <w:rPr>
          <w:rFonts w:hint="default" w:ascii="Times New Roman" w:hAnsi="Times New Roman" w:cs="Times New Roman"/>
          <w:bCs/>
          <w:color w:val="auto"/>
          <w:kern w:val="0"/>
          <w:szCs w:val="24"/>
          <w:highlight w:val="none"/>
        </w:rPr>
        <w:t>-</w:t>
      </w:r>
      <w:r>
        <w:rPr>
          <w:rFonts w:hint="eastAsia" w:ascii="Times New Roman" w:hAnsi="Times New Roman" w:cs="Times New Roman"/>
          <w:bCs/>
          <w:color w:val="auto"/>
          <w:kern w:val="0"/>
          <w:szCs w:val="24"/>
          <w:highlight w:val="none"/>
          <w:lang w:val="en-US" w:eastAsia="zh-CN"/>
        </w:rPr>
        <w:t>1</w:t>
      </w:r>
      <w:r>
        <w:rPr>
          <w:rFonts w:hint="default" w:ascii="Times New Roman" w:hAnsi="Times New Roman" w:cs="Times New Roman"/>
          <w:bCs/>
          <w:color w:val="auto"/>
          <w:kern w:val="0"/>
          <w:szCs w:val="24"/>
          <w:highlight w:val="none"/>
        </w:rPr>
        <w:t>。</w:t>
      </w:r>
    </w:p>
    <w:p w14:paraId="63F214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表8.</w:t>
      </w:r>
      <w:r>
        <w:rPr>
          <w:rFonts w:hint="eastAsia" w:ascii="Times New Roman" w:hAnsi="Times New Roman" w:eastAsia="宋体" w:cs="Times New Roman"/>
          <w:b/>
          <w:bCs/>
          <w:color w:val="auto"/>
          <w:spacing w:val="0"/>
          <w:sz w:val="21"/>
          <w:szCs w:val="21"/>
          <w:highlight w:val="none"/>
          <w:lang w:val="en-US" w:eastAsia="zh-CN"/>
        </w:rPr>
        <w:t>3-1</w:t>
      </w:r>
      <w:r>
        <w:rPr>
          <w:rFonts w:hint="default" w:ascii="Times New Roman" w:hAnsi="Times New Roman" w:eastAsia="宋体" w:cs="Times New Roman"/>
          <w:b/>
          <w:bCs/>
          <w:color w:val="auto"/>
          <w:spacing w:val="0"/>
          <w:sz w:val="21"/>
          <w:szCs w:val="21"/>
          <w:highlight w:val="none"/>
        </w:rPr>
        <w:t>　　污染</w:t>
      </w:r>
      <w:r>
        <w:rPr>
          <w:rFonts w:hint="default" w:ascii="Times New Roman" w:hAnsi="Times New Roman" w:eastAsia="宋体" w:cs="Times New Roman"/>
          <w:b/>
          <w:bCs/>
          <w:color w:val="auto"/>
          <w:spacing w:val="0"/>
          <w:sz w:val="21"/>
          <w:szCs w:val="21"/>
          <w:highlight w:val="none"/>
          <w:lang w:eastAsia="zh-CN"/>
        </w:rPr>
        <w:t>物</w:t>
      </w:r>
      <w:r>
        <w:rPr>
          <w:rFonts w:hint="default" w:ascii="Times New Roman" w:hAnsi="Times New Roman" w:eastAsia="宋体" w:cs="Times New Roman"/>
          <w:b/>
          <w:bCs/>
          <w:color w:val="auto"/>
          <w:spacing w:val="0"/>
          <w:sz w:val="21"/>
          <w:szCs w:val="21"/>
          <w:highlight w:val="none"/>
        </w:rPr>
        <w:t>排放清单</w:t>
      </w:r>
    </w:p>
    <w:tbl>
      <w:tblPr>
        <w:tblStyle w:val="3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3"/>
        <w:gridCol w:w="1023"/>
        <w:gridCol w:w="1629"/>
        <w:gridCol w:w="1156"/>
        <w:gridCol w:w="2157"/>
        <w:gridCol w:w="2161"/>
      </w:tblGrid>
      <w:tr w14:paraId="12E028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931" w:type="pct"/>
            <w:gridSpan w:val="2"/>
            <w:tcBorders>
              <w:tl2br w:val="nil"/>
              <w:tr2bl w:val="nil"/>
            </w:tcBorders>
            <w:vAlign w:val="center"/>
          </w:tcPr>
          <w:p w14:paraId="1FC21B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bookmarkStart w:id="346" w:name="_Toc16032"/>
            <w:bookmarkStart w:id="347" w:name="_Toc12812"/>
            <w:bookmarkStart w:id="348" w:name="_Hlk149988796"/>
            <w:r>
              <w:rPr>
                <w:rFonts w:hint="default" w:ascii="Times New Roman" w:hAnsi="Times New Roman" w:eastAsia="宋体" w:cs="Times New Roman"/>
                <w:b/>
                <w:bCs/>
                <w:color w:val="auto"/>
                <w:sz w:val="21"/>
                <w:szCs w:val="21"/>
                <w:highlight w:val="none"/>
              </w:rPr>
              <w:t>种类</w:t>
            </w:r>
          </w:p>
        </w:tc>
        <w:tc>
          <w:tcPr>
            <w:tcW w:w="933" w:type="pct"/>
            <w:tcBorders>
              <w:tl2br w:val="nil"/>
              <w:tr2bl w:val="nil"/>
            </w:tcBorders>
            <w:vAlign w:val="center"/>
          </w:tcPr>
          <w:p w14:paraId="3B399F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662" w:type="pct"/>
            <w:tcBorders>
              <w:tl2br w:val="nil"/>
              <w:tr2bl w:val="nil"/>
            </w:tcBorders>
            <w:vAlign w:val="center"/>
          </w:tcPr>
          <w:p w14:paraId="14EC56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tc>
        <w:tc>
          <w:tcPr>
            <w:tcW w:w="1235" w:type="pct"/>
            <w:tcBorders>
              <w:tl2br w:val="nil"/>
              <w:tr2bl w:val="nil"/>
            </w:tcBorders>
            <w:vAlign w:val="center"/>
          </w:tcPr>
          <w:p w14:paraId="39CFA3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p>
        </w:tc>
        <w:tc>
          <w:tcPr>
            <w:tcW w:w="1237" w:type="pct"/>
            <w:tcBorders>
              <w:tl2br w:val="nil"/>
              <w:tr2bl w:val="nil"/>
            </w:tcBorders>
            <w:vAlign w:val="center"/>
          </w:tcPr>
          <w:p w14:paraId="360E07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处理方式</w:t>
            </w:r>
          </w:p>
        </w:tc>
      </w:tr>
      <w:tr w14:paraId="0B526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restart"/>
            <w:tcBorders>
              <w:tl2br w:val="nil"/>
              <w:tr2bl w:val="nil"/>
            </w:tcBorders>
            <w:vAlign w:val="center"/>
          </w:tcPr>
          <w:p w14:paraId="6D6AB6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585" w:type="pct"/>
            <w:tcBorders>
              <w:tl2br w:val="nil"/>
              <w:tr2bl w:val="nil"/>
            </w:tcBorders>
            <w:vAlign w:val="center"/>
          </w:tcPr>
          <w:p w14:paraId="3AE5BB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排气筒废气</w:t>
            </w:r>
          </w:p>
        </w:tc>
        <w:tc>
          <w:tcPr>
            <w:tcW w:w="933" w:type="pct"/>
            <w:tcBorders>
              <w:tl2br w:val="nil"/>
              <w:tr2bl w:val="nil"/>
            </w:tcBorders>
            <w:vAlign w:val="center"/>
          </w:tcPr>
          <w:p w14:paraId="44B773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62" w:type="pct"/>
            <w:tcBorders>
              <w:tl2br w:val="nil"/>
              <w:tr2bl w:val="nil"/>
            </w:tcBorders>
            <w:vAlign w:val="center"/>
          </w:tcPr>
          <w:p w14:paraId="05C73B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118.75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535441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1.19t</w:t>
            </w:r>
          </w:p>
        </w:tc>
        <w:tc>
          <w:tcPr>
            <w:tcW w:w="1237" w:type="pct"/>
            <w:vMerge w:val="restart"/>
            <w:tcBorders>
              <w:tl2br w:val="nil"/>
              <w:tr2bl w:val="nil"/>
            </w:tcBorders>
            <w:vAlign w:val="center"/>
          </w:tcPr>
          <w:p w14:paraId="17D588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w:t>
            </w:r>
          </w:p>
        </w:tc>
      </w:tr>
      <w:tr w14:paraId="61F9BC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461990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72C8EE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rPr>
              <w:t>排气筒废气</w:t>
            </w:r>
          </w:p>
        </w:tc>
        <w:tc>
          <w:tcPr>
            <w:tcW w:w="933" w:type="pct"/>
            <w:tcBorders>
              <w:tl2br w:val="nil"/>
              <w:tr2bl w:val="nil"/>
            </w:tcBorders>
            <w:vAlign w:val="center"/>
          </w:tcPr>
          <w:p w14:paraId="7F763C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62" w:type="pct"/>
            <w:tcBorders>
              <w:tl2br w:val="nil"/>
              <w:tr2bl w:val="nil"/>
            </w:tcBorders>
            <w:vAlign w:val="center"/>
          </w:tcPr>
          <w:p w14:paraId="0B33EE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356.26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0C3614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3.56t</w:t>
            </w:r>
          </w:p>
        </w:tc>
        <w:tc>
          <w:tcPr>
            <w:tcW w:w="1237" w:type="pct"/>
            <w:vMerge w:val="continue"/>
            <w:tcBorders>
              <w:tl2br w:val="nil"/>
              <w:tr2bl w:val="nil"/>
            </w:tcBorders>
            <w:vAlign w:val="center"/>
          </w:tcPr>
          <w:p w14:paraId="171FC1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r>
      <w:tr w14:paraId="74423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36535B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02A00C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DA003排气筒</w:t>
            </w:r>
          </w:p>
        </w:tc>
        <w:tc>
          <w:tcPr>
            <w:tcW w:w="933" w:type="pct"/>
            <w:tcBorders>
              <w:tl2br w:val="nil"/>
              <w:tr2bl w:val="nil"/>
            </w:tcBorders>
            <w:vAlign w:val="center"/>
          </w:tcPr>
          <w:p w14:paraId="758148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662" w:type="pct"/>
            <w:tcBorders>
              <w:tl2br w:val="nil"/>
              <w:tr2bl w:val="nil"/>
            </w:tcBorders>
            <w:vAlign w:val="center"/>
          </w:tcPr>
          <w:p w14:paraId="6DE848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0.072</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49A76D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0.016</w:t>
            </w:r>
            <w:r>
              <w:rPr>
                <w:rFonts w:hint="default" w:ascii="Times New Roman" w:hAnsi="Times New Roman" w:eastAsia="宋体" w:cs="Times New Roman"/>
                <w:color w:val="auto"/>
                <w:sz w:val="21"/>
                <w:szCs w:val="21"/>
                <w:highlight w:val="none"/>
                <w:lang w:val="en-US" w:eastAsia="zh-CN"/>
              </w:rPr>
              <w:t>t</w:t>
            </w:r>
          </w:p>
        </w:tc>
        <w:tc>
          <w:tcPr>
            <w:tcW w:w="1237" w:type="pct"/>
            <w:tcBorders>
              <w:tl2br w:val="nil"/>
              <w:tr2bl w:val="nil"/>
            </w:tcBorders>
            <w:vAlign w:val="center"/>
          </w:tcPr>
          <w:p w14:paraId="5AD3BF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碱液吸收塔+15m高排气筒排放</w:t>
            </w:r>
          </w:p>
        </w:tc>
      </w:tr>
      <w:tr w14:paraId="417414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089371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restart"/>
            <w:tcBorders>
              <w:tl2br w:val="nil"/>
              <w:tr2bl w:val="nil"/>
            </w:tcBorders>
            <w:vAlign w:val="center"/>
          </w:tcPr>
          <w:p w14:paraId="75EE02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p w14:paraId="52DD99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933" w:type="pct"/>
            <w:tcBorders>
              <w:tl2br w:val="nil"/>
              <w:tr2bl w:val="nil"/>
            </w:tcBorders>
            <w:vAlign w:val="center"/>
          </w:tcPr>
          <w:p w14:paraId="293768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硫酸雾</w:t>
            </w:r>
          </w:p>
        </w:tc>
        <w:tc>
          <w:tcPr>
            <w:tcW w:w="662" w:type="pct"/>
            <w:tcBorders>
              <w:tl2br w:val="nil"/>
              <w:tr2bl w:val="nil"/>
            </w:tcBorders>
            <w:vAlign w:val="center"/>
          </w:tcPr>
          <w:p w14:paraId="37210E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3E7679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0.144</w:t>
            </w:r>
            <w:r>
              <w:rPr>
                <w:rFonts w:hint="default" w:ascii="Times New Roman" w:hAnsi="Times New Roman" w:eastAsia="宋体" w:cs="Times New Roman"/>
                <w:color w:val="auto"/>
                <w:sz w:val="21"/>
                <w:szCs w:val="21"/>
                <w:highlight w:val="none"/>
                <w:lang w:val="en-US" w:eastAsia="zh-CN"/>
              </w:rPr>
              <w:t>t</w:t>
            </w:r>
          </w:p>
        </w:tc>
        <w:tc>
          <w:tcPr>
            <w:tcW w:w="1237" w:type="pct"/>
            <w:tcBorders>
              <w:tl2br w:val="nil"/>
              <w:tr2bl w:val="nil"/>
            </w:tcBorders>
            <w:vAlign w:val="center"/>
          </w:tcPr>
          <w:p w14:paraId="14FDDB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加强管理</w:t>
            </w:r>
            <w:r>
              <w:rPr>
                <w:rFonts w:hint="eastAsia" w:cs="Times New Roman"/>
                <w:color w:val="auto"/>
                <w:sz w:val="21"/>
                <w:szCs w:val="21"/>
                <w:highlight w:val="none"/>
                <w:lang w:val="en-US" w:eastAsia="zh-CN"/>
              </w:rPr>
              <w:t>，</w:t>
            </w:r>
            <w:r>
              <w:rPr>
                <w:rFonts w:hint="eastAsia" w:ascii="Times New Roman" w:hAnsi="Times New Roman" w:cs="Times New Roman"/>
                <w:b w:val="0"/>
                <w:bCs w:val="0"/>
                <w:snapToGrid/>
                <w:color w:val="auto"/>
                <w:kern w:val="2"/>
                <w:sz w:val="21"/>
                <w:szCs w:val="21"/>
                <w:highlight w:val="none"/>
                <w:lang w:val="en-US" w:eastAsia="zh-CN"/>
              </w:rPr>
              <w:t>车间通风，添加酸雾抑制剂</w:t>
            </w:r>
          </w:p>
        </w:tc>
      </w:tr>
      <w:tr w14:paraId="4A8F8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continue"/>
            <w:tcBorders>
              <w:tl2br w:val="nil"/>
              <w:tr2bl w:val="nil"/>
            </w:tcBorders>
            <w:vAlign w:val="center"/>
          </w:tcPr>
          <w:p w14:paraId="18441D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1B379C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42D372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TSP</w:t>
            </w:r>
          </w:p>
        </w:tc>
        <w:tc>
          <w:tcPr>
            <w:tcW w:w="662" w:type="pct"/>
            <w:tcBorders>
              <w:tl2br w:val="nil"/>
              <w:tr2bl w:val="nil"/>
            </w:tcBorders>
            <w:vAlign w:val="center"/>
          </w:tcPr>
          <w:p w14:paraId="2002B9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141.68</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527EB2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32.93</w:t>
            </w:r>
            <w:r>
              <w:rPr>
                <w:rFonts w:hint="default" w:ascii="Times New Roman" w:hAnsi="Times New Roman" w:eastAsia="宋体" w:cs="Times New Roman"/>
                <w:color w:val="auto"/>
                <w:sz w:val="21"/>
                <w:szCs w:val="21"/>
                <w:highlight w:val="none"/>
                <w:lang w:val="en-US" w:eastAsia="zh-CN"/>
              </w:rPr>
              <w:t>t</w:t>
            </w:r>
          </w:p>
        </w:tc>
        <w:tc>
          <w:tcPr>
            <w:tcW w:w="1237" w:type="pct"/>
            <w:tcBorders>
              <w:tl2br w:val="nil"/>
              <w:tr2bl w:val="nil"/>
            </w:tcBorders>
            <w:vAlign w:val="center"/>
          </w:tcPr>
          <w:p w14:paraId="01303A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洒水降尘</w:t>
            </w:r>
          </w:p>
        </w:tc>
      </w:tr>
      <w:tr w14:paraId="5055AB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continue"/>
            <w:tcBorders>
              <w:tl2br w:val="nil"/>
              <w:tr2bl w:val="nil"/>
            </w:tcBorders>
            <w:vAlign w:val="center"/>
          </w:tcPr>
          <w:p w14:paraId="7DC7DE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526D10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2727F0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662" w:type="pct"/>
            <w:tcBorders>
              <w:tl2br w:val="nil"/>
              <w:tr2bl w:val="nil"/>
            </w:tcBorders>
            <w:vAlign w:val="center"/>
          </w:tcPr>
          <w:p w14:paraId="6E4C07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6312F1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0.015</w:t>
            </w:r>
            <w:r>
              <w:rPr>
                <w:rFonts w:hint="default" w:ascii="Times New Roman" w:hAnsi="Times New Roman" w:eastAsia="宋体" w:cs="Times New Roman"/>
                <w:color w:val="auto"/>
                <w:sz w:val="21"/>
                <w:szCs w:val="21"/>
                <w:highlight w:val="none"/>
                <w:lang w:val="en-US" w:eastAsia="zh-CN"/>
              </w:rPr>
              <w:t>t</w:t>
            </w:r>
          </w:p>
        </w:tc>
        <w:tc>
          <w:tcPr>
            <w:tcW w:w="1237" w:type="pct"/>
            <w:tcBorders>
              <w:tl2br w:val="nil"/>
              <w:tr2bl w:val="nil"/>
            </w:tcBorders>
            <w:vAlign w:val="center"/>
          </w:tcPr>
          <w:p w14:paraId="20470C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r>
      <w:tr w14:paraId="6223FD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345" w:type="pct"/>
            <w:vMerge w:val="restart"/>
            <w:tcBorders>
              <w:tl2br w:val="nil"/>
              <w:tr2bl w:val="nil"/>
            </w:tcBorders>
            <w:vAlign w:val="center"/>
          </w:tcPr>
          <w:p w14:paraId="7D0C04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585" w:type="pct"/>
            <w:tcBorders>
              <w:tl2br w:val="nil"/>
              <w:tr2bl w:val="nil"/>
            </w:tcBorders>
            <w:vAlign w:val="center"/>
          </w:tcPr>
          <w:p w14:paraId="04BDE8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w:t>
            </w:r>
          </w:p>
        </w:tc>
        <w:tc>
          <w:tcPr>
            <w:tcW w:w="933" w:type="pct"/>
            <w:tcBorders>
              <w:tl2br w:val="nil"/>
              <w:tr2bl w:val="nil"/>
            </w:tcBorders>
            <w:vAlign w:val="center"/>
          </w:tcPr>
          <w:p w14:paraId="3799A9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主要污染物为pH、</w:t>
            </w:r>
            <w:r>
              <w:rPr>
                <w:rFonts w:hint="default" w:ascii="Times New Roman" w:hAnsi="Times New Roman" w:eastAsia="宋体" w:cs="Times New Roman"/>
                <w:color w:val="auto"/>
                <w:sz w:val="21"/>
                <w:szCs w:val="21"/>
                <w:highlight w:val="none"/>
                <w:lang w:val="en-US" w:eastAsia="zh-CN"/>
              </w:rPr>
              <w:t>COD、Cu</w:t>
            </w:r>
            <w:r>
              <w:rPr>
                <w:rFonts w:hint="default" w:ascii="Times New Roman" w:hAnsi="Times New Roman" w:eastAsia="宋体" w:cs="Times New Roman"/>
                <w:color w:val="auto"/>
                <w:sz w:val="21"/>
                <w:szCs w:val="21"/>
                <w:highlight w:val="none"/>
              </w:rPr>
              <w:t>等</w:t>
            </w:r>
          </w:p>
        </w:tc>
        <w:tc>
          <w:tcPr>
            <w:tcW w:w="662" w:type="pct"/>
            <w:tcBorders>
              <w:tl2br w:val="nil"/>
              <w:tr2bl w:val="nil"/>
            </w:tcBorders>
            <w:vAlign w:val="center"/>
          </w:tcPr>
          <w:p w14:paraId="646D83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0</w:t>
            </w:r>
          </w:p>
        </w:tc>
        <w:tc>
          <w:tcPr>
            <w:tcW w:w="1235" w:type="pct"/>
            <w:tcBorders>
              <w:tl2br w:val="nil"/>
              <w:tr2bl w:val="nil"/>
            </w:tcBorders>
            <w:vAlign w:val="center"/>
          </w:tcPr>
          <w:p w14:paraId="474867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5BFA18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本工艺</w:t>
            </w:r>
            <w:r>
              <w:rPr>
                <w:rFonts w:hint="eastAsia" w:cs="Times New Roman"/>
                <w:color w:val="auto"/>
                <w:sz w:val="21"/>
                <w:szCs w:val="21"/>
                <w:highlight w:val="none"/>
                <w:lang w:eastAsia="zh-CN"/>
              </w:rPr>
              <w:t>属于</w:t>
            </w:r>
            <w:r>
              <w:rPr>
                <w:rFonts w:hint="default" w:ascii="Times New Roman" w:hAnsi="Times New Roman" w:eastAsia="宋体" w:cs="Times New Roman"/>
                <w:color w:val="auto"/>
                <w:sz w:val="21"/>
                <w:szCs w:val="21"/>
                <w:highlight w:val="none"/>
              </w:rPr>
              <w:t>闭路循环系统，无废水排放</w:t>
            </w:r>
          </w:p>
        </w:tc>
      </w:tr>
      <w:tr w14:paraId="79D297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648D40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38E344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职工生活污水</w:t>
            </w:r>
          </w:p>
        </w:tc>
        <w:tc>
          <w:tcPr>
            <w:tcW w:w="933" w:type="pct"/>
            <w:tcBorders>
              <w:tl2br w:val="nil"/>
              <w:tr2bl w:val="nil"/>
            </w:tcBorders>
            <w:vAlign w:val="center"/>
          </w:tcPr>
          <w:p w14:paraId="113D19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w:t>
            </w:r>
          </w:p>
        </w:tc>
        <w:tc>
          <w:tcPr>
            <w:tcW w:w="662" w:type="pct"/>
            <w:tcBorders>
              <w:tl2br w:val="nil"/>
              <w:tr2bl w:val="nil"/>
            </w:tcBorders>
            <w:vAlign w:val="center"/>
          </w:tcPr>
          <w:p w14:paraId="2D68A8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480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235" w:type="pct"/>
            <w:tcBorders>
              <w:tl2br w:val="nil"/>
              <w:tr2bl w:val="nil"/>
            </w:tcBorders>
            <w:vAlign w:val="center"/>
          </w:tcPr>
          <w:p w14:paraId="09E761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7B53FD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依托生活区化粪池暂存，定期拉运处理</w:t>
            </w:r>
          </w:p>
        </w:tc>
      </w:tr>
      <w:tr w14:paraId="56D727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restart"/>
            <w:tcBorders>
              <w:tl2br w:val="nil"/>
              <w:tr2bl w:val="nil"/>
            </w:tcBorders>
            <w:vAlign w:val="center"/>
          </w:tcPr>
          <w:p w14:paraId="4410DD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85" w:type="pct"/>
            <w:vMerge w:val="restart"/>
            <w:tcBorders>
              <w:tl2br w:val="nil"/>
              <w:tr2bl w:val="nil"/>
            </w:tcBorders>
            <w:vAlign w:val="center"/>
          </w:tcPr>
          <w:p w14:paraId="726B0A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933" w:type="pct"/>
            <w:tcBorders>
              <w:tl2br w:val="nil"/>
              <w:tr2bl w:val="nil"/>
            </w:tcBorders>
            <w:vAlign w:val="center"/>
          </w:tcPr>
          <w:p w14:paraId="1A7065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浸出矿渣</w:t>
            </w:r>
          </w:p>
        </w:tc>
        <w:tc>
          <w:tcPr>
            <w:tcW w:w="662" w:type="pct"/>
            <w:tcBorders>
              <w:tl2br w:val="nil"/>
              <w:tr2bl w:val="nil"/>
            </w:tcBorders>
            <w:vAlign w:val="center"/>
          </w:tcPr>
          <w:p w14:paraId="745BBC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496500</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0AF636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11FEEE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hAnsi="Times New Roman"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lang w:val="en-US" w:eastAsia="zh-CN"/>
              </w:rPr>
              <w:t>《铜冶炼污染防治可行技术指南》的要求进行鉴别，根据鉴别结果确定处置方式</w:t>
            </w:r>
          </w:p>
        </w:tc>
      </w:tr>
      <w:tr w14:paraId="4A18B4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continue"/>
            <w:tcBorders>
              <w:tl2br w:val="nil"/>
              <w:tr2bl w:val="nil"/>
            </w:tcBorders>
            <w:vAlign w:val="center"/>
          </w:tcPr>
          <w:p w14:paraId="59C337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34A1E2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vAlign w:val="center"/>
          </w:tcPr>
          <w:p w14:paraId="45A756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收集粉尘</w:t>
            </w:r>
          </w:p>
        </w:tc>
        <w:tc>
          <w:tcPr>
            <w:tcW w:w="662" w:type="pct"/>
            <w:tcBorders>
              <w:tl2br w:val="nil"/>
              <w:tr2bl w:val="nil"/>
            </w:tcBorders>
            <w:vAlign w:val="center"/>
          </w:tcPr>
          <w:p w14:paraId="3440DC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470.26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1B4537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6AD592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回用于生产</w:t>
            </w:r>
          </w:p>
        </w:tc>
      </w:tr>
      <w:tr w14:paraId="6D543D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676E9C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306F97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shd w:val="clear" w:color="auto" w:fill="auto"/>
            <w:vAlign w:val="center"/>
          </w:tcPr>
          <w:p w14:paraId="5ECEFC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废布袋</w:t>
            </w:r>
          </w:p>
        </w:tc>
        <w:tc>
          <w:tcPr>
            <w:tcW w:w="662" w:type="pct"/>
            <w:tcBorders>
              <w:tl2br w:val="nil"/>
              <w:tr2bl w:val="nil"/>
            </w:tcBorders>
            <w:shd w:val="clear" w:color="auto" w:fill="auto"/>
            <w:vAlign w:val="center"/>
          </w:tcPr>
          <w:p w14:paraId="196C35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3t</w:t>
            </w:r>
          </w:p>
        </w:tc>
        <w:tc>
          <w:tcPr>
            <w:tcW w:w="1235" w:type="pct"/>
            <w:tcBorders>
              <w:tl2br w:val="nil"/>
              <w:tr2bl w:val="nil"/>
            </w:tcBorders>
            <w:shd w:val="clear" w:color="auto" w:fill="auto"/>
            <w:vAlign w:val="center"/>
          </w:tcPr>
          <w:p w14:paraId="3C356B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37" w:type="pct"/>
            <w:vMerge w:val="restart"/>
            <w:tcBorders>
              <w:tl2br w:val="nil"/>
              <w:tr2bl w:val="nil"/>
            </w:tcBorders>
            <w:shd w:val="clear" w:color="auto" w:fill="auto"/>
            <w:vAlign w:val="center"/>
          </w:tcPr>
          <w:p w14:paraId="49EFCD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暂存于危险废物贮存点，定期交由有相应处置资质单位处置。</w:t>
            </w:r>
          </w:p>
        </w:tc>
      </w:tr>
      <w:tr w14:paraId="1D4387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4D6411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758EC2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vAlign w:val="center"/>
          </w:tcPr>
          <w:p w14:paraId="16257D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662" w:type="pct"/>
            <w:tcBorders>
              <w:tl2br w:val="nil"/>
              <w:tr2bl w:val="nil"/>
            </w:tcBorders>
            <w:vAlign w:val="center"/>
          </w:tcPr>
          <w:p w14:paraId="6011C6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0.1t</w:t>
            </w:r>
          </w:p>
        </w:tc>
        <w:tc>
          <w:tcPr>
            <w:tcW w:w="1235" w:type="pct"/>
            <w:tcBorders>
              <w:tl2br w:val="nil"/>
              <w:tr2bl w:val="nil"/>
            </w:tcBorders>
            <w:vAlign w:val="center"/>
          </w:tcPr>
          <w:p w14:paraId="065E78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vMerge w:val="continue"/>
            <w:tcBorders>
              <w:tl2br w:val="nil"/>
              <w:tr2bl w:val="nil"/>
            </w:tcBorders>
            <w:vAlign w:val="center"/>
          </w:tcPr>
          <w:p w14:paraId="549C3B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04ACC5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47D6BA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63889A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554BFC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空油桶</w:t>
            </w:r>
          </w:p>
        </w:tc>
        <w:tc>
          <w:tcPr>
            <w:tcW w:w="662" w:type="pct"/>
            <w:tcBorders>
              <w:tl2br w:val="nil"/>
              <w:tr2bl w:val="nil"/>
            </w:tcBorders>
            <w:vAlign w:val="center"/>
          </w:tcPr>
          <w:p w14:paraId="0E33DB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0.06t</w:t>
            </w:r>
          </w:p>
        </w:tc>
        <w:tc>
          <w:tcPr>
            <w:tcW w:w="1235" w:type="pct"/>
            <w:tcBorders>
              <w:tl2br w:val="nil"/>
              <w:tr2bl w:val="nil"/>
            </w:tcBorders>
            <w:vAlign w:val="center"/>
          </w:tcPr>
          <w:p w14:paraId="45A1BD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vMerge w:val="continue"/>
            <w:tcBorders>
              <w:tl2br w:val="nil"/>
              <w:tr2bl w:val="nil"/>
            </w:tcBorders>
            <w:vAlign w:val="center"/>
          </w:tcPr>
          <w:p w14:paraId="4F9DBB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1F42DF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continue"/>
            <w:tcBorders>
              <w:tl2br w:val="nil"/>
              <w:tr2bl w:val="nil"/>
            </w:tcBorders>
            <w:vAlign w:val="center"/>
          </w:tcPr>
          <w:p w14:paraId="110440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22D457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001FA6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val="en-US" w:eastAsia="zh-CN"/>
              </w:rPr>
              <w:t>氢氧化钠包装袋</w:t>
            </w:r>
          </w:p>
        </w:tc>
        <w:tc>
          <w:tcPr>
            <w:tcW w:w="662" w:type="pct"/>
            <w:tcBorders>
              <w:tl2br w:val="nil"/>
              <w:tr2bl w:val="nil"/>
            </w:tcBorders>
            <w:vAlign w:val="center"/>
          </w:tcPr>
          <w:p w14:paraId="497422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4B4D85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vMerge w:val="continue"/>
            <w:tcBorders>
              <w:tl2br w:val="nil"/>
              <w:tr2bl w:val="nil"/>
            </w:tcBorders>
            <w:vAlign w:val="center"/>
          </w:tcPr>
          <w:p w14:paraId="6DBCBF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1E1345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67B44C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0CA50D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933" w:type="pct"/>
            <w:tcBorders>
              <w:tl2br w:val="nil"/>
              <w:tr2bl w:val="nil"/>
            </w:tcBorders>
            <w:vAlign w:val="center"/>
          </w:tcPr>
          <w:p w14:paraId="23E8E5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662" w:type="pct"/>
            <w:tcBorders>
              <w:tl2br w:val="nil"/>
              <w:tr2bl w:val="nil"/>
            </w:tcBorders>
            <w:vAlign w:val="center"/>
          </w:tcPr>
          <w:p w14:paraId="0CF99F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lang w:val="en-US" w:eastAsia="zh-CN"/>
              </w:rPr>
              <w:t>t/a</w:t>
            </w:r>
          </w:p>
        </w:tc>
        <w:tc>
          <w:tcPr>
            <w:tcW w:w="1235" w:type="pct"/>
            <w:tcBorders>
              <w:tl2br w:val="nil"/>
              <w:tr2bl w:val="nil"/>
            </w:tcBorders>
            <w:vAlign w:val="center"/>
          </w:tcPr>
          <w:p w14:paraId="51DB04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6F39A4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定期清运至垃圾填埋场进行处置</w:t>
            </w:r>
          </w:p>
        </w:tc>
      </w:tr>
    </w:tbl>
    <w:p w14:paraId="35DF3BC6">
      <w:pPr>
        <w:pStyle w:val="3"/>
        <w:pageBreakBefore w:val="0"/>
        <w:wordWrap/>
        <w:topLinePunct w:val="0"/>
        <w:bidi w:val="0"/>
        <w:adjustRightInd w:val="0"/>
        <w:snapToGrid w:val="0"/>
        <w:ind w:left="0" w:leftChars="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8.4 竣工环保验收</w:t>
      </w:r>
      <w:bookmarkEnd w:id="346"/>
      <w:bookmarkEnd w:id="347"/>
    </w:p>
    <w:p w14:paraId="1696B37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kern w:val="0"/>
          <w:highlight w:val="none"/>
        </w:rPr>
        <w:t>根据建设项目环境管理办法，污染防治设施必须与主体工程同时设计、同时施工、同时投入使用。在项目完成后，在项目满足验收条件后，建设单位应积极开展环保设施竣工验收，进行项目验收。</w:t>
      </w:r>
      <w:bookmarkEnd w:id="348"/>
      <w:r>
        <w:rPr>
          <w:rFonts w:hint="default" w:ascii="Times New Roman" w:hAnsi="Times New Roman" w:eastAsia="宋体" w:cs="Times New Roman"/>
          <w:color w:val="auto"/>
          <w:sz w:val="24"/>
          <w:szCs w:val="24"/>
          <w:highlight w:val="none"/>
        </w:rPr>
        <w:t>本项目环保竣工验收汇总见表</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-1。</w:t>
      </w:r>
    </w:p>
    <w:p w14:paraId="26312B99">
      <w:pPr>
        <w:pStyle w:val="2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-1  环保竣工验收一览表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414"/>
        <w:gridCol w:w="3250"/>
        <w:gridCol w:w="3025"/>
      </w:tblGrid>
      <w:tr w14:paraId="0CD95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815" w:type="dxa"/>
            <w:tcBorders>
              <w:tl2br w:val="nil"/>
              <w:tr2bl w:val="nil"/>
            </w:tcBorders>
            <w:noWrap w:val="0"/>
            <w:vAlign w:val="center"/>
          </w:tcPr>
          <w:p w14:paraId="4D906F3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lang w:bidi="ar"/>
              </w:rPr>
              <w:t>序号</w:t>
            </w:r>
          </w:p>
        </w:tc>
        <w:tc>
          <w:tcPr>
            <w:tcW w:w="1414" w:type="dxa"/>
            <w:tcBorders>
              <w:tl2br w:val="nil"/>
              <w:tr2bl w:val="nil"/>
            </w:tcBorders>
            <w:noWrap w:val="0"/>
            <w:vAlign w:val="center"/>
          </w:tcPr>
          <w:p w14:paraId="0E6DFA1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lang w:bidi="ar"/>
              </w:rPr>
              <w:t>设施名称</w:t>
            </w:r>
          </w:p>
        </w:tc>
        <w:tc>
          <w:tcPr>
            <w:tcW w:w="3250" w:type="dxa"/>
            <w:tcBorders>
              <w:tl2br w:val="nil"/>
              <w:tr2bl w:val="nil"/>
            </w:tcBorders>
            <w:noWrap w:val="0"/>
            <w:vAlign w:val="center"/>
          </w:tcPr>
          <w:p w14:paraId="2AEC8EE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lang w:bidi="ar"/>
              </w:rPr>
              <w:t>验收内容</w:t>
            </w:r>
          </w:p>
        </w:tc>
        <w:tc>
          <w:tcPr>
            <w:tcW w:w="3025" w:type="dxa"/>
            <w:tcBorders>
              <w:tl2br w:val="nil"/>
              <w:tr2bl w:val="nil"/>
            </w:tcBorders>
            <w:noWrap w:val="0"/>
            <w:vAlign w:val="center"/>
          </w:tcPr>
          <w:p w14:paraId="3DB86A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lang w:bidi="ar"/>
              </w:rPr>
              <w:t>竣工验收要求</w:t>
            </w:r>
          </w:p>
        </w:tc>
      </w:tr>
      <w:tr w14:paraId="4BA68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815" w:type="dxa"/>
            <w:vMerge w:val="restart"/>
            <w:tcBorders>
              <w:tl2br w:val="nil"/>
              <w:tr2bl w:val="nil"/>
            </w:tcBorders>
            <w:noWrap w:val="0"/>
            <w:vAlign w:val="center"/>
          </w:tcPr>
          <w:p w14:paraId="2F1AE50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1</w:t>
            </w:r>
          </w:p>
        </w:tc>
        <w:tc>
          <w:tcPr>
            <w:tcW w:w="1414" w:type="dxa"/>
            <w:tcBorders>
              <w:tl2br w:val="nil"/>
              <w:tr2bl w:val="nil"/>
            </w:tcBorders>
            <w:noWrap w:val="0"/>
            <w:vAlign w:val="center"/>
          </w:tcPr>
          <w:p w14:paraId="5BEBE23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一级破碎</w:t>
            </w:r>
          </w:p>
        </w:tc>
        <w:tc>
          <w:tcPr>
            <w:tcW w:w="3250" w:type="dxa"/>
            <w:tcBorders>
              <w:tl2br w:val="nil"/>
              <w:tr2bl w:val="nil"/>
            </w:tcBorders>
            <w:noWrap w:val="0"/>
            <w:vAlign w:val="center"/>
          </w:tcPr>
          <w:p w14:paraId="7DE557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15m高排气筒排放（DA001）</w:t>
            </w:r>
          </w:p>
        </w:tc>
        <w:tc>
          <w:tcPr>
            <w:tcW w:w="3025" w:type="dxa"/>
            <w:vMerge w:val="restart"/>
            <w:tcBorders>
              <w:tl2br w:val="nil"/>
              <w:tr2bl w:val="nil"/>
            </w:tcBorders>
            <w:noWrap w:val="0"/>
            <w:vAlign w:val="center"/>
          </w:tcPr>
          <w:p w14:paraId="534AE3C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铜、镍、钴工业污染物排放标准</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（GB25467-2010）表5</w:t>
            </w:r>
            <w:r>
              <w:rPr>
                <w:rFonts w:hint="eastAsia" w:ascii="Times New Roman" w:hAnsi="Times New Roman" w:eastAsia="宋体" w:cs="Times New Roman"/>
                <w:b w:val="0"/>
                <w:bCs w:val="0"/>
                <w:color w:val="auto"/>
                <w:sz w:val="21"/>
                <w:szCs w:val="21"/>
                <w:highlight w:val="none"/>
                <w:lang w:val="en-US" w:eastAsia="zh-CN"/>
              </w:rPr>
              <w:t>排放限值</w:t>
            </w:r>
          </w:p>
        </w:tc>
      </w:tr>
      <w:tr w14:paraId="6690E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1" w:hRule="atLeast"/>
          <w:jc w:val="center"/>
        </w:trPr>
        <w:tc>
          <w:tcPr>
            <w:tcW w:w="815" w:type="dxa"/>
            <w:vMerge w:val="continue"/>
            <w:tcBorders>
              <w:tl2br w:val="nil"/>
              <w:tr2bl w:val="nil"/>
            </w:tcBorders>
            <w:noWrap w:val="0"/>
            <w:vAlign w:val="center"/>
          </w:tcPr>
          <w:p w14:paraId="6760EBC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highlight w:val="none"/>
              </w:rPr>
            </w:pPr>
          </w:p>
        </w:tc>
        <w:tc>
          <w:tcPr>
            <w:tcW w:w="1414" w:type="dxa"/>
            <w:tcBorders>
              <w:tl2br w:val="nil"/>
              <w:tr2bl w:val="nil"/>
            </w:tcBorders>
            <w:noWrap w:val="0"/>
            <w:vAlign w:val="center"/>
          </w:tcPr>
          <w:p w14:paraId="4E43BCE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二级破碎</w:t>
            </w:r>
          </w:p>
        </w:tc>
        <w:tc>
          <w:tcPr>
            <w:tcW w:w="3250" w:type="dxa"/>
            <w:tcBorders>
              <w:tl2br w:val="nil"/>
              <w:tr2bl w:val="nil"/>
            </w:tcBorders>
            <w:noWrap w:val="0"/>
            <w:vAlign w:val="center"/>
          </w:tcPr>
          <w:p w14:paraId="62BB98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15m高排气筒排放（DA002）</w:t>
            </w:r>
          </w:p>
        </w:tc>
        <w:tc>
          <w:tcPr>
            <w:tcW w:w="3025" w:type="dxa"/>
            <w:vMerge w:val="continue"/>
            <w:tcBorders>
              <w:tl2br w:val="nil"/>
              <w:tr2bl w:val="nil"/>
            </w:tcBorders>
            <w:noWrap w:val="0"/>
            <w:vAlign w:val="center"/>
          </w:tcPr>
          <w:p w14:paraId="11835CF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r w14:paraId="4323E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1" w:hRule="atLeast"/>
          <w:jc w:val="center"/>
        </w:trPr>
        <w:tc>
          <w:tcPr>
            <w:tcW w:w="815" w:type="dxa"/>
            <w:vMerge w:val="continue"/>
            <w:tcBorders>
              <w:tl2br w:val="nil"/>
              <w:tr2bl w:val="nil"/>
            </w:tcBorders>
            <w:noWrap w:val="0"/>
            <w:vAlign w:val="center"/>
          </w:tcPr>
          <w:p w14:paraId="648B36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rPr>
            </w:pPr>
          </w:p>
        </w:tc>
        <w:tc>
          <w:tcPr>
            <w:tcW w:w="1414" w:type="dxa"/>
            <w:tcBorders>
              <w:tl2br w:val="nil"/>
              <w:tr2bl w:val="nil"/>
            </w:tcBorders>
            <w:noWrap w:val="0"/>
            <w:vAlign w:val="center"/>
          </w:tcPr>
          <w:p w14:paraId="4140E6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bidi="ar"/>
              </w:rPr>
              <w:t>萃取-电积间废气</w:t>
            </w:r>
          </w:p>
        </w:tc>
        <w:tc>
          <w:tcPr>
            <w:tcW w:w="3250" w:type="dxa"/>
            <w:tcBorders>
              <w:tl2br w:val="nil"/>
              <w:tr2bl w:val="nil"/>
            </w:tcBorders>
            <w:noWrap w:val="0"/>
            <w:vAlign w:val="center"/>
          </w:tcPr>
          <w:p w14:paraId="1CA20E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碱液吸收塔+15m高排气筒排放</w:t>
            </w:r>
            <w:r>
              <w:rPr>
                <w:rFonts w:hint="eastAsia" w:cs="Times New Roman"/>
                <w:b w:val="0"/>
                <w:bCs w:val="0"/>
                <w:snapToGrid/>
                <w:color w:val="auto"/>
                <w:kern w:val="2"/>
                <w:sz w:val="21"/>
                <w:szCs w:val="21"/>
                <w:highlight w:val="none"/>
                <w:lang w:val="en-US" w:eastAsia="zh-CN"/>
              </w:rPr>
              <w:t>（DA003）</w:t>
            </w:r>
          </w:p>
        </w:tc>
        <w:tc>
          <w:tcPr>
            <w:tcW w:w="3025" w:type="dxa"/>
            <w:vMerge w:val="continue"/>
            <w:tcBorders>
              <w:tl2br w:val="nil"/>
              <w:tr2bl w:val="nil"/>
            </w:tcBorders>
            <w:noWrap w:val="0"/>
            <w:vAlign w:val="center"/>
          </w:tcPr>
          <w:p w14:paraId="21B7CC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p>
        </w:tc>
      </w:tr>
      <w:tr w14:paraId="6CBDC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15" w:type="dxa"/>
            <w:tcBorders>
              <w:tl2br w:val="nil"/>
              <w:tr2bl w:val="nil"/>
            </w:tcBorders>
            <w:noWrap w:val="0"/>
            <w:vAlign w:val="center"/>
          </w:tcPr>
          <w:p w14:paraId="7F58453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2</w:t>
            </w:r>
          </w:p>
        </w:tc>
        <w:tc>
          <w:tcPr>
            <w:tcW w:w="1414" w:type="dxa"/>
            <w:tcBorders>
              <w:tl2br w:val="nil"/>
              <w:tr2bl w:val="nil"/>
            </w:tcBorders>
            <w:noWrap w:val="0"/>
            <w:vAlign w:val="center"/>
          </w:tcPr>
          <w:p w14:paraId="6005609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bidi="ar"/>
              </w:rPr>
              <w:t>无组织颗粒物</w:t>
            </w:r>
          </w:p>
        </w:tc>
        <w:tc>
          <w:tcPr>
            <w:tcW w:w="3250" w:type="dxa"/>
            <w:tcBorders>
              <w:tl2br w:val="nil"/>
              <w:tr2bl w:val="nil"/>
            </w:tcBorders>
            <w:noWrap w:val="0"/>
            <w:vAlign w:val="center"/>
          </w:tcPr>
          <w:p w14:paraId="1C9DC8C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sz w:val="21"/>
                <w:szCs w:val="21"/>
                <w:highlight w:val="none"/>
                <w:lang w:val="en-US" w:eastAsia="zh-CN" w:bidi="ar"/>
              </w:rPr>
              <w:t>车间封闭、</w:t>
            </w:r>
            <w:r>
              <w:rPr>
                <w:rFonts w:hint="default" w:ascii="Times New Roman" w:hAnsi="Times New Roman" w:eastAsia="宋体" w:cs="Times New Roman"/>
                <w:color w:val="auto"/>
                <w:sz w:val="21"/>
                <w:szCs w:val="21"/>
                <w:highlight w:val="none"/>
                <w:lang w:bidi="ar"/>
              </w:rPr>
              <w:t>洒水降尘</w:t>
            </w:r>
          </w:p>
        </w:tc>
        <w:tc>
          <w:tcPr>
            <w:tcW w:w="3025" w:type="dxa"/>
            <w:vMerge w:val="restart"/>
            <w:tcBorders>
              <w:tl2br w:val="nil"/>
              <w:tr2bl w:val="nil"/>
            </w:tcBorders>
            <w:noWrap w:val="0"/>
            <w:vAlign w:val="center"/>
          </w:tcPr>
          <w:p w14:paraId="0171BA3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《铜、镍、钴工业污染物排放标准》（GB25467-2010）</w:t>
            </w:r>
            <w:r>
              <w:rPr>
                <w:rFonts w:hint="eastAsia" w:ascii="Times New Roman" w:hAnsi="Times New Roman" w:cs="Times New Roman"/>
                <w:color w:val="auto"/>
                <w:sz w:val="21"/>
                <w:szCs w:val="21"/>
                <w:highlight w:val="none"/>
                <w:lang w:val="en-US" w:eastAsia="zh-CN"/>
              </w:rPr>
              <w:t>表6排放限值</w:t>
            </w:r>
          </w:p>
        </w:tc>
      </w:tr>
      <w:tr w14:paraId="19E02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15" w:type="dxa"/>
            <w:tcBorders>
              <w:tl2br w:val="nil"/>
              <w:tr2bl w:val="nil"/>
            </w:tcBorders>
            <w:noWrap w:val="0"/>
            <w:vAlign w:val="center"/>
          </w:tcPr>
          <w:p w14:paraId="281444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cs="Times New Roman"/>
                <w:snapToGrid w:val="0"/>
                <w:color w:val="auto"/>
                <w:kern w:val="0"/>
                <w:sz w:val="21"/>
                <w:szCs w:val="21"/>
                <w:highlight w:val="none"/>
                <w:lang w:val="en-US" w:eastAsia="zh-CN" w:bidi="ar"/>
              </w:rPr>
              <w:t>3</w:t>
            </w:r>
          </w:p>
        </w:tc>
        <w:tc>
          <w:tcPr>
            <w:tcW w:w="1414" w:type="dxa"/>
            <w:tcBorders>
              <w:tl2br w:val="nil"/>
              <w:tr2bl w:val="nil"/>
            </w:tcBorders>
            <w:noWrap w:val="0"/>
            <w:vAlign w:val="center"/>
          </w:tcPr>
          <w:p w14:paraId="2668D6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rPr>
              <w:t>无组织</w:t>
            </w:r>
            <w:r>
              <w:rPr>
                <w:rFonts w:hint="eastAsia" w:cs="Times New Roman"/>
                <w:color w:val="auto"/>
                <w:kern w:val="0"/>
                <w:sz w:val="21"/>
                <w:szCs w:val="21"/>
                <w:highlight w:val="none"/>
                <w:lang w:val="en-US" w:eastAsia="zh-CN"/>
              </w:rPr>
              <w:t>硫酸雾</w:t>
            </w:r>
          </w:p>
        </w:tc>
        <w:tc>
          <w:tcPr>
            <w:tcW w:w="3250" w:type="dxa"/>
            <w:tcBorders>
              <w:tl2br w:val="nil"/>
              <w:tr2bl w:val="nil"/>
            </w:tcBorders>
            <w:noWrap w:val="0"/>
            <w:vAlign w:val="center"/>
          </w:tcPr>
          <w:p w14:paraId="68F9F55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cs="Times New Roman"/>
                <w:snapToGrid w:val="0"/>
                <w:color w:val="auto"/>
                <w:kern w:val="0"/>
                <w:sz w:val="21"/>
                <w:szCs w:val="21"/>
                <w:highlight w:val="none"/>
                <w:lang w:val="en-US" w:eastAsia="zh-CN" w:bidi="ar"/>
              </w:rPr>
              <w:t>车间通风，添加酸雾抑制剂</w:t>
            </w:r>
          </w:p>
        </w:tc>
        <w:tc>
          <w:tcPr>
            <w:tcW w:w="3025" w:type="dxa"/>
            <w:vMerge w:val="continue"/>
            <w:tcBorders>
              <w:tl2br w:val="nil"/>
              <w:tr2bl w:val="nil"/>
            </w:tcBorders>
            <w:noWrap w:val="0"/>
            <w:vAlign w:val="center"/>
          </w:tcPr>
          <w:p w14:paraId="4C61E2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p>
        </w:tc>
      </w:tr>
      <w:tr w14:paraId="2B57B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15" w:type="dxa"/>
            <w:tcBorders>
              <w:tl2br w:val="nil"/>
              <w:tr2bl w:val="nil"/>
            </w:tcBorders>
            <w:noWrap w:val="0"/>
            <w:vAlign w:val="center"/>
          </w:tcPr>
          <w:p w14:paraId="617694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kern w:val="0"/>
                <w:sz w:val="21"/>
                <w:szCs w:val="21"/>
                <w:highlight w:val="none"/>
                <w:lang w:val="en-US" w:eastAsia="zh-CN" w:bidi="ar"/>
              </w:rPr>
            </w:pPr>
            <w:r>
              <w:rPr>
                <w:rFonts w:hint="eastAsia" w:cs="Times New Roman"/>
                <w:snapToGrid w:val="0"/>
                <w:color w:val="auto"/>
                <w:kern w:val="0"/>
                <w:sz w:val="21"/>
                <w:szCs w:val="21"/>
                <w:highlight w:val="none"/>
                <w:lang w:val="en-US" w:eastAsia="zh-CN" w:bidi="ar"/>
              </w:rPr>
              <w:t>4</w:t>
            </w:r>
          </w:p>
        </w:tc>
        <w:tc>
          <w:tcPr>
            <w:tcW w:w="1414" w:type="dxa"/>
            <w:tcBorders>
              <w:tl2br w:val="nil"/>
              <w:tr2bl w:val="nil"/>
            </w:tcBorders>
            <w:noWrap w:val="0"/>
            <w:vAlign w:val="center"/>
          </w:tcPr>
          <w:p w14:paraId="7691A5F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无组织非甲烷总烃</w:t>
            </w:r>
          </w:p>
        </w:tc>
        <w:tc>
          <w:tcPr>
            <w:tcW w:w="3250" w:type="dxa"/>
            <w:tcBorders>
              <w:tl2br w:val="nil"/>
              <w:tr2bl w:val="nil"/>
            </w:tcBorders>
            <w:noWrap w:val="0"/>
            <w:vAlign w:val="center"/>
          </w:tcPr>
          <w:p w14:paraId="7ED2B56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snapToGrid w:val="0"/>
                <w:color w:val="auto"/>
                <w:kern w:val="0"/>
                <w:sz w:val="21"/>
                <w:szCs w:val="21"/>
                <w:highlight w:val="none"/>
                <w:lang w:val="en-US" w:eastAsia="zh-CN" w:bidi="ar"/>
              </w:rPr>
            </w:pPr>
            <w:r>
              <w:rPr>
                <w:rFonts w:hint="eastAsia" w:ascii="Times New Roman" w:hAnsi="Times New Roman" w:cs="Times New Roman"/>
                <w:b w:val="0"/>
                <w:bCs w:val="0"/>
                <w:snapToGrid/>
                <w:color w:val="auto"/>
                <w:kern w:val="2"/>
                <w:sz w:val="21"/>
                <w:szCs w:val="21"/>
                <w:highlight w:val="none"/>
                <w:lang w:val="en-US" w:eastAsia="zh-CN"/>
              </w:rPr>
              <w:t>车间通风</w:t>
            </w:r>
          </w:p>
        </w:tc>
        <w:tc>
          <w:tcPr>
            <w:tcW w:w="3025" w:type="dxa"/>
            <w:tcBorders>
              <w:tl2br w:val="nil"/>
              <w:tr2bl w:val="nil"/>
            </w:tcBorders>
            <w:noWrap w:val="0"/>
            <w:vAlign w:val="center"/>
          </w:tcPr>
          <w:p w14:paraId="4F9254D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snapToGrid w:val="0"/>
                <w:color w:val="auto"/>
                <w:kern w:val="0"/>
                <w:sz w:val="21"/>
                <w:szCs w:val="21"/>
                <w:highlight w:val="none"/>
                <w:lang w:bidi="ar"/>
              </w:rPr>
              <w:t>《大气污染物综合排放标准》（GB16297-1996）表2</w:t>
            </w:r>
            <w:r>
              <w:rPr>
                <w:rFonts w:hint="eastAsia"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《挥发性有机物无组织排放控制标准》（GB37822-2019）表A.1</w:t>
            </w:r>
          </w:p>
        </w:tc>
      </w:tr>
      <w:tr w14:paraId="59E36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815" w:type="dxa"/>
            <w:vMerge w:val="restart"/>
            <w:tcBorders>
              <w:tl2br w:val="nil"/>
              <w:tr2bl w:val="nil"/>
            </w:tcBorders>
            <w:noWrap w:val="0"/>
            <w:vAlign w:val="center"/>
          </w:tcPr>
          <w:p w14:paraId="0971A31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bidi="ar"/>
              </w:rPr>
            </w:pPr>
            <w:r>
              <w:rPr>
                <w:rFonts w:hint="eastAsia" w:ascii="Times New Roman" w:hAnsi="Times New Roman" w:eastAsia="宋体" w:cs="Times New Roman"/>
                <w:snapToGrid w:val="0"/>
                <w:color w:val="auto"/>
                <w:kern w:val="0"/>
                <w:sz w:val="21"/>
                <w:szCs w:val="21"/>
                <w:highlight w:val="none"/>
                <w:lang w:val="en-US" w:eastAsia="zh-CN" w:bidi="ar"/>
              </w:rPr>
              <w:t>5</w:t>
            </w:r>
          </w:p>
        </w:tc>
        <w:tc>
          <w:tcPr>
            <w:tcW w:w="1414" w:type="dxa"/>
            <w:vMerge w:val="restart"/>
            <w:tcBorders>
              <w:tl2br w:val="nil"/>
              <w:tr2bl w:val="nil"/>
            </w:tcBorders>
            <w:noWrap w:val="0"/>
            <w:vAlign w:val="center"/>
          </w:tcPr>
          <w:p w14:paraId="42E3C6E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固废处理措施</w:t>
            </w:r>
          </w:p>
        </w:tc>
        <w:tc>
          <w:tcPr>
            <w:tcW w:w="3250" w:type="dxa"/>
            <w:tcBorders>
              <w:tl2br w:val="nil"/>
              <w:tr2bl w:val="nil"/>
            </w:tcBorders>
            <w:noWrap w:val="0"/>
            <w:vAlign w:val="center"/>
          </w:tcPr>
          <w:p w14:paraId="6E77A3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浸出渣</w:t>
            </w:r>
          </w:p>
        </w:tc>
        <w:tc>
          <w:tcPr>
            <w:tcW w:w="3025" w:type="dxa"/>
            <w:tcBorders>
              <w:tl2br w:val="nil"/>
              <w:tr2bl w:val="nil"/>
            </w:tcBorders>
            <w:noWrap w:val="0"/>
            <w:vAlign w:val="center"/>
          </w:tcPr>
          <w:p w14:paraId="0C6136B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若鉴别为危险废物，则按照危险废物管理，若鉴别为一般固体废物，可外售资源化利用</w:t>
            </w:r>
          </w:p>
        </w:tc>
      </w:tr>
      <w:tr w14:paraId="009B1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815" w:type="dxa"/>
            <w:vMerge w:val="continue"/>
            <w:tcBorders>
              <w:tl2br w:val="nil"/>
              <w:tr2bl w:val="nil"/>
            </w:tcBorders>
            <w:noWrap w:val="0"/>
            <w:vAlign w:val="center"/>
          </w:tcPr>
          <w:p w14:paraId="38DD02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1414" w:type="dxa"/>
            <w:vMerge w:val="continue"/>
            <w:tcBorders>
              <w:tl2br w:val="nil"/>
              <w:tr2bl w:val="nil"/>
            </w:tcBorders>
            <w:noWrap w:val="0"/>
            <w:vAlign w:val="center"/>
          </w:tcPr>
          <w:p w14:paraId="479D65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3250" w:type="dxa"/>
            <w:tcBorders>
              <w:tl2br w:val="nil"/>
              <w:tr2bl w:val="nil"/>
            </w:tcBorders>
            <w:noWrap w:val="0"/>
            <w:vAlign w:val="center"/>
          </w:tcPr>
          <w:p w14:paraId="305E74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收集粉尘</w:t>
            </w:r>
          </w:p>
        </w:tc>
        <w:tc>
          <w:tcPr>
            <w:tcW w:w="3025" w:type="dxa"/>
            <w:tcBorders>
              <w:tl2br w:val="nil"/>
              <w:tr2bl w:val="nil"/>
            </w:tcBorders>
            <w:noWrap w:val="0"/>
            <w:vAlign w:val="center"/>
          </w:tcPr>
          <w:p w14:paraId="123878F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回用于生产</w:t>
            </w:r>
          </w:p>
        </w:tc>
      </w:tr>
      <w:tr w14:paraId="3CA58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vMerge w:val="continue"/>
            <w:tcBorders>
              <w:tl2br w:val="nil"/>
              <w:tr2bl w:val="nil"/>
            </w:tcBorders>
            <w:noWrap w:val="0"/>
            <w:vAlign w:val="center"/>
          </w:tcPr>
          <w:p w14:paraId="5509571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p>
        </w:tc>
        <w:tc>
          <w:tcPr>
            <w:tcW w:w="1414" w:type="dxa"/>
            <w:vMerge w:val="continue"/>
            <w:tcBorders>
              <w:tl2br w:val="nil"/>
              <w:tr2bl w:val="nil"/>
            </w:tcBorders>
            <w:noWrap w:val="0"/>
            <w:vAlign w:val="center"/>
          </w:tcPr>
          <w:p w14:paraId="16318E5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p>
        </w:tc>
        <w:tc>
          <w:tcPr>
            <w:tcW w:w="3250" w:type="dxa"/>
            <w:tcBorders>
              <w:tl2br w:val="nil"/>
              <w:tr2bl w:val="nil"/>
            </w:tcBorders>
            <w:noWrap w:val="0"/>
            <w:vAlign w:val="center"/>
          </w:tcPr>
          <w:p w14:paraId="3BD2757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废布袋</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废机油</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空油桶</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氢氧化钠包袋</w:t>
            </w:r>
            <w:r>
              <w:rPr>
                <w:rFonts w:hint="default" w:ascii="Times New Roman" w:hAnsi="Times New Roman" w:eastAsia="宋体" w:cs="Times New Roman"/>
                <w:snapToGrid w:val="0"/>
                <w:color w:val="auto"/>
                <w:kern w:val="2"/>
                <w:sz w:val="21"/>
                <w:szCs w:val="21"/>
                <w:highlight w:val="none"/>
                <w:lang w:eastAsia="zh-CN"/>
              </w:rPr>
              <w:t>暂存于危险废物</w:t>
            </w:r>
            <w:r>
              <w:rPr>
                <w:rFonts w:hint="eastAsia" w:ascii="Times New Roman" w:hAnsi="Times New Roman" w:cs="Times New Roman"/>
                <w:snapToGrid w:val="0"/>
                <w:color w:val="auto"/>
                <w:kern w:val="2"/>
                <w:sz w:val="21"/>
                <w:szCs w:val="21"/>
                <w:highlight w:val="none"/>
                <w:lang w:val="en-US" w:eastAsia="zh-CN"/>
              </w:rPr>
              <w:t>贮存点</w:t>
            </w:r>
            <w:r>
              <w:rPr>
                <w:rFonts w:hint="default" w:ascii="Times New Roman" w:hAnsi="Times New Roman" w:eastAsia="宋体" w:cs="Times New Roman"/>
                <w:snapToGrid w:val="0"/>
                <w:color w:val="auto"/>
                <w:kern w:val="2"/>
                <w:sz w:val="21"/>
                <w:szCs w:val="21"/>
                <w:highlight w:val="none"/>
                <w:lang w:val="en-US" w:eastAsia="zh-CN"/>
              </w:rPr>
              <w:t>，</w:t>
            </w:r>
            <w:r>
              <w:rPr>
                <w:rFonts w:hint="default" w:ascii="Times New Roman" w:hAnsi="Times New Roman" w:eastAsia="宋体" w:cs="Times New Roman"/>
                <w:snapToGrid w:val="0"/>
                <w:color w:val="auto"/>
                <w:kern w:val="2"/>
                <w:sz w:val="21"/>
                <w:szCs w:val="21"/>
                <w:highlight w:val="none"/>
                <w:lang w:eastAsia="zh-CN"/>
              </w:rPr>
              <w:t>定期</w:t>
            </w:r>
            <w:r>
              <w:rPr>
                <w:rFonts w:hint="default" w:ascii="Times New Roman" w:hAnsi="Times New Roman" w:eastAsia="宋体" w:cs="Times New Roman"/>
                <w:snapToGrid w:val="0"/>
                <w:color w:val="auto"/>
                <w:kern w:val="2"/>
                <w:sz w:val="21"/>
                <w:szCs w:val="21"/>
                <w:highlight w:val="none"/>
                <w:lang w:val="en-US" w:eastAsia="zh-CN"/>
              </w:rPr>
              <w:t>交由有相应处置</w:t>
            </w:r>
            <w:r>
              <w:rPr>
                <w:rFonts w:hint="default" w:ascii="Times New Roman" w:hAnsi="Times New Roman" w:eastAsia="宋体" w:cs="Times New Roman"/>
                <w:snapToGrid w:val="0"/>
                <w:color w:val="auto"/>
                <w:kern w:val="2"/>
                <w:sz w:val="21"/>
                <w:szCs w:val="21"/>
                <w:highlight w:val="none"/>
                <w:lang w:eastAsia="zh-CN"/>
              </w:rPr>
              <w:t>资质单位处置</w:t>
            </w:r>
            <w:r>
              <w:rPr>
                <w:rFonts w:hint="eastAsia" w:ascii="Times New Roman" w:hAnsi="Times New Roman" w:cs="Times New Roman"/>
                <w:snapToGrid w:val="0"/>
                <w:color w:val="auto"/>
                <w:kern w:val="2"/>
                <w:sz w:val="21"/>
                <w:szCs w:val="21"/>
                <w:highlight w:val="none"/>
                <w:lang w:eastAsia="zh-CN"/>
              </w:rPr>
              <w:t>。</w:t>
            </w:r>
          </w:p>
        </w:tc>
        <w:tc>
          <w:tcPr>
            <w:tcW w:w="3025" w:type="dxa"/>
            <w:tcBorders>
              <w:tl2br w:val="nil"/>
              <w:tr2bl w:val="nil"/>
            </w:tcBorders>
            <w:noWrap w:val="0"/>
            <w:vAlign w:val="center"/>
          </w:tcPr>
          <w:p w14:paraId="000549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《危险废物贮存污染控制标准》（GB1859</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）中相关标准</w:t>
            </w:r>
            <w:r>
              <w:rPr>
                <w:rFonts w:hint="eastAsia" w:ascii="Times New Roman" w:hAnsi="Times New Roman" w:eastAsia="宋体" w:cs="Times New Roman"/>
                <w:color w:val="auto"/>
                <w:sz w:val="21"/>
                <w:szCs w:val="21"/>
                <w:highlight w:val="none"/>
                <w:lang w:eastAsia="zh-CN"/>
              </w:rPr>
              <w:t>。</w:t>
            </w:r>
          </w:p>
        </w:tc>
      </w:tr>
      <w:tr w14:paraId="4196E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tcBorders>
              <w:tl2br w:val="nil"/>
              <w:tr2bl w:val="nil"/>
            </w:tcBorders>
            <w:noWrap w:val="0"/>
            <w:vAlign w:val="center"/>
          </w:tcPr>
          <w:p w14:paraId="01413AF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bidi="ar"/>
              </w:rPr>
            </w:pPr>
            <w:r>
              <w:rPr>
                <w:rFonts w:hint="eastAsia" w:cs="Times New Roman"/>
                <w:snapToGrid w:val="0"/>
                <w:color w:val="auto"/>
                <w:kern w:val="0"/>
                <w:sz w:val="21"/>
                <w:szCs w:val="21"/>
                <w:highlight w:val="none"/>
                <w:lang w:val="en-US" w:eastAsia="zh-CN" w:bidi="ar"/>
              </w:rPr>
              <w:t>6</w:t>
            </w:r>
          </w:p>
        </w:tc>
        <w:tc>
          <w:tcPr>
            <w:tcW w:w="1414" w:type="dxa"/>
            <w:tcBorders>
              <w:tl2br w:val="nil"/>
              <w:tr2bl w:val="nil"/>
            </w:tcBorders>
            <w:noWrap w:val="0"/>
            <w:vAlign w:val="center"/>
          </w:tcPr>
          <w:p w14:paraId="5A7B72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噪声治理工程</w:t>
            </w:r>
          </w:p>
        </w:tc>
        <w:tc>
          <w:tcPr>
            <w:tcW w:w="3250" w:type="dxa"/>
            <w:tcBorders>
              <w:tl2br w:val="nil"/>
              <w:tr2bl w:val="nil"/>
            </w:tcBorders>
            <w:noWrap w:val="0"/>
            <w:vAlign w:val="center"/>
          </w:tcPr>
          <w:p w14:paraId="2E6565E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bidi="ar"/>
              </w:rPr>
              <w:t>采取减振、消声、隔声、降噪措施对高噪声设备进行治理，特别是对水泵等空气动力性噪声安装消声器</w:t>
            </w:r>
            <w:r>
              <w:rPr>
                <w:rFonts w:hint="eastAsia" w:ascii="Times New Roman" w:hAnsi="Times New Roman" w:cs="Times New Roman"/>
                <w:snapToGrid w:val="0"/>
                <w:color w:val="auto"/>
                <w:kern w:val="0"/>
                <w:sz w:val="21"/>
                <w:szCs w:val="21"/>
                <w:highlight w:val="none"/>
                <w:lang w:eastAsia="zh-CN" w:bidi="ar"/>
              </w:rPr>
              <w:t>。</w:t>
            </w:r>
          </w:p>
        </w:tc>
        <w:tc>
          <w:tcPr>
            <w:tcW w:w="3025" w:type="dxa"/>
            <w:tcBorders>
              <w:tl2br w:val="nil"/>
              <w:tr2bl w:val="nil"/>
            </w:tcBorders>
            <w:noWrap w:val="0"/>
            <w:vAlign w:val="center"/>
          </w:tcPr>
          <w:p w14:paraId="2FC9E1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bidi="ar"/>
              </w:rPr>
              <w:t>厂界噪声达到《工业企业厂界环境噪声排放标准》（GB12348-2008）</w:t>
            </w:r>
            <w:r>
              <w:rPr>
                <w:rFonts w:hint="eastAsia" w:ascii="Times New Roman" w:hAnsi="Times New Roman" w:cs="Times New Roman"/>
                <w:snapToGrid w:val="0"/>
                <w:color w:val="auto"/>
                <w:kern w:val="0"/>
                <w:sz w:val="21"/>
                <w:szCs w:val="21"/>
                <w:highlight w:val="none"/>
                <w:lang w:val="en-US" w:eastAsia="zh-CN" w:bidi="ar"/>
              </w:rPr>
              <w:t>3</w:t>
            </w:r>
            <w:r>
              <w:rPr>
                <w:rFonts w:hint="default" w:ascii="Times New Roman" w:hAnsi="Times New Roman" w:eastAsia="宋体" w:cs="Times New Roman"/>
                <w:snapToGrid w:val="0"/>
                <w:color w:val="auto"/>
                <w:kern w:val="0"/>
                <w:sz w:val="21"/>
                <w:szCs w:val="21"/>
                <w:highlight w:val="none"/>
                <w:lang w:bidi="ar"/>
              </w:rPr>
              <w:t>类标准</w:t>
            </w:r>
          </w:p>
        </w:tc>
      </w:tr>
      <w:tr w14:paraId="1EA8B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tcBorders>
              <w:tl2br w:val="nil"/>
              <w:tr2bl w:val="nil"/>
            </w:tcBorders>
            <w:noWrap w:val="0"/>
            <w:vAlign w:val="center"/>
          </w:tcPr>
          <w:p w14:paraId="16F7DAA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kern w:val="0"/>
                <w:sz w:val="21"/>
                <w:szCs w:val="21"/>
                <w:highlight w:val="none"/>
                <w:lang w:val="en-US" w:eastAsia="zh-CN" w:bidi="ar"/>
              </w:rPr>
              <w:t>7</w:t>
            </w:r>
          </w:p>
        </w:tc>
        <w:tc>
          <w:tcPr>
            <w:tcW w:w="1414" w:type="dxa"/>
            <w:tcBorders>
              <w:tl2br w:val="nil"/>
              <w:tr2bl w:val="nil"/>
            </w:tcBorders>
            <w:noWrap w:val="0"/>
            <w:vAlign w:val="center"/>
          </w:tcPr>
          <w:p w14:paraId="478FE1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排污口规范化</w:t>
            </w:r>
          </w:p>
        </w:tc>
        <w:tc>
          <w:tcPr>
            <w:tcW w:w="3250" w:type="dxa"/>
            <w:tcBorders>
              <w:tl2br w:val="nil"/>
              <w:tr2bl w:val="nil"/>
            </w:tcBorders>
            <w:noWrap w:val="0"/>
            <w:vAlign w:val="center"/>
          </w:tcPr>
          <w:p w14:paraId="064CBF8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bidi="ar"/>
              </w:rPr>
              <w:t>污染物排放口</w:t>
            </w:r>
            <w:r>
              <w:rPr>
                <w:rFonts w:hint="eastAsia" w:ascii="Times New Roman" w:hAnsi="Times New Roman" w:eastAsia="宋体"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源</w:t>
            </w:r>
            <w:r>
              <w:rPr>
                <w:rFonts w:hint="eastAsia" w:ascii="Times New Roman" w:hAnsi="Times New Roman" w:eastAsia="宋体"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及固体废物贮存</w:t>
            </w:r>
            <w:r>
              <w:rPr>
                <w:rFonts w:hint="eastAsia" w:ascii="Times New Roman" w:hAnsi="Times New Roman" w:eastAsia="宋体"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处置</w:t>
            </w:r>
            <w:r>
              <w:rPr>
                <w:rFonts w:hint="eastAsia" w:ascii="Times New Roman" w:hAnsi="Times New Roman" w:eastAsia="宋体"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场设置环境保护图形标志牌；废气排放口和污水排放口设置采样点</w:t>
            </w:r>
            <w:r>
              <w:rPr>
                <w:rFonts w:hint="eastAsia" w:ascii="Times New Roman" w:hAnsi="Times New Roman" w:cs="Times New Roman"/>
                <w:snapToGrid w:val="0"/>
                <w:color w:val="auto"/>
                <w:kern w:val="0"/>
                <w:sz w:val="21"/>
                <w:szCs w:val="21"/>
                <w:highlight w:val="none"/>
                <w:lang w:eastAsia="zh-CN" w:bidi="ar"/>
              </w:rPr>
              <w:t>。</w:t>
            </w:r>
          </w:p>
        </w:tc>
        <w:tc>
          <w:tcPr>
            <w:tcW w:w="3025" w:type="dxa"/>
            <w:tcBorders>
              <w:tl2br w:val="nil"/>
              <w:tr2bl w:val="nil"/>
            </w:tcBorders>
            <w:noWrap w:val="0"/>
            <w:vAlign w:val="center"/>
          </w:tcPr>
          <w:p w14:paraId="24C01F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国家环境保护总局《排污口规范化整治技术规范》</w:t>
            </w:r>
          </w:p>
        </w:tc>
      </w:tr>
      <w:tr w14:paraId="6ED9D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tcBorders>
              <w:tl2br w:val="nil"/>
              <w:tr2bl w:val="nil"/>
            </w:tcBorders>
            <w:noWrap w:val="0"/>
            <w:vAlign w:val="center"/>
          </w:tcPr>
          <w:p w14:paraId="6A52A48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eastAsia" w:cs="Times New Roman"/>
                <w:snapToGrid w:val="0"/>
                <w:color w:val="auto"/>
                <w:kern w:val="0"/>
                <w:sz w:val="21"/>
                <w:szCs w:val="21"/>
                <w:highlight w:val="none"/>
                <w:lang w:val="en-US" w:eastAsia="zh-CN" w:bidi="ar"/>
              </w:rPr>
              <w:t>8</w:t>
            </w:r>
          </w:p>
        </w:tc>
        <w:tc>
          <w:tcPr>
            <w:tcW w:w="1414" w:type="dxa"/>
            <w:tcBorders>
              <w:tl2br w:val="nil"/>
              <w:tr2bl w:val="nil"/>
            </w:tcBorders>
            <w:noWrap w:val="0"/>
            <w:vAlign w:val="center"/>
          </w:tcPr>
          <w:p w14:paraId="2836CFA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snapToGrid w:val="0"/>
                <w:color w:val="auto"/>
                <w:kern w:val="0"/>
                <w:sz w:val="21"/>
                <w:szCs w:val="21"/>
                <w:highlight w:val="none"/>
                <w:lang w:val="en-US" w:eastAsia="zh-CN" w:bidi="ar"/>
              </w:rPr>
              <w:t>土壤环境</w:t>
            </w:r>
            <w:r>
              <w:rPr>
                <w:rFonts w:hint="eastAsia" w:ascii="Times New Roman" w:hAnsi="Times New Roman" w:eastAsia="宋体" w:cs="Times New Roman"/>
                <w:snapToGrid w:val="0"/>
                <w:color w:val="auto"/>
                <w:kern w:val="0"/>
                <w:sz w:val="21"/>
                <w:szCs w:val="21"/>
                <w:highlight w:val="none"/>
                <w:lang w:val="en-US" w:eastAsia="zh-CN" w:bidi="ar"/>
              </w:rPr>
              <w:t>保护</w:t>
            </w:r>
            <w:r>
              <w:rPr>
                <w:rFonts w:hint="default" w:ascii="Times New Roman" w:hAnsi="Times New Roman" w:eastAsia="宋体" w:cs="Times New Roman"/>
                <w:snapToGrid w:val="0"/>
                <w:color w:val="auto"/>
                <w:kern w:val="0"/>
                <w:sz w:val="21"/>
                <w:szCs w:val="21"/>
                <w:highlight w:val="none"/>
                <w:lang w:val="en-US" w:eastAsia="zh-CN" w:bidi="ar"/>
              </w:rPr>
              <w:t>措施</w:t>
            </w:r>
          </w:p>
        </w:tc>
        <w:tc>
          <w:tcPr>
            <w:tcW w:w="3250" w:type="dxa"/>
            <w:tcBorders>
              <w:tl2br w:val="nil"/>
              <w:tr2bl w:val="nil"/>
            </w:tcBorders>
            <w:noWrap w:val="0"/>
            <w:vAlign w:val="center"/>
          </w:tcPr>
          <w:p w14:paraId="5DF41CB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snapToGrid w:val="0"/>
                <w:color w:val="auto"/>
                <w:kern w:val="0"/>
                <w:sz w:val="21"/>
                <w:szCs w:val="21"/>
                <w:highlight w:val="none"/>
                <w:lang w:val="en-US" w:eastAsia="zh-CN" w:bidi="ar"/>
              </w:rPr>
              <w:t>根据《重点监管单位土壤污染隐患排查指南（试行）》要求，定期开展土壤污染隐患排查</w:t>
            </w:r>
            <w:r>
              <w:rPr>
                <w:rFonts w:hint="eastAsia" w:ascii="Times New Roman" w:hAnsi="Times New Roman" w:cs="Times New Roman"/>
                <w:snapToGrid w:val="0"/>
                <w:color w:val="auto"/>
                <w:kern w:val="0"/>
                <w:sz w:val="21"/>
                <w:szCs w:val="21"/>
                <w:highlight w:val="none"/>
                <w:lang w:val="en-US" w:eastAsia="zh-CN" w:bidi="ar"/>
              </w:rPr>
              <w:t>。</w:t>
            </w:r>
          </w:p>
        </w:tc>
        <w:tc>
          <w:tcPr>
            <w:tcW w:w="3025" w:type="dxa"/>
            <w:tcBorders>
              <w:tl2br w:val="nil"/>
              <w:tr2bl w:val="nil"/>
            </w:tcBorders>
            <w:noWrap w:val="0"/>
            <w:vAlign w:val="center"/>
          </w:tcPr>
          <w:p w14:paraId="684D4E4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符合相关要求</w:t>
            </w:r>
          </w:p>
        </w:tc>
      </w:tr>
      <w:tr w14:paraId="23CE9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tcBorders>
              <w:tl2br w:val="nil"/>
              <w:tr2bl w:val="nil"/>
            </w:tcBorders>
            <w:noWrap w:val="0"/>
            <w:vAlign w:val="center"/>
          </w:tcPr>
          <w:p w14:paraId="2493260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cs="Times New Roman"/>
                <w:snapToGrid w:val="0"/>
                <w:color w:val="auto"/>
                <w:kern w:val="0"/>
                <w:sz w:val="21"/>
                <w:szCs w:val="21"/>
                <w:highlight w:val="none"/>
                <w:lang w:val="en-US" w:eastAsia="zh-CN" w:bidi="ar"/>
              </w:rPr>
              <w:t>9</w:t>
            </w:r>
          </w:p>
        </w:tc>
        <w:tc>
          <w:tcPr>
            <w:tcW w:w="1414" w:type="dxa"/>
            <w:tcBorders>
              <w:tl2br w:val="nil"/>
              <w:tr2bl w:val="nil"/>
            </w:tcBorders>
            <w:noWrap w:val="0"/>
            <w:vAlign w:val="center"/>
          </w:tcPr>
          <w:p w14:paraId="588352C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环境风险防范措施</w:t>
            </w:r>
          </w:p>
        </w:tc>
        <w:tc>
          <w:tcPr>
            <w:tcW w:w="3250" w:type="dxa"/>
            <w:tcBorders>
              <w:tl2br w:val="nil"/>
              <w:tr2bl w:val="nil"/>
            </w:tcBorders>
            <w:noWrap w:val="0"/>
            <w:vAlign w:val="center"/>
          </w:tcPr>
          <w:p w14:paraId="042BD9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项目区分区防渗，</w:t>
            </w:r>
            <w:r>
              <w:rPr>
                <w:rFonts w:hint="default" w:ascii="Times New Roman" w:hAnsi="Times New Roman" w:eastAsia="宋体" w:cs="Times New Roman"/>
                <w:snapToGrid/>
                <w:color w:val="auto"/>
                <w:kern w:val="2"/>
                <w:sz w:val="21"/>
                <w:szCs w:val="21"/>
                <w:highlight w:val="none"/>
                <w:lang w:eastAsia="zh-CN"/>
              </w:rPr>
              <w:t>建设事故应急池</w:t>
            </w:r>
            <w:r>
              <w:rPr>
                <w:rFonts w:hint="eastAsia" w:ascii="Times New Roman" w:hAnsi="Times New Roman" w:cs="Times New Roman"/>
                <w:snapToGrid/>
                <w:color w:val="auto"/>
                <w:kern w:val="2"/>
                <w:sz w:val="21"/>
                <w:szCs w:val="21"/>
                <w:highlight w:val="none"/>
                <w:lang w:eastAsia="zh-CN"/>
              </w:rPr>
              <w:t>。</w:t>
            </w:r>
          </w:p>
        </w:tc>
        <w:tc>
          <w:tcPr>
            <w:tcW w:w="3025" w:type="dxa"/>
            <w:tcBorders>
              <w:tl2br w:val="nil"/>
              <w:tr2bl w:val="nil"/>
            </w:tcBorders>
            <w:noWrap w:val="0"/>
            <w:vAlign w:val="center"/>
          </w:tcPr>
          <w:p w14:paraId="2B4CE92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符合相关要求</w:t>
            </w:r>
          </w:p>
        </w:tc>
      </w:tr>
    </w:tbl>
    <w:p w14:paraId="367F3C5D">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07415F07">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168860F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footerReference r:id="rId31" w:type="first"/>
          <w:footerReference r:id="rId30"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69710741">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49" w:name="_Toc22300"/>
      <w:bookmarkStart w:id="350" w:name="_Toc4226"/>
      <w:r>
        <w:rPr>
          <w:rFonts w:hint="default" w:ascii="Times New Roman" w:hAnsi="Times New Roman" w:eastAsia="宋体" w:cs="Times New Roman"/>
          <w:color w:val="auto"/>
          <w:highlight w:val="none"/>
        </w:rPr>
        <w:t>9 环境影响评价结论</w:t>
      </w:r>
      <w:bookmarkEnd w:id="349"/>
      <w:bookmarkEnd w:id="350"/>
    </w:p>
    <w:p w14:paraId="31DF2FE2">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51" w:name="_Toc1433"/>
      <w:bookmarkStart w:id="352" w:name="_Toc22870"/>
      <w:r>
        <w:rPr>
          <w:rFonts w:hint="default" w:ascii="Times New Roman" w:hAnsi="Times New Roman" w:eastAsia="宋体" w:cs="Times New Roman"/>
          <w:color w:val="auto"/>
          <w:highlight w:val="none"/>
        </w:rPr>
        <w:t>9.1 项目概况</w:t>
      </w:r>
      <w:bookmarkEnd w:id="351"/>
      <w:bookmarkEnd w:id="352"/>
    </w:p>
    <w:p w14:paraId="15D0B763">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eastAsia="宋体" w:cs="Times New Roman"/>
          <w:color w:val="auto"/>
          <w:highlight w:val="none"/>
          <w:lang w:eastAsia="zh-CN"/>
        </w:rPr>
      </w:pPr>
      <w:bookmarkStart w:id="353" w:name="_Toc19223"/>
      <w:bookmarkStart w:id="354" w:name="_Toc23377"/>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lang w:eastAsia="zh-CN"/>
        </w:rPr>
        <w:t>鄯善县厚旺铜矿有限责任公司年产3000吨阴极铜技术改造项目</w:t>
      </w:r>
    </w:p>
    <w:p w14:paraId="516C64A4">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eastAsia="zh-CN"/>
        </w:rPr>
        <w:t>鄯善县厚旺铜矿有限责任公司</w:t>
      </w:r>
    </w:p>
    <w:p w14:paraId="0E0565A1">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建设性质：</w:t>
      </w:r>
      <w:r>
        <w:rPr>
          <w:rFonts w:hint="eastAsia" w:cs="Times New Roman"/>
          <w:color w:val="auto"/>
          <w:highlight w:val="none"/>
          <w:lang w:val="en-US" w:eastAsia="zh-CN"/>
        </w:rPr>
        <w:t>技改</w:t>
      </w:r>
    </w:p>
    <w:p w14:paraId="4E4A97EA">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行业类别：</w:t>
      </w:r>
      <w:r>
        <w:rPr>
          <w:rFonts w:hint="default" w:ascii="Times New Roman" w:hAnsi="Times New Roman" w:cs="Times New Roman"/>
          <w:color w:val="auto"/>
          <w:highlight w:val="none"/>
          <w:lang w:val="en-US" w:eastAsia="zh-CN"/>
        </w:rPr>
        <w:t>C3211铜冶炼</w:t>
      </w:r>
    </w:p>
    <w:p w14:paraId="5BA51593">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建设地点：项目位于</w:t>
      </w:r>
      <w:r>
        <w:rPr>
          <w:rFonts w:hint="default" w:ascii="Times New Roman" w:hAnsi="Times New Roman" w:cs="Times New Roman"/>
          <w:color w:val="auto"/>
          <w:highlight w:val="none"/>
          <w:lang w:eastAsia="zh-CN"/>
        </w:rPr>
        <w:t>鄯善县厚旺铜矿有限责任公司现有厂区内</w:t>
      </w:r>
      <w:r>
        <w:rPr>
          <w:rFonts w:hint="default" w:ascii="Times New Roman" w:hAnsi="Times New Roman" w:cs="Times New Roman"/>
          <w:color w:val="auto"/>
          <w:highlight w:val="none"/>
          <w:lang w:val="zh-CN"/>
        </w:rPr>
        <w:t>，地理位置中心坐标为：东经89°49′37.859″，北纬42°37′11.690″，</w:t>
      </w:r>
      <w:r>
        <w:rPr>
          <w:rFonts w:hint="default" w:ascii="Times New Roman" w:hAnsi="Times New Roman" w:cs="Times New Roman"/>
          <w:color w:val="auto"/>
          <w:highlight w:val="none"/>
        </w:rPr>
        <w:t>地理位置见</w:t>
      </w:r>
      <w:r>
        <w:rPr>
          <w:rFonts w:hint="default" w:ascii="Times New Roman" w:hAnsi="Times New Roman" w:cs="Times New Roman"/>
          <w:color w:val="auto"/>
          <w:highlight w:val="none"/>
          <w:lang w:val="en-US" w:eastAsia="zh-CN"/>
        </w:rPr>
        <w:t>附图3</w:t>
      </w:r>
      <w:r>
        <w:rPr>
          <w:rFonts w:hint="default" w:ascii="Times New Roman" w:hAnsi="Times New Roman" w:cs="Times New Roman"/>
          <w:color w:val="auto"/>
          <w:highlight w:val="none"/>
          <w:lang w:val="zh-CN"/>
        </w:rPr>
        <w:t>。项目北</w:t>
      </w:r>
      <w:r>
        <w:rPr>
          <w:rFonts w:hint="default" w:ascii="Times New Roman" w:hAnsi="Times New Roman" w:cs="Times New Roman"/>
          <w:color w:val="auto"/>
          <w:highlight w:val="none"/>
          <w:lang w:val="en-US" w:eastAsia="zh-CN"/>
        </w:rPr>
        <w:t>侧500m</w:t>
      </w:r>
      <w:r>
        <w:rPr>
          <w:rFonts w:hint="default" w:ascii="Times New Roman" w:hAnsi="Times New Roman" w:cs="Times New Roman"/>
          <w:color w:val="auto"/>
          <w:highlight w:val="none"/>
          <w:lang w:val="zh-CN"/>
        </w:rPr>
        <w:t>处为农田，</w:t>
      </w:r>
      <w:r>
        <w:rPr>
          <w:rFonts w:hint="default" w:ascii="Times New Roman" w:hAnsi="Times New Roman" w:cs="Times New Roman"/>
          <w:color w:val="auto"/>
          <w:highlight w:val="none"/>
          <w:lang w:val="en-US" w:eastAsia="zh-CN"/>
        </w:rPr>
        <w:t>东侧为新疆新华联凌云矿业有限公司，西侧</w:t>
      </w:r>
      <w:r>
        <w:rPr>
          <w:rFonts w:hint="default" w:ascii="Times New Roman" w:hAnsi="Times New Roman" w:cs="Times New Roman"/>
          <w:color w:val="auto"/>
          <w:highlight w:val="none"/>
          <w:lang w:val="zh-CN"/>
        </w:rPr>
        <w:t>和</w:t>
      </w:r>
      <w:r>
        <w:rPr>
          <w:rFonts w:hint="default" w:ascii="Times New Roman" w:hAnsi="Times New Roman" w:cs="Times New Roman"/>
          <w:color w:val="auto"/>
          <w:highlight w:val="none"/>
          <w:lang w:val="en-US" w:eastAsia="zh-CN"/>
        </w:rPr>
        <w:t>南侧</w:t>
      </w:r>
      <w:r>
        <w:rPr>
          <w:rFonts w:hint="default" w:ascii="Times New Roman" w:hAnsi="Times New Roman" w:cs="Times New Roman"/>
          <w:color w:val="auto"/>
          <w:highlight w:val="none"/>
          <w:lang w:val="zh-CN"/>
        </w:rPr>
        <w:t>均</w:t>
      </w:r>
      <w:r>
        <w:rPr>
          <w:rFonts w:hint="eastAsia" w:cs="Times New Roman"/>
          <w:color w:val="auto"/>
          <w:highlight w:val="none"/>
          <w:lang w:val="en-US" w:eastAsia="zh-CN"/>
        </w:rPr>
        <w:t>为</w:t>
      </w:r>
      <w:r>
        <w:rPr>
          <w:rFonts w:hint="default" w:ascii="Times New Roman" w:hAnsi="Times New Roman" w:cs="Times New Roman"/>
          <w:color w:val="auto"/>
          <w:highlight w:val="none"/>
          <w:lang w:val="zh-CN"/>
        </w:rPr>
        <w:t>戈壁滩和沙丘。</w:t>
      </w:r>
    </w:p>
    <w:p w14:paraId="0A54BC60">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w:t>
      </w:r>
      <w:r>
        <w:rPr>
          <w:rFonts w:hint="default" w:ascii="Times New Roman" w:hAnsi="Times New Roman" w:cs="Times New Roman"/>
          <w:color w:val="auto"/>
          <w:highlight w:val="none"/>
          <w:lang w:val="en-US" w:eastAsia="zh-CN"/>
        </w:rPr>
        <w:t>内容及</w:t>
      </w:r>
      <w:r>
        <w:rPr>
          <w:rFonts w:hint="default" w:ascii="Times New Roman" w:hAnsi="Times New Roman" w:cs="Times New Roman"/>
          <w:color w:val="auto"/>
          <w:highlight w:val="none"/>
        </w:rPr>
        <w:t>规模：利用厂区现有破碎筛分系统，将原1#车间改造为电积铜车间，新建浸出车间和萃铜车间，技改后项目年处理</w:t>
      </w:r>
      <w:r>
        <w:rPr>
          <w:rFonts w:hint="eastAsia" w:cs="Times New Roman"/>
          <w:color w:val="auto"/>
          <w:highlight w:val="none"/>
          <w:lang w:val="en-US" w:eastAsia="zh-CN"/>
        </w:rPr>
        <w:t>低品位</w:t>
      </w:r>
      <w:r>
        <w:rPr>
          <w:rFonts w:hint="default" w:ascii="Times New Roman" w:hAnsi="Times New Roman" w:cs="Times New Roman"/>
          <w:color w:val="auto"/>
          <w:highlight w:val="none"/>
        </w:rPr>
        <w:t>氧化铜矿石50万吨，产出阴极铜产品3000吨。</w:t>
      </w:r>
    </w:p>
    <w:p w14:paraId="3E101CEB">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项目总投资：总投资5000万元，其中环保投资为</w:t>
      </w:r>
      <w:r>
        <w:rPr>
          <w:rFonts w:hint="eastAsia" w:cs="Times New Roman"/>
          <w:color w:val="auto"/>
          <w:highlight w:val="none"/>
          <w:lang w:eastAsia="zh-CN"/>
        </w:rPr>
        <w:t>276万</w:t>
      </w:r>
      <w:r>
        <w:rPr>
          <w:rFonts w:hint="default" w:ascii="Times New Roman" w:hAnsi="Times New Roman" w:cs="Times New Roman"/>
          <w:color w:val="auto"/>
          <w:highlight w:val="none"/>
        </w:rPr>
        <w:t>元，占项目总投资的</w:t>
      </w:r>
      <w:r>
        <w:rPr>
          <w:rFonts w:hint="eastAsia" w:cs="Times New Roman"/>
          <w:color w:val="auto"/>
          <w:highlight w:val="none"/>
          <w:lang w:eastAsia="zh-CN"/>
        </w:rPr>
        <w:t>5.52%</w:t>
      </w:r>
      <w:r>
        <w:rPr>
          <w:rFonts w:hint="default" w:ascii="Times New Roman" w:hAnsi="Times New Roman" w:cs="Times New Roman"/>
          <w:color w:val="auto"/>
          <w:highlight w:val="none"/>
        </w:rPr>
        <w:t>。</w:t>
      </w:r>
    </w:p>
    <w:p w14:paraId="28D499AA">
      <w:pPr>
        <w:pStyle w:val="9"/>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占地面积：</w:t>
      </w:r>
      <w:r>
        <w:rPr>
          <w:rFonts w:hint="default" w:ascii="Times New Roman" w:hAnsi="Times New Roman" w:cs="Times New Roman"/>
          <w:color w:val="auto"/>
          <w:highlight w:val="none"/>
          <w:lang w:eastAsia="zh-CN"/>
        </w:rPr>
        <w:t>73333m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22AC2E00">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劳动员及工作制度：企业员工</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人，</w:t>
      </w:r>
      <w:r>
        <w:rPr>
          <w:rFonts w:hint="default" w:ascii="Times New Roman" w:hAnsi="Times New Roman" w:cs="Times New Roman"/>
          <w:color w:val="auto"/>
          <w:highlight w:val="none"/>
          <w:lang w:val="en-US" w:eastAsia="zh-CN"/>
        </w:rPr>
        <w:t>每日3班</w:t>
      </w:r>
      <w:r>
        <w:rPr>
          <w:rFonts w:hint="default" w:ascii="Times New Roman" w:hAnsi="Times New Roman" w:cs="Times New Roman"/>
          <w:color w:val="auto"/>
          <w:highlight w:val="none"/>
        </w:rPr>
        <w:t>，每班8小时，全年工作</w:t>
      </w:r>
      <w:r>
        <w:rPr>
          <w:rFonts w:hint="default" w:ascii="Times New Roman" w:hAnsi="Times New Roman" w:cs="Times New Roman"/>
          <w:color w:val="auto"/>
          <w:highlight w:val="none"/>
          <w:lang w:val="en-US" w:eastAsia="zh-CN"/>
        </w:rPr>
        <w:t>250</w:t>
      </w:r>
      <w:r>
        <w:rPr>
          <w:rFonts w:hint="default" w:ascii="Times New Roman" w:hAnsi="Times New Roman" w:cs="Times New Roman"/>
          <w:color w:val="auto"/>
          <w:highlight w:val="none"/>
        </w:rPr>
        <w:t>天，年运行时长</w:t>
      </w:r>
      <w:r>
        <w:rPr>
          <w:rFonts w:hint="default" w:ascii="Times New Roman" w:hAnsi="Times New Roman" w:cs="Times New Roman"/>
          <w:color w:val="auto"/>
          <w:highlight w:val="none"/>
          <w:lang w:val="en-US" w:eastAsia="zh-CN"/>
        </w:rPr>
        <w:t>6000</w:t>
      </w:r>
      <w:r>
        <w:rPr>
          <w:rFonts w:hint="default" w:ascii="Times New Roman" w:hAnsi="Times New Roman" w:cs="Times New Roman"/>
          <w:color w:val="auto"/>
          <w:highlight w:val="none"/>
        </w:rPr>
        <w:t>h，各生产装置为连续性生产。</w:t>
      </w:r>
    </w:p>
    <w:p w14:paraId="20B7E45C">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9.2 环境质量现状评价结论</w:t>
      </w:r>
      <w:bookmarkEnd w:id="353"/>
      <w:bookmarkEnd w:id="354"/>
    </w:p>
    <w:p w14:paraId="180666C4">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9.2.1 环境空气质量现状评价结论</w:t>
      </w:r>
    </w:p>
    <w:p w14:paraId="41447BDE">
      <w:pPr>
        <w:pStyle w:val="52"/>
        <w:pageBreakBefore w:val="0"/>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吐鲁番地区202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年均浓度均可满足《环境空气质量标准》（GB3095-2012）中二级标准限值要求，PM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年均浓度超过了《环境空气质量标准》（GB3095-2012）中二级标准限值要求，超标原因可能与当地气候干燥、易起尘环境有关，故项目所在区域属于环境空气质量不达标区。</w:t>
      </w:r>
    </w:p>
    <w:p w14:paraId="0247C202">
      <w:pPr>
        <w:pStyle w:val="52"/>
        <w:pageBreakBefore w:val="0"/>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评价结果表明，硫酸雾满足《环境影响评价技术导则 大气环境》（HJ2.2-2018）附录D其他污染物空气质量浓度参考限值要求；总悬浮颗粒物（TSP）满足《环境空气质量标准》（GB3095-2012）中的二级标准要求。</w:t>
      </w:r>
    </w:p>
    <w:p w14:paraId="199EA9DF">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9.2.2 声环境质量现状评价结论</w:t>
      </w:r>
    </w:p>
    <w:p w14:paraId="52BC98D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评价范围内声环境现状良好，项目厂界四周昼、夜间环境噪声值可达到《声环境质量标准》（GB3096-2008）中3类区标准的要求。</w:t>
      </w:r>
    </w:p>
    <w:p w14:paraId="0FA4E2A6">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9.2.4 土壤环境质量现状评价结论</w:t>
      </w:r>
    </w:p>
    <w:p w14:paraId="59A2BDD3">
      <w:pPr>
        <w:pageBreakBefore w:val="0"/>
        <w:wordWrap/>
        <w:topLinePunct w:val="0"/>
        <w:bidi w:val="0"/>
        <w:adjustRightInd w:val="0"/>
        <w:snapToGrid w:val="0"/>
        <w:ind w:left="0" w:leftChars="0" w:right="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占地范围内及周边的各监测点位的监测因子均符合《土壤环境质量 建设用地土壤污染风险管控标准》（GB36600-2018）相关标准；占地范围外的T8监测点各监测项目均满足《土壤环境质量  农用地土壤污染风险管控标准》（GB15618-2018）表1其他类中的风险筛选值要求。</w:t>
      </w:r>
    </w:p>
    <w:p w14:paraId="3B904AA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9.2.5 地下水环境质量现状评价结论</w:t>
      </w:r>
    </w:p>
    <w:p w14:paraId="1D76D12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监测井的监测因子均满足《地下水质量标准》（GB/T14848-2017）中的Ⅲ类水质标准要求。</w:t>
      </w:r>
    </w:p>
    <w:p w14:paraId="1856B9C9">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55" w:name="_Toc7072"/>
      <w:bookmarkStart w:id="356" w:name="_Toc26233"/>
      <w:r>
        <w:rPr>
          <w:rFonts w:hint="default" w:ascii="Times New Roman" w:hAnsi="Times New Roman" w:eastAsia="宋体" w:cs="Times New Roman"/>
          <w:color w:val="auto"/>
          <w:highlight w:val="none"/>
        </w:rPr>
        <w:t>9.3环境影响及预测结论</w:t>
      </w:r>
      <w:bookmarkEnd w:id="355"/>
      <w:bookmarkEnd w:id="356"/>
    </w:p>
    <w:p w14:paraId="3F7C4884">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9.3.1废气</w:t>
      </w:r>
    </w:p>
    <w:p w14:paraId="3F06CB67">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由</w:t>
      </w:r>
      <w:r>
        <w:rPr>
          <w:rFonts w:hint="eastAsia" w:cs="Times New Roman"/>
          <w:color w:val="auto"/>
          <w:highlight w:val="none"/>
          <w:lang w:val="en-US" w:eastAsia="zh-CN"/>
        </w:rPr>
        <w:t>预测结果</w:t>
      </w:r>
      <w:r>
        <w:rPr>
          <w:rFonts w:hint="default" w:ascii="Times New Roman" w:hAnsi="Times New Roman" w:cs="Times New Roman"/>
          <w:color w:val="auto"/>
          <w:highlight w:val="none"/>
          <w:lang w:val="zh-CN"/>
        </w:rPr>
        <w:t>可知：正常排放条件下，污染物在环境保护目标及网格点处的最大浓度占标率均＜</w:t>
      </w:r>
      <w:r>
        <w:rPr>
          <w:rFonts w:hint="eastAsia" w:cs="Times New Roman"/>
          <w:color w:val="auto"/>
          <w:highlight w:val="none"/>
          <w:lang w:val="en-US" w:eastAsia="zh-CN"/>
        </w:rPr>
        <w:t>30</w:t>
      </w:r>
      <w:r>
        <w:rPr>
          <w:rFonts w:hint="default" w:ascii="Times New Roman" w:hAnsi="Times New Roman" w:cs="Times New Roman"/>
          <w:color w:val="auto"/>
          <w:highlight w:val="none"/>
          <w:lang w:val="zh-CN"/>
        </w:rPr>
        <w:t>%</w:t>
      </w:r>
      <w:r>
        <w:rPr>
          <w:rFonts w:hint="eastAsia" w:cs="Times New Roman"/>
          <w:color w:val="auto"/>
          <w:highlight w:val="none"/>
          <w:lang w:val="zh-CN"/>
        </w:rPr>
        <w:t>，</w:t>
      </w:r>
      <w:r>
        <w:rPr>
          <w:rFonts w:hint="default" w:ascii="Times New Roman" w:hAnsi="Times New Roman" w:cs="Times New Roman"/>
          <w:color w:val="auto"/>
          <w:highlight w:val="none"/>
          <w:lang w:val="zh-CN"/>
        </w:rPr>
        <w:t>本次排放的PM</w:t>
      </w:r>
      <w:r>
        <w:rPr>
          <w:rFonts w:hint="default" w:ascii="Times New Roman" w:hAnsi="Times New Roman" w:cs="Times New Roman"/>
          <w:color w:val="auto"/>
          <w:highlight w:val="none"/>
          <w:vertAlign w:val="subscript"/>
          <w:lang w:val="zh-CN"/>
        </w:rPr>
        <w:t>10</w:t>
      </w:r>
      <w:r>
        <w:rPr>
          <w:rFonts w:hint="default" w:ascii="Times New Roman" w:hAnsi="Times New Roman" w:cs="Times New Roman"/>
          <w:color w:val="auto"/>
          <w:highlight w:val="none"/>
          <w:lang w:val="zh-CN"/>
        </w:rPr>
        <w:t>最大落地浓度贡献值叠加现状背景浓度后，环境保护目标及预测网格内的PM</w:t>
      </w:r>
      <w:r>
        <w:rPr>
          <w:rFonts w:hint="default" w:ascii="Times New Roman" w:hAnsi="Times New Roman" w:cs="Times New Roman"/>
          <w:color w:val="auto"/>
          <w:highlight w:val="none"/>
          <w:vertAlign w:val="subscript"/>
          <w:lang w:val="zh-CN"/>
        </w:rPr>
        <w:t>10</w:t>
      </w:r>
      <w:r>
        <w:rPr>
          <w:rFonts w:hint="default" w:ascii="Times New Roman" w:hAnsi="Times New Roman" w:cs="Times New Roman"/>
          <w:color w:val="auto"/>
          <w:highlight w:val="none"/>
          <w:lang w:val="zh-CN"/>
        </w:rPr>
        <w:t>保证率年均浓度叠加值出现超标，超标主要</w:t>
      </w:r>
      <w:r>
        <w:rPr>
          <w:rFonts w:hint="eastAsia" w:cs="Times New Roman"/>
          <w:color w:val="auto"/>
          <w:highlight w:val="none"/>
          <w:lang w:val="zh-CN"/>
        </w:rPr>
        <w:t>原因</w:t>
      </w:r>
      <w:r>
        <w:rPr>
          <w:rFonts w:hint="default" w:ascii="Times New Roman" w:hAnsi="Times New Roman" w:cs="Times New Roman"/>
          <w:color w:val="auto"/>
          <w:highlight w:val="none"/>
          <w:lang w:val="zh-CN"/>
        </w:rPr>
        <w:t>可能与当地气候干燥、易起尘环境有关。</w:t>
      </w:r>
    </w:p>
    <w:p w14:paraId="0F698D17">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eastAsia="宋体" w:cs="Times New Roman"/>
          <w:color w:val="auto"/>
          <w:highlight w:val="none"/>
          <w:lang w:val="zh-CN"/>
        </w:rPr>
      </w:pPr>
      <w:r>
        <w:rPr>
          <w:rFonts w:hint="default" w:ascii="Times New Roman" w:hAnsi="Times New Roman" w:cs="Times New Roman"/>
          <w:color w:val="auto"/>
          <w:highlight w:val="none"/>
          <w:lang w:val="zh-CN"/>
        </w:rPr>
        <w:t>新增污染物最大落地浓度贡献值叠加现状背景浓度后，环境空气保护目标及网格点处的TSP的保证率日平均质量浓度和年平均质量浓度均符合《环境空气质量标准》</w:t>
      </w:r>
      <w:r>
        <w:rPr>
          <w:rFonts w:hint="default" w:ascii="Times New Roman" w:hAnsi="Times New Roman" w:eastAsia="宋体" w:cs="Times New Roman"/>
          <w:color w:val="auto"/>
          <w:highlight w:val="none"/>
          <w:lang w:val="zh-CN"/>
        </w:rPr>
        <w:t>（GB3095-2012）中二类功能区限值要求；</w:t>
      </w:r>
    </w:p>
    <w:p w14:paraId="17ABAFDE">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新增污染物（硫酸雾）最大落地浓度贡献值叠加现状背景浓度后，环境保护目标及网格点处的短期浓度均满足相应的环境质量标准。</w:t>
      </w:r>
    </w:p>
    <w:p w14:paraId="3304D470">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综上所述，本项目大气环境影响在各污染治理设施正常运行的情况下，对周围环境及各环境敏感点的影响可以接受。</w:t>
      </w:r>
    </w:p>
    <w:p w14:paraId="4973F4E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9.3.2废水</w:t>
      </w:r>
    </w:p>
    <w:p w14:paraId="754EB8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本项目由于采用湿法浸出</w:t>
      </w:r>
      <w:r>
        <w:rPr>
          <w:rFonts w:hint="eastAsia" w:cs="Times New Roman"/>
          <w:color w:val="auto"/>
          <w:highlight w:val="none"/>
          <w:lang w:eastAsia="zh-CN"/>
        </w:rPr>
        <w:t>－</w:t>
      </w:r>
      <w:r>
        <w:rPr>
          <w:rFonts w:hint="default" w:ascii="Times New Roman" w:hAnsi="Times New Roman" w:cs="Times New Roman"/>
          <w:color w:val="auto"/>
          <w:highlight w:val="none"/>
        </w:rPr>
        <w:t>固液分离-萃取-电积工艺，本工艺</w:t>
      </w:r>
      <w:r>
        <w:rPr>
          <w:rFonts w:hint="eastAsia" w:cs="Times New Roman"/>
          <w:color w:val="auto"/>
          <w:highlight w:val="none"/>
          <w:lang w:eastAsia="zh-CN"/>
        </w:rPr>
        <w:t>属于</w:t>
      </w:r>
      <w:r>
        <w:rPr>
          <w:rFonts w:hint="default" w:ascii="Times New Roman" w:hAnsi="Times New Roman" w:cs="Times New Roman"/>
          <w:color w:val="auto"/>
          <w:highlight w:val="none"/>
        </w:rPr>
        <w:t>闭路循环系统，无废水排放。生活污</w:t>
      </w:r>
      <w:r>
        <w:rPr>
          <w:rFonts w:hint="default" w:ascii="Times New Roman" w:hAnsi="Times New Roman" w:eastAsia="宋体" w:cs="Times New Roman"/>
          <w:color w:val="auto"/>
          <w:highlight w:val="none"/>
        </w:rPr>
        <w:t>水依托厂区现有废水依托生活区化粪池暂存，定期拉运处理。各类废水均经处理后循环利用，不外排，不会对周围水环境产生不利影响。</w:t>
      </w:r>
    </w:p>
    <w:p w14:paraId="128EFC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正常工况下，项目生产的构筑物防渗层未发生破裂，不会出现液体物料下渗污染地下水的事故，对环境影响较小。</w:t>
      </w:r>
    </w:p>
    <w:p w14:paraId="741AA7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正常工况下，忽略包气带的阻滞作用，以污染物直接进入含水层预测结果可以看出，由于区域水力坡度小，水流速度较慢，发生泄漏污染物进入含水层中在地下水中的运移速度较慢，电积液中的污染物铜超标影响最远距离位于下游35m，砷超标影响最远距离位于下游35m。</w:t>
      </w:r>
    </w:p>
    <w:p w14:paraId="5DAC33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项目评价范围内没有地下水环境敏感点，评价建议生产装置区、各类池体构筑物应加强防渗、防腐措施，同时制定严格的巡检制度并落实到责任人，杜绝项目厂区地面及各类废水池防渗措施出现渗漏现象，在落实以上各项防渗措施和巡检制度后，基本可杜绝非正常泄漏的发生。因此，本项目地下水环境影响是可以接受的。</w:t>
      </w:r>
    </w:p>
    <w:p w14:paraId="5414103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9.3.3噪声</w:t>
      </w:r>
    </w:p>
    <w:p w14:paraId="7A97354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噪声主要为机械设备运行噪声，其等效连续A声级值在75～90dB</w:t>
      </w:r>
      <w:r>
        <w:rPr>
          <w:rFonts w:hint="eastAsia" w:cs="Times New Roman"/>
          <w:color w:val="auto"/>
          <w:highlight w:val="none"/>
          <w:lang w:eastAsia="zh-CN"/>
        </w:rPr>
        <w:t>（</w:t>
      </w:r>
      <w:r>
        <w:rPr>
          <w:rFonts w:hint="default" w:ascii="Times New Roman" w:hAnsi="Times New Roman" w:cs="Times New Roman"/>
          <w:color w:val="auto"/>
          <w:highlight w:val="none"/>
        </w:rPr>
        <w:t>A），选用低噪声设备，空压机等高噪声设备安置于室内，并采取车间隔声措施，高噪声设备采用加装减振垫等措施后，厂界昼夜噪声值均满足《工业企业厂界环境噪声排放标准》（GB12348-2008</w:t>
      </w:r>
      <w:r>
        <w:rPr>
          <w:rFonts w:hint="eastAsia" w:cs="Times New Roman"/>
          <w:color w:val="auto"/>
          <w:highlight w:val="none"/>
          <w:lang w:eastAsia="zh-CN"/>
        </w:rPr>
        <w:t>）第</w:t>
      </w:r>
      <w:r>
        <w:rPr>
          <w:rFonts w:hint="default" w:ascii="Times New Roman" w:hAnsi="Times New Roman" w:cs="Times New Roman"/>
          <w:color w:val="auto"/>
          <w:highlight w:val="none"/>
        </w:rPr>
        <w:t>3类标准要求。</w:t>
      </w:r>
    </w:p>
    <w:p w14:paraId="423E3C4B">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9.3.4固体废物</w:t>
      </w:r>
    </w:p>
    <w:p w14:paraId="11C19BB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项目生活垃圾、一般工业固废均按照相关要求进行处置。危险废物交由有资质单位处置。在严格落实处理措施与管理制度的情况下，固体废物</w:t>
      </w:r>
      <w:r>
        <w:rPr>
          <w:rFonts w:hint="eastAsia" w:cs="Times New Roman"/>
          <w:color w:val="auto"/>
          <w:highlight w:val="none"/>
          <w:lang w:eastAsia="zh-CN"/>
        </w:rPr>
        <w:t>对</w:t>
      </w:r>
      <w:r>
        <w:rPr>
          <w:rFonts w:hint="default" w:ascii="Times New Roman" w:hAnsi="Times New Roman" w:cs="Times New Roman"/>
          <w:color w:val="auto"/>
          <w:highlight w:val="none"/>
        </w:rPr>
        <w:t>环境产生的影响可以接受。</w:t>
      </w:r>
    </w:p>
    <w:p w14:paraId="134FBDDB">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57" w:name="_Toc13563"/>
      <w:bookmarkStart w:id="358" w:name="_Toc29838"/>
      <w:r>
        <w:rPr>
          <w:rFonts w:hint="default" w:ascii="Times New Roman" w:hAnsi="Times New Roman" w:eastAsia="宋体" w:cs="Times New Roman"/>
          <w:color w:val="auto"/>
          <w:highlight w:val="none"/>
        </w:rPr>
        <w:t>9.4 污染物排放情况及环境保护措施</w:t>
      </w:r>
      <w:bookmarkEnd w:id="357"/>
      <w:bookmarkEnd w:id="358"/>
    </w:p>
    <w:p w14:paraId="42383A46">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9.4.1 废气</w:t>
      </w:r>
    </w:p>
    <w:p w14:paraId="597FF6BA">
      <w:pPr>
        <w:spacing w:line="360" w:lineRule="auto"/>
        <w:ind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（1）有组织废气污染防治措施</w:t>
      </w:r>
    </w:p>
    <w:p w14:paraId="0A379A9E">
      <w:pPr>
        <w:keepNext w:val="0"/>
        <w:keepLines w:val="0"/>
        <w:pageBreakBefore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本项目破碎系统在运行过程中会产生粉尘排放，均设置除尘系统（包含：密封装置、布袋除尘器、管道、风机等）1套</w:t>
      </w:r>
      <w:r>
        <w:rPr>
          <w:rFonts w:hint="eastAsia" w:cs="Times New Roman"/>
          <w:color w:val="auto"/>
          <w:highlight w:val="none"/>
          <w:lang w:val="zh-CN"/>
        </w:rPr>
        <w:t>；项目生产过程中所排放的工艺废气主要为硫酸雾，电积槽内加入酸雾抑制剂FC-1100来减少酸雾的挥发，酸雾抑制剂在电积开始前直接加入到电积槽中，可减少50%硫酸雾挥发，电积槽上方设置集气收集装置，硫酸雾经集气罩收集后经1座碱液吸收塔处理，处理后经15m高的排气筒排放，主要污染物硫酸雾集气罩收集效率为95%，去除效率为80%，</w:t>
      </w:r>
      <w:r>
        <w:rPr>
          <w:rFonts w:hint="default" w:ascii="Times New Roman" w:hAnsi="Times New Roman" w:cs="Times New Roman"/>
          <w:color w:val="auto"/>
          <w:highlight w:val="none"/>
          <w:lang w:val="zh-CN"/>
        </w:rPr>
        <w:t>净化后</w:t>
      </w:r>
      <w:r>
        <w:rPr>
          <w:rFonts w:hint="eastAsia" w:cs="Times New Roman"/>
          <w:color w:val="auto"/>
          <w:highlight w:val="none"/>
          <w:lang w:val="en-US" w:eastAsia="zh-CN"/>
        </w:rPr>
        <w:t>污染物</w:t>
      </w:r>
      <w:r>
        <w:rPr>
          <w:rFonts w:hint="default" w:ascii="Times New Roman" w:hAnsi="Times New Roman" w:cs="Times New Roman"/>
          <w:color w:val="auto"/>
          <w:highlight w:val="none"/>
          <w:lang w:val="zh-CN"/>
        </w:rPr>
        <w:t>排放浓度均满足《铜、镍、钴工业污染物排放标准》（GB25467-2010）中</w:t>
      </w:r>
      <w:r>
        <w:rPr>
          <w:rFonts w:hint="eastAsia" w:cs="Times New Roman"/>
          <w:color w:val="auto"/>
          <w:highlight w:val="none"/>
          <w:lang w:val="en-US" w:eastAsia="zh-CN"/>
        </w:rPr>
        <w:t>表5的</w:t>
      </w:r>
      <w:r>
        <w:rPr>
          <w:rFonts w:hint="default" w:ascii="Times New Roman" w:hAnsi="Times New Roman" w:cs="Times New Roman"/>
          <w:color w:val="auto"/>
          <w:highlight w:val="none"/>
          <w:lang w:val="zh-CN"/>
        </w:rPr>
        <w:t>浓度排放限值的要求。</w:t>
      </w:r>
    </w:p>
    <w:p w14:paraId="15A3AFCD">
      <w:pPr>
        <w:spacing w:line="360" w:lineRule="auto"/>
        <w:ind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（2）无组织废气污染防治措施</w:t>
      </w:r>
    </w:p>
    <w:p w14:paraId="45B1A7A3">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color w:val="auto"/>
          <w:kern w:val="2"/>
          <w:sz w:val="24"/>
          <w:szCs w:val="24"/>
          <w:highlight w:val="none"/>
          <w:lang w:val="zh-CN" w:eastAsia="zh-CN" w:bidi="ar-SA"/>
        </w:rPr>
        <w:t>装卸粉尘：本项目低品位铜矿原料露天堆存，在装卸过程中产生一定的粉尘，为无组织排放。建设单位拟采取洒水降尘、降低装卸高度、禁止大风天作业等措施可减少扬尘约</w:t>
      </w:r>
      <w:r>
        <w:rPr>
          <w:rFonts w:hint="eastAsia" w:ascii="Times New Roman" w:hAnsi="Times New Roman" w:eastAsia="宋体" w:cs="Times New Roman"/>
          <w:b w:val="0"/>
          <w:color w:val="auto"/>
          <w:kern w:val="2"/>
          <w:sz w:val="24"/>
          <w:szCs w:val="24"/>
          <w:highlight w:val="none"/>
          <w:lang w:val="en-US" w:eastAsia="zh-CN" w:bidi="ar-SA"/>
        </w:rPr>
        <w:t>80</w:t>
      </w:r>
      <w:r>
        <w:rPr>
          <w:rFonts w:hint="eastAsia" w:ascii="Times New Roman" w:hAnsi="Times New Roman" w:eastAsia="宋体" w:cs="Times New Roman"/>
          <w:b w:val="0"/>
          <w:color w:val="auto"/>
          <w:kern w:val="2"/>
          <w:sz w:val="24"/>
          <w:szCs w:val="24"/>
          <w:highlight w:val="none"/>
          <w:lang w:val="zh-CN" w:eastAsia="zh-CN" w:bidi="ar-SA"/>
        </w:rPr>
        <w:t>%；道路运输扬尘：①加强道路养护。厂内及外部联络道路路面定期维护，可保证汽车平稳行驶，防止因汽车剧烈颠簸造成的扬尘；②对工业场地内的道路进行硬化处理；③根据路面状况，经常清扫路面，定时洒水抑尘；④运输车辆加盖苫布，车速限制在15km/h以下，可有效控制粉尘的产生；</w:t>
      </w:r>
      <w:r>
        <w:rPr>
          <w:rFonts w:hint="eastAsia" w:ascii="Times New Roman" w:hAnsi="Times New Roman" w:eastAsia="宋体" w:cs="Times New Roman"/>
          <w:b w:val="0"/>
          <w:color w:val="auto"/>
          <w:kern w:val="2"/>
          <w:sz w:val="24"/>
          <w:szCs w:val="24"/>
          <w:highlight w:val="none"/>
          <w:lang w:val="en-US" w:eastAsia="zh-CN" w:bidi="ar-SA"/>
        </w:rPr>
        <w:t>硫酸储罐无组织废气：物料装卸时</w:t>
      </w:r>
      <w:r>
        <w:rPr>
          <w:rFonts w:hint="eastAsia" w:ascii="Times New Roman" w:hAnsi="Times New Roman" w:eastAsia="宋体" w:cs="Times New Roman"/>
          <w:b w:val="0"/>
          <w:color w:val="auto"/>
          <w:kern w:val="2"/>
          <w:sz w:val="24"/>
          <w:szCs w:val="24"/>
          <w:highlight w:val="none"/>
          <w:lang w:val="zh-CN" w:eastAsia="zh-CN" w:bidi="ar-SA"/>
        </w:rPr>
        <w:t>保障物料的密封或密闭，减少过程损耗及排放。对设备、管道、阀门经常检查、检修，保持装置气密性良好；加强管理，所有操作严格按照既定的规程进行；萃取-电积间废气：本项目生产过程中所排放的工艺废气主要为硫酸雾</w:t>
      </w:r>
      <w:r>
        <w:rPr>
          <w:rFonts w:hint="eastAsia" w:ascii="Times New Roman" w:hAnsi="Times New Roman" w:eastAsia="宋体" w:cs="Times New Roman"/>
          <w:b w:val="0"/>
          <w:color w:val="auto"/>
          <w:kern w:val="2"/>
          <w:sz w:val="24"/>
          <w:szCs w:val="24"/>
          <w:highlight w:val="none"/>
          <w:lang w:val="en-US" w:eastAsia="zh-CN" w:bidi="ar-SA"/>
        </w:rPr>
        <w:t>及非甲烷总烃</w:t>
      </w:r>
      <w:r>
        <w:rPr>
          <w:rFonts w:hint="eastAsia" w:ascii="Times New Roman" w:hAnsi="Times New Roman" w:eastAsia="宋体" w:cs="Times New Roman"/>
          <w:b w:val="0"/>
          <w:color w:val="auto"/>
          <w:kern w:val="2"/>
          <w:sz w:val="24"/>
          <w:szCs w:val="24"/>
          <w:highlight w:val="none"/>
          <w:lang w:val="zh-CN" w:eastAsia="zh-CN" w:bidi="ar-SA"/>
        </w:rPr>
        <w:t>，</w:t>
      </w:r>
      <w:r>
        <w:rPr>
          <w:rFonts w:hint="eastAsia" w:ascii="Times New Roman" w:eastAsia="宋体" w:cs="Times New Roman"/>
          <w:b w:val="0"/>
          <w:color w:val="auto"/>
          <w:kern w:val="2"/>
          <w:sz w:val="24"/>
          <w:szCs w:val="24"/>
          <w:highlight w:val="none"/>
          <w:lang w:val="zh-CN" w:eastAsia="zh-CN" w:bidi="ar-SA"/>
        </w:rPr>
        <w:t>电积槽</w:t>
      </w:r>
      <w:r>
        <w:rPr>
          <w:rFonts w:hint="eastAsia" w:ascii="Times New Roman" w:hAnsi="Times New Roman" w:eastAsia="宋体" w:cs="Times New Roman"/>
          <w:b w:val="0"/>
          <w:color w:val="auto"/>
          <w:kern w:val="2"/>
          <w:sz w:val="24"/>
          <w:szCs w:val="24"/>
          <w:highlight w:val="none"/>
          <w:lang w:val="zh-CN" w:eastAsia="zh-CN" w:bidi="ar-SA"/>
        </w:rPr>
        <w:t>内加入酸雾抑制剂FC-1100来减少酸雾的挥发，酸雾抑制剂在电积开始前直接加入到电积槽中，可减少</w:t>
      </w:r>
      <w:r>
        <w:rPr>
          <w:rFonts w:hint="eastAsia" w:ascii="Times New Roman" w:hAnsi="Times New Roman" w:eastAsia="宋体" w:cs="Times New Roman"/>
          <w:b w:val="0"/>
          <w:color w:val="auto"/>
          <w:kern w:val="2"/>
          <w:sz w:val="24"/>
          <w:szCs w:val="24"/>
          <w:highlight w:val="none"/>
          <w:lang w:val="en-US" w:eastAsia="zh-CN" w:bidi="ar-SA"/>
        </w:rPr>
        <w:t>50</w:t>
      </w:r>
      <w:r>
        <w:rPr>
          <w:rFonts w:hint="eastAsia" w:ascii="Times New Roman" w:hAnsi="Times New Roman" w:eastAsia="宋体" w:cs="Times New Roman"/>
          <w:b w:val="0"/>
          <w:color w:val="auto"/>
          <w:kern w:val="2"/>
          <w:sz w:val="24"/>
          <w:szCs w:val="24"/>
          <w:highlight w:val="none"/>
          <w:lang w:val="zh-CN" w:eastAsia="zh-CN" w:bidi="ar-SA"/>
        </w:rPr>
        <w:t>%硫酸雾挥发，</w:t>
      </w:r>
      <w:r>
        <w:rPr>
          <w:rFonts w:hint="eastAsia" w:ascii="Times New Roman" w:hAnsi="Times New Roman" w:eastAsia="宋体" w:cs="Times New Roman"/>
          <w:b w:val="0"/>
          <w:color w:val="auto"/>
          <w:kern w:val="2"/>
          <w:sz w:val="24"/>
          <w:szCs w:val="24"/>
          <w:highlight w:val="none"/>
          <w:lang w:val="en-US" w:eastAsia="zh-CN" w:bidi="ar-SA"/>
        </w:rPr>
        <w:t>车间采取通风措施</w:t>
      </w:r>
      <w:r>
        <w:rPr>
          <w:rFonts w:hint="eastAsia" w:ascii="Times New Roman" w:hAnsi="Times New Roman" w:eastAsia="宋体" w:cs="Times New Roman"/>
          <w:b w:val="0"/>
          <w:color w:val="auto"/>
          <w:kern w:val="2"/>
          <w:sz w:val="24"/>
          <w:szCs w:val="24"/>
          <w:highlight w:val="none"/>
          <w:lang w:val="zh-CN" w:eastAsia="zh-CN" w:bidi="ar-SA"/>
        </w:rPr>
        <w:t>；矿仓无组织排放：</w:t>
      </w:r>
      <w:r>
        <w:rPr>
          <w:rFonts w:hint="eastAsia" w:ascii="Times New Roman" w:hAnsi="Times New Roman" w:eastAsia="宋体" w:cs="Times New Roman"/>
          <w:b w:val="0"/>
          <w:bCs w:val="0"/>
          <w:color w:val="auto"/>
          <w:sz w:val="24"/>
          <w:szCs w:val="24"/>
          <w:highlight w:val="none"/>
        </w:rPr>
        <w:t>原矿仓位于选厂车间内，原矿在装入矿仓过程中会产生无组织排放。通过采用封闭式原料仓，并喷雾洒水抑尘等措施。在采取上述措施后，达到《大气污染物综合排放标准》无组织排放监控颗粒物浓度限值要求</w:t>
      </w: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rPr>
        <w:t>松散物料运输采用密闭车辆运输；松散物料露天临时堆放表面进行遮盖等，选矿厂内道路定期洒水抑尘等。这些方法为矿山企业普遍采用的措施，技术成熟可靠，效果好，经济可行。评价认为上述措施可行。</w:t>
      </w:r>
    </w:p>
    <w:p w14:paraId="384DFDB1">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ascii="Times New Roman" w:hAnsi="Times New Roman" w:eastAsia="宋体"/>
          <w:b w:val="0"/>
          <w:bCs w:val="0"/>
          <w:color w:val="auto"/>
          <w:sz w:val="24"/>
          <w:szCs w:val="24"/>
          <w:highlight w:val="none"/>
        </w:rPr>
      </w:pPr>
      <w:r>
        <w:rPr>
          <w:rFonts w:ascii="Times New Roman" w:hAnsi="Times New Roman" w:eastAsia="宋体" w:cs="Times New Roman"/>
          <w:b w:val="0"/>
          <w:bCs w:val="0"/>
          <w:color w:val="auto"/>
          <w:sz w:val="24"/>
          <w:szCs w:val="24"/>
          <w:highlight w:val="none"/>
        </w:rPr>
        <w:t>综上，项目区域无组织排放颗粒物得到了妥善的处置，且根据预测可知颗粒物</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硫酸雾</w:t>
      </w:r>
      <w:r>
        <w:rPr>
          <w:rFonts w:ascii="Times New Roman" w:hAnsi="Times New Roman" w:eastAsia="宋体" w:cs="Times New Roman"/>
          <w:b w:val="0"/>
          <w:bCs w:val="0"/>
          <w:color w:val="auto"/>
          <w:sz w:val="24"/>
          <w:szCs w:val="24"/>
          <w:highlight w:val="none"/>
        </w:rPr>
        <w:t>排放浓度满足《铜、镍、钴工业污染物排放标准》（GB25467-2010）大气污染物浓度限值（1mg/m</w:t>
      </w:r>
      <w:r>
        <w:rPr>
          <w:rFonts w:ascii="Times New Roman" w:hAnsi="Times New Roman" w:eastAsia="宋体" w:cs="Times New Roman"/>
          <w:b w:val="0"/>
          <w:bCs w:val="0"/>
          <w:color w:val="auto"/>
          <w:sz w:val="24"/>
          <w:szCs w:val="24"/>
          <w:highlight w:val="none"/>
          <w:vertAlign w:val="superscript"/>
        </w:rPr>
        <w:t>3</w:t>
      </w:r>
      <w:r>
        <w:rPr>
          <w:rFonts w:ascii="Times New Roman" w:hAnsi="Times New Roman" w:eastAsia="宋体" w:cs="Times New Roman"/>
          <w:b w:val="0"/>
          <w:bCs w:val="0"/>
          <w:color w:val="auto"/>
          <w:sz w:val="24"/>
          <w:szCs w:val="24"/>
          <w:highlight w:val="none"/>
        </w:rPr>
        <w:t>）的要求，合理可行。在工程设计时，尽量避免造成无组织排放。</w:t>
      </w:r>
      <w:r>
        <w:rPr>
          <w:rFonts w:ascii="Times New Roman" w:hAnsi="Times New Roman" w:eastAsia="宋体"/>
          <w:b w:val="0"/>
          <w:bCs w:val="0"/>
          <w:color w:val="auto"/>
          <w:sz w:val="24"/>
          <w:szCs w:val="24"/>
          <w:highlight w:val="none"/>
        </w:rPr>
        <w:t>项目采取的废气治理措施充分利用项目废气特性，有针对性地对污染物进行治理后，实现达标排放，技术成熟、运行可靠。项目废气治理措施从经济、技术角度可行。</w:t>
      </w:r>
    </w:p>
    <w:p w14:paraId="5EBC2F3C">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9.4.2 废水</w:t>
      </w:r>
    </w:p>
    <w:p w14:paraId="2F1B3E5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zh-CN" w:bidi="ar"/>
        </w:rPr>
      </w:pPr>
      <w:r>
        <w:rPr>
          <w:rFonts w:hint="eastAsia" w:ascii="Times New Roman" w:hAnsi="Times New Roman" w:eastAsia="宋体" w:cs="Times New Roman"/>
          <w:caps w:val="0"/>
          <w:smallCaps w:val="0"/>
          <w:snapToGrid w:val="0"/>
          <w:color w:val="auto"/>
          <w:kern w:val="0"/>
          <w:sz w:val="24"/>
          <w:szCs w:val="24"/>
          <w:lang w:eastAsia="zh-CN"/>
        </w:rPr>
        <w:t>本项目过程中主要是</w:t>
      </w:r>
      <w:r>
        <w:rPr>
          <w:rFonts w:hint="eastAsia" w:cs="Times New Roman"/>
          <w:caps w:val="0"/>
          <w:smallCaps w:val="0"/>
          <w:snapToGrid w:val="0"/>
          <w:color w:val="auto"/>
          <w:kern w:val="0"/>
          <w:sz w:val="24"/>
          <w:szCs w:val="24"/>
          <w:lang w:val="en-US" w:eastAsia="zh-CN"/>
        </w:rPr>
        <w:t>球磨筛分、浸出</w:t>
      </w:r>
      <w:r>
        <w:rPr>
          <w:rFonts w:hint="eastAsia" w:ascii="Times New Roman" w:hAnsi="Times New Roman" w:eastAsia="宋体" w:cs="Times New Roman"/>
          <w:caps w:val="0"/>
          <w:smallCaps w:val="0"/>
          <w:snapToGrid w:val="0"/>
          <w:color w:val="auto"/>
          <w:kern w:val="0"/>
          <w:sz w:val="24"/>
          <w:szCs w:val="24"/>
          <w:lang w:eastAsia="zh-CN"/>
        </w:rPr>
        <w:t>系统、萃取</w:t>
      </w:r>
      <w:r>
        <w:rPr>
          <w:rFonts w:hint="eastAsia" w:cs="Times New Roman"/>
          <w:caps w:val="0"/>
          <w:smallCaps w:val="0"/>
          <w:snapToGrid w:val="0"/>
          <w:color w:val="auto"/>
          <w:kern w:val="0"/>
          <w:sz w:val="24"/>
          <w:szCs w:val="24"/>
          <w:lang w:val="en-US" w:eastAsia="zh-CN"/>
        </w:rPr>
        <w:t>-</w:t>
      </w:r>
      <w:r>
        <w:rPr>
          <w:rFonts w:hint="eastAsia" w:ascii="Times New Roman" w:hAnsi="Times New Roman" w:eastAsia="宋体" w:cs="Times New Roman"/>
          <w:caps w:val="0"/>
          <w:smallCaps w:val="0"/>
          <w:snapToGrid w:val="0"/>
          <w:color w:val="auto"/>
          <w:kern w:val="0"/>
          <w:sz w:val="24"/>
          <w:szCs w:val="24"/>
          <w:lang w:eastAsia="zh-CN"/>
        </w:rPr>
        <w:t>电积车间及碱式喷淋塔产生废水。其中</w:t>
      </w:r>
      <w:r>
        <w:rPr>
          <w:rFonts w:hint="eastAsia" w:cs="Times New Roman"/>
          <w:caps w:val="0"/>
          <w:smallCaps w:val="0"/>
          <w:snapToGrid w:val="0"/>
          <w:color w:val="auto"/>
          <w:kern w:val="0"/>
          <w:sz w:val="24"/>
          <w:szCs w:val="24"/>
          <w:lang w:val="en-US" w:eastAsia="zh-CN"/>
        </w:rPr>
        <w:t>球磨筛分用水量为</w:t>
      </w:r>
      <w:r>
        <w:rPr>
          <w:rFonts w:hint="default" w:ascii="Times New Roman" w:hAnsi="Times New Roman" w:eastAsia="宋体" w:cs="Times New Roman"/>
          <w:color w:val="auto"/>
          <w:sz w:val="24"/>
          <w:szCs w:val="24"/>
          <w:highlight w:val="none"/>
          <w:lang w:val="en-US" w:eastAsia="zh-CN"/>
        </w:rPr>
        <w:t>3360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w:t>
      </w:r>
      <w:r>
        <w:rPr>
          <w:rFonts w:hint="eastAsia" w:cs="Times New Roman"/>
          <w:caps w:val="0"/>
          <w:smallCaps w:val="0"/>
          <w:snapToGrid w:val="0"/>
          <w:color w:val="auto"/>
          <w:kern w:val="0"/>
          <w:sz w:val="24"/>
          <w:szCs w:val="24"/>
          <w:lang w:eastAsia="zh-CN"/>
        </w:rPr>
        <w:t>，</w:t>
      </w:r>
      <w:r>
        <w:rPr>
          <w:rFonts w:hint="eastAsia" w:cs="Times New Roman"/>
          <w:caps w:val="0"/>
          <w:smallCaps w:val="0"/>
          <w:snapToGrid w:val="0"/>
          <w:color w:val="auto"/>
          <w:kern w:val="0"/>
          <w:sz w:val="24"/>
          <w:szCs w:val="24"/>
          <w:lang w:val="en-US" w:eastAsia="zh-CN"/>
        </w:rPr>
        <w:t>除少部分用水随矿石进入下一生产环节，其余水量回用；浸出</w:t>
      </w:r>
      <w:r>
        <w:rPr>
          <w:rFonts w:hint="eastAsia" w:ascii="Times New Roman" w:hAnsi="Times New Roman" w:eastAsia="宋体" w:cs="Times New Roman"/>
          <w:caps w:val="0"/>
          <w:smallCaps w:val="0"/>
          <w:snapToGrid w:val="0"/>
          <w:color w:val="auto"/>
          <w:kern w:val="0"/>
          <w:sz w:val="24"/>
          <w:szCs w:val="24"/>
          <w:lang w:eastAsia="zh-CN"/>
        </w:rPr>
        <w:t>用水</w:t>
      </w:r>
      <w:r>
        <w:rPr>
          <w:rFonts w:hint="default" w:ascii="Times New Roman" w:hAnsi="Times New Roman" w:eastAsia="宋体" w:cs="Times New Roman"/>
          <w:b w:val="0"/>
          <w:bCs w:val="0"/>
          <w:snapToGrid/>
          <w:color w:val="auto"/>
          <w:kern w:val="2"/>
          <w:sz w:val="24"/>
          <w:szCs w:val="24"/>
          <w:highlight w:val="none"/>
          <w:lang w:val="en-US" w:eastAsia="zh-CN"/>
        </w:rPr>
        <w:t>540m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/d，由于同时加入稀硫酸进行调节pH，因此</w:t>
      </w:r>
      <w:r>
        <w:rPr>
          <w:rFonts w:hint="eastAsia" w:cs="Times New Roman"/>
          <w:caps w:val="0"/>
          <w:smallCaps w:val="0"/>
          <w:snapToGrid w:val="0"/>
          <w:color w:val="auto"/>
          <w:kern w:val="0"/>
          <w:sz w:val="24"/>
          <w:szCs w:val="24"/>
          <w:lang w:val="en-US" w:eastAsia="zh-CN"/>
        </w:rPr>
        <w:t>浸出</w:t>
      </w:r>
      <w:r>
        <w:rPr>
          <w:rFonts w:hint="eastAsia" w:ascii="Times New Roman" w:hAnsi="Times New Roman" w:eastAsia="宋体" w:cs="Times New Roman"/>
          <w:caps w:val="0"/>
          <w:smallCaps w:val="0"/>
          <w:snapToGrid w:val="0"/>
          <w:color w:val="auto"/>
          <w:kern w:val="0"/>
          <w:sz w:val="24"/>
          <w:szCs w:val="24"/>
          <w:lang w:eastAsia="zh-CN"/>
        </w:rPr>
        <w:t>液主要污染物为pH、Cu，</w:t>
      </w:r>
      <w:r>
        <w:rPr>
          <w:rFonts w:hint="eastAsia" w:cs="Times New Roman"/>
          <w:caps w:val="0"/>
          <w:smallCaps w:val="0"/>
          <w:snapToGrid w:val="0"/>
          <w:color w:val="auto"/>
          <w:kern w:val="0"/>
          <w:sz w:val="24"/>
          <w:szCs w:val="24"/>
          <w:lang w:eastAsia="zh-CN"/>
        </w:rPr>
        <w:t>浸出液</w:t>
      </w:r>
      <w:r>
        <w:rPr>
          <w:rFonts w:hint="eastAsia" w:ascii="Times New Roman" w:hAnsi="Times New Roman" w:eastAsia="宋体" w:cs="Times New Roman"/>
          <w:caps w:val="0"/>
          <w:smallCaps w:val="0"/>
          <w:snapToGrid w:val="0"/>
          <w:color w:val="auto"/>
          <w:kern w:val="0"/>
          <w:sz w:val="24"/>
          <w:szCs w:val="24"/>
          <w:lang w:eastAsia="zh-CN"/>
        </w:rPr>
        <w:t>进入萃取</w:t>
      </w:r>
      <w:r>
        <w:rPr>
          <w:rFonts w:hint="eastAsia" w:cs="Times New Roman"/>
          <w:caps w:val="0"/>
          <w:smallCaps w:val="0"/>
          <w:snapToGrid w:val="0"/>
          <w:color w:val="auto"/>
          <w:kern w:val="0"/>
          <w:sz w:val="24"/>
          <w:szCs w:val="24"/>
          <w:lang w:val="en-US" w:eastAsia="zh-CN"/>
        </w:rPr>
        <w:t>-电积</w:t>
      </w:r>
      <w:r>
        <w:rPr>
          <w:rFonts w:hint="eastAsia" w:ascii="Times New Roman" w:hAnsi="Times New Roman" w:eastAsia="宋体" w:cs="Times New Roman"/>
          <w:caps w:val="0"/>
          <w:smallCaps w:val="0"/>
          <w:snapToGrid w:val="0"/>
          <w:color w:val="auto"/>
          <w:kern w:val="0"/>
          <w:sz w:val="24"/>
          <w:szCs w:val="24"/>
          <w:lang w:eastAsia="zh-CN"/>
        </w:rPr>
        <w:t>环节循环使用，形成萃余液，萃余液仍属于含酸废水，再循环至</w:t>
      </w:r>
      <w:r>
        <w:rPr>
          <w:rFonts w:hint="eastAsia" w:cs="Times New Roman"/>
          <w:caps w:val="0"/>
          <w:smallCaps w:val="0"/>
          <w:snapToGrid w:val="0"/>
          <w:color w:val="auto"/>
          <w:kern w:val="0"/>
          <w:sz w:val="24"/>
          <w:szCs w:val="24"/>
          <w:lang w:eastAsia="zh-CN"/>
        </w:rPr>
        <w:t>浸出系统</w:t>
      </w:r>
      <w:r>
        <w:rPr>
          <w:rFonts w:hint="eastAsia" w:ascii="Times New Roman" w:hAnsi="Times New Roman" w:eastAsia="宋体" w:cs="Times New Roman"/>
          <w:caps w:val="0"/>
          <w:smallCaps w:val="0"/>
          <w:snapToGrid w:val="0"/>
          <w:color w:val="auto"/>
          <w:kern w:val="0"/>
          <w:sz w:val="24"/>
          <w:szCs w:val="24"/>
          <w:lang w:eastAsia="zh-CN"/>
        </w:rPr>
        <w:t>形成闭路循环使用。</w:t>
      </w:r>
      <w:r>
        <w:rPr>
          <w:rFonts w:hint="eastAsia" w:cs="Times New Roman"/>
          <w:caps w:val="0"/>
          <w:smallCaps w:val="0"/>
          <w:snapToGrid w:val="0"/>
          <w:color w:val="auto"/>
          <w:kern w:val="0"/>
          <w:sz w:val="24"/>
          <w:szCs w:val="24"/>
          <w:lang w:eastAsia="zh-CN"/>
        </w:rPr>
        <w:t>萃余液</w:t>
      </w:r>
      <w:r>
        <w:rPr>
          <w:rFonts w:hint="eastAsia" w:ascii="Times New Roman" w:hAnsi="Times New Roman" w:eastAsia="宋体" w:cs="Times New Roman"/>
          <w:caps w:val="0"/>
          <w:smallCaps w:val="0"/>
          <w:snapToGrid w:val="0"/>
          <w:color w:val="auto"/>
          <w:kern w:val="0"/>
          <w:sz w:val="24"/>
          <w:szCs w:val="24"/>
          <w:lang w:eastAsia="zh-CN"/>
        </w:rPr>
        <w:t>部分</w:t>
      </w:r>
      <w:r>
        <w:rPr>
          <w:rFonts w:hint="eastAsia" w:cs="Times New Roman"/>
          <w:caps w:val="0"/>
          <w:smallCaps w:val="0"/>
          <w:snapToGrid w:val="0"/>
          <w:color w:val="auto"/>
          <w:kern w:val="0"/>
          <w:sz w:val="24"/>
          <w:szCs w:val="24"/>
          <w:lang w:val="en-US" w:eastAsia="zh-CN"/>
        </w:rPr>
        <w:t>经过酸碱中和后用于浸出渣的清洗，</w:t>
      </w:r>
      <w:r>
        <w:rPr>
          <w:rFonts w:hint="eastAsia" w:ascii="Times New Roman" w:hAnsi="Times New Roman" w:eastAsia="宋体" w:cs="Times New Roman"/>
          <w:caps w:val="0"/>
          <w:smallCaps w:val="0"/>
          <w:snapToGrid w:val="0"/>
          <w:color w:val="auto"/>
          <w:kern w:val="0"/>
          <w:sz w:val="24"/>
          <w:szCs w:val="24"/>
          <w:lang w:eastAsia="zh-CN"/>
        </w:rPr>
        <w:t>会进入浸出渣中。因此项目</w:t>
      </w:r>
      <w:r>
        <w:rPr>
          <w:rFonts w:hint="eastAsia" w:cs="Times New Roman"/>
          <w:caps w:val="0"/>
          <w:smallCaps w:val="0"/>
          <w:snapToGrid w:val="0"/>
          <w:color w:val="auto"/>
          <w:kern w:val="0"/>
          <w:sz w:val="24"/>
          <w:szCs w:val="24"/>
          <w:lang w:val="en-US" w:eastAsia="zh-CN"/>
        </w:rPr>
        <w:t>运行</w:t>
      </w:r>
      <w:r>
        <w:rPr>
          <w:rFonts w:hint="eastAsia" w:ascii="Times New Roman" w:hAnsi="Times New Roman" w:eastAsia="宋体" w:cs="Times New Roman"/>
          <w:caps w:val="0"/>
          <w:smallCaps w:val="0"/>
          <w:snapToGrid w:val="0"/>
          <w:color w:val="auto"/>
          <w:kern w:val="0"/>
          <w:sz w:val="24"/>
          <w:szCs w:val="24"/>
          <w:lang w:eastAsia="zh-CN"/>
        </w:rPr>
        <w:t>期间无生产废水。</w:t>
      </w:r>
      <w:r>
        <w:rPr>
          <w:rFonts w:hint="default" w:ascii="Times New Roman" w:hAnsi="Times New Roman" w:eastAsia="宋体" w:cs="Times New Roman"/>
          <w:snapToGrid w:val="0"/>
          <w:color w:val="auto"/>
          <w:kern w:val="0"/>
          <w:sz w:val="24"/>
          <w:szCs w:val="24"/>
          <w:highlight w:val="none"/>
          <w:lang w:bidi="ar"/>
        </w:rPr>
        <w:t>废水依托生活区</w:t>
      </w:r>
      <w:r>
        <w:rPr>
          <w:rFonts w:hint="default" w:ascii="Times New Roman" w:hAnsi="Times New Roman" w:eastAsia="宋体" w:cs="Times New Roman"/>
          <w:snapToGrid w:val="0"/>
          <w:color w:val="auto"/>
          <w:kern w:val="0"/>
          <w:sz w:val="24"/>
          <w:szCs w:val="24"/>
          <w:highlight w:val="none"/>
          <w:lang w:val="zh-CN" w:bidi="ar"/>
        </w:rPr>
        <w:t>化粪池暂存，定期拉运处理</w:t>
      </w:r>
      <w:r>
        <w:rPr>
          <w:rFonts w:hint="eastAsia" w:ascii="Times New Roman" w:hAnsi="Times New Roman" w:eastAsia="宋体" w:cs="Times New Roman"/>
          <w:snapToGrid w:val="0"/>
          <w:color w:val="auto"/>
          <w:kern w:val="0"/>
          <w:sz w:val="24"/>
          <w:szCs w:val="24"/>
          <w:highlight w:val="none"/>
          <w:lang w:val="en-US" w:eastAsia="zh-CN" w:bidi="ar"/>
        </w:rPr>
        <w:t>至XX污水处理厂</w:t>
      </w:r>
      <w:r>
        <w:rPr>
          <w:rFonts w:hint="default" w:ascii="Times New Roman" w:hAnsi="Times New Roman" w:eastAsia="宋体" w:cs="Times New Roman"/>
          <w:snapToGrid w:val="0"/>
          <w:color w:val="auto"/>
          <w:kern w:val="0"/>
          <w:sz w:val="24"/>
          <w:szCs w:val="24"/>
          <w:highlight w:val="none"/>
          <w:lang w:val="zh-CN" w:bidi="ar"/>
        </w:rPr>
        <w:t>。</w:t>
      </w:r>
    </w:p>
    <w:p w14:paraId="77B1D7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防渗措施符合相关技术规范、技术标准的要求。其技术成熟、可靠，造价低，且能达到渗透液集中收集统一处理，防止其渗出防渗层，进入地下水中造成污染的目的，地下水污染防治措施技术经济合理、可行。</w:t>
      </w:r>
    </w:p>
    <w:p w14:paraId="6A6D964D">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9.4.3 噪声</w:t>
      </w:r>
    </w:p>
    <w:p w14:paraId="75B79F7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项目噪声主要为机械设备运行噪声，其等效连续A声级值在7</w:t>
      </w:r>
      <w:r>
        <w:rPr>
          <w:rFonts w:hint="eastAsia" w:cs="Times New Roman"/>
          <w:color w:val="auto"/>
          <w:highlight w:val="none"/>
          <w:lang w:val="en-US" w:eastAsia="zh-CN"/>
        </w:rPr>
        <w:t>0</w:t>
      </w:r>
      <w:r>
        <w:rPr>
          <w:rFonts w:hint="default" w:ascii="Times New Roman" w:hAnsi="Times New Roman" w:cs="Times New Roman"/>
          <w:color w:val="auto"/>
          <w:highlight w:val="none"/>
        </w:rPr>
        <w:t>～90dB</w:t>
      </w:r>
      <w:r>
        <w:rPr>
          <w:rFonts w:hint="eastAsia" w:cs="Times New Roman"/>
          <w:color w:val="auto"/>
          <w:highlight w:val="none"/>
          <w:lang w:eastAsia="zh-CN"/>
        </w:rPr>
        <w:t>（</w:t>
      </w:r>
      <w:r>
        <w:rPr>
          <w:rFonts w:hint="default" w:ascii="Times New Roman" w:hAnsi="Times New Roman" w:cs="Times New Roman"/>
          <w:color w:val="auto"/>
          <w:highlight w:val="none"/>
        </w:rPr>
        <w:t>A）范围内。在采用设计时注意总体布局，选用低噪声设备，空压机等高噪声设备安置于室内，并采取车间隔声措施，高噪声设备采用加装减振垫等措施；风机进、出气口安装消声器并设置隔声罩，管道采用弹性连接等工程措施后，厂界四周昼、夜间等效连续A声级值均可控制在《工业企业厂界环境噪声排放标准》（GB12348-2008）3类标准范围内。因此，本项目噪声防治措施可行，对周围环境影响较小。</w:t>
      </w:r>
    </w:p>
    <w:p w14:paraId="295BD5B3">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9.4.4 固体废物</w:t>
      </w:r>
    </w:p>
    <w:p w14:paraId="2D3D26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pacing w:val="-4"/>
          <w:szCs w:val="20"/>
          <w:highlight w:val="none"/>
          <w:lang w:val="en-US" w:eastAsia="zh-CN"/>
        </w:rPr>
      </w:pPr>
      <w:r>
        <w:rPr>
          <w:rFonts w:hint="eastAsia" w:ascii="宋体" w:hAnsi="宋体"/>
          <w:color w:val="auto"/>
          <w:sz w:val="24"/>
          <w:szCs w:val="22"/>
          <w:highlight w:val="none"/>
        </w:rPr>
        <w:t>本项目固体废物主要为浸出渣、</w:t>
      </w:r>
      <w:r>
        <w:rPr>
          <w:rFonts w:hint="eastAsia" w:ascii="宋体" w:hAnsi="宋体"/>
          <w:color w:val="auto"/>
          <w:sz w:val="24"/>
          <w:szCs w:val="22"/>
          <w:highlight w:val="none"/>
          <w:lang w:val="en-US" w:eastAsia="zh-CN"/>
        </w:rPr>
        <w:t>收集粉尘</w:t>
      </w:r>
      <w:r>
        <w:rPr>
          <w:rFonts w:hint="eastAsia" w:ascii="宋体" w:hAnsi="宋体"/>
          <w:color w:val="auto"/>
          <w:sz w:val="24"/>
          <w:szCs w:val="22"/>
          <w:highlight w:val="none"/>
        </w:rPr>
        <w:t>、</w:t>
      </w:r>
      <w:r>
        <w:rPr>
          <w:rFonts w:hint="eastAsia" w:ascii="宋体" w:hAnsi="宋体"/>
          <w:color w:val="auto"/>
          <w:sz w:val="24"/>
          <w:szCs w:val="22"/>
          <w:highlight w:val="none"/>
          <w:lang w:val="en-US" w:eastAsia="zh-CN"/>
        </w:rPr>
        <w:t>废布袋、</w:t>
      </w:r>
      <w:r>
        <w:rPr>
          <w:rFonts w:hint="eastAsia" w:ascii="宋体" w:hAnsi="宋体"/>
          <w:color w:val="auto"/>
          <w:sz w:val="24"/>
          <w:szCs w:val="22"/>
          <w:highlight w:val="none"/>
        </w:rPr>
        <w:t>废机油</w:t>
      </w:r>
      <w:r>
        <w:rPr>
          <w:rFonts w:hint="eastAsia" w:ascii="宋体" w:hAnsi="宋体"/>
          <w:color w:val="auto"/>
          <w:sz w:val="24"/>
          <w:szCs w:val="22"/>
          <w:highlight w:val="none"/>
          <w:lang w:val="en-US" w:eastAsia="zh-CN"/>
        </w:rPr>
        <w:t>、空油桶、氢氧化钠包装袋及</w:t>
      </w:r>
      <w:r>
        <w:rPr>
          <w:rFonts w:hint="eastAsia" w:ascii="宋体" w:hAnsi="宋体"/>
          <w:color w:val="auto"/>
          <w:sz w:val="24"/>
          <w:szCs w:val="22"/>
          <w:highlight w:val="none"/>
        </w:rPr>
        <w:t>生活垃圾等</w:t>
      </w:r>
      <w:r>
        <w:rPr>
          <w:rFonts w:hint="eastAsia" w:ascii="Times New Roman" w:hAnsi="Times New Roman" w:eastAsia="宋体" w:cs="Times New Roman"/>
          <w:color w:val="auto"/>
          <w:spacing w:val="-4"/>
          <w:szCs w:val="20"/>
          <w:highlight w:val="none"/>
          <w:lang w:val="en-US" w:eastAsia="zh-CN"/>
        </w:rPr>
        <w:t>。</w:t>
      </w:r>
    </w:p>
    <w:p w14:paraId="3C7BD09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Times New Roman" w:hAnsi="Times New Roman" w:eastAsia="宋体" w:cs="Times New Roman"/>
          <w:color w:val="auto"/>
          <w:spacing w:val="-4"/>
          <w:szCs w:val="20"/>
          <w:highlight w:val="none"/>
          <w:lang w:val="en-US" w:eastAsia="zh-CN"/>
        </w:rPr>
      </w:pPr>
      <w:r>
        <w:rPr>
          <w:rFonts w:hint="eastAsia" w:ascii="宋体" w:hAnsi="宋体"/>
          <w:color w:val="auto"/>
          <w:sz w:val="24"/>
          <w:szCs w:val="22"/>
          <w:highlight w:val="none"/>
        </w:rPr>
        <w:t>生活垃圾分类收集于生活垃圾箱中，由环卫部门定期清运至生活垃圾填埋场填埋</w:t>
      </w:r>
      <w:r>
        <w:rPr>
          <w:rFonts w:hint="eastAsia" w:ascii="宋体" w:hAnsi="宋体"/>
          <w:color w:val="auto"/>
          <w:sz w:val="24"/>
          <w:szCs w:val="22"/>
          <w:highlight w:val="none"/>
          <w:lang w:eastAsia="zh-CN"/>
        </w:rPr>
        <w:t>；</w:t>
      </w:r>
      <w:r>
        <w:rPr>
          <w:rFonts w:hint="eastAsia" w:ascii="宋体" w:hAnsi="宋体"/>
          <w:color w:val="auto"/>
          <w:sz w:val="24"/>
          <w:szCs w:val="22"/>
          <w:highlight w:val="none"/>
        </w:rPr>
        <w:t>浸出矿渣按照《铜冶炼污染防治可行技术指南》中“2.2.3 固体废物污染：湿法炼铜排放的固体废物主要为浸出渣。湿法炼铜浸出渣、脱硫副产物的属性需经过鉴别，并根据其性质和类别确定处理处置方式。”的要求进行鉴别，鉴别前的浸出渣按照《危险废物贮存污染控制标准》（GB18597-2023）进行管理，暂存于</w:t>
      </w:r>
      <w:r>
        <w:rPr>
          <w:rFonts w:hint="eastAsia" w:ascii="宋体" w:hAnsi="宋体"/>
          <w:color w:val="auto"/>
          <w:sz w:val="24"/>
          <w:szCs w:val="22"/>
          <w:highlight w:val="none"/>
          <w:lang w:eastAsia="zh-CN"/>
        </w:rPr>
        <w:t>危废贮存库</w:t>
      </w:r>
      <w:r>
        <w:rPr>
          <w:rFonts w:hint="eastAsia" w:ascii="宋体" w:hAnsi="宋体"/>
          <w:color w:val="auto"/>
          <w:sz w:val="24"/>
          <w:szCs w:val="22"/>
          <w:highlight w:val="none"/>
        </w:rPr>
        <w:t>内，若鉴别结果为危险废物，收集后交由有相应危险废物处理资质的单位处置，若属于一般固体废物，则暂存于尾矿库中，并采取苫盖防尘网定期洒水等措施有效抑制扬尘产生，外售下游企业</w:t>
      </w:r>
      <w:r>
        <w:rPr>
          <w:rFonts w:hint="eastAsia" w:ascii="宋体" w:hAnsi="宋体"/>
          <w:color w:val="auto"/>
          <w:sz w:val="24"/>
          <w:szCs w:val="22"/>
          <w:highlight w:val="none"/>
          <w:lang w:eastAsia="zh-CN"/>
        </w:rPr>
        <w:t>；</w:t>
      </w:r>
      <w:r>
        <w:rPr>
          <w:rFonts w:hint="eastAsia" w:ascii="宋体" w:hAnsi="宋体"/>
          <w:color w:val="auto"/>
          <w:sz w:val="24"/>
          <w:szCs w:val="22"/>
          <w:highlight w:val="none"/>
        </w:rPr>
        <w:t>破碎系统除尘器收集的收集尘全部回用于生产</w:t>
      </w:r>
      <w:r>
        <w:rPr>
          <w:rFonts w:hint="eastAsia" w:ascii="宋体" w:hAnsi="宋体"/>
          <w:color w:val="auto"/>
          <w:sz w:val="24"/>
          <w:szCs w:val="22"/>
          <w:highlight w:val="none"/>
          <w:lang w:eastAsia="zh-CN"/>
        </w:rPr>
        <w:t>；</w:t>
      </w:r>
      <w:r>
        <w:rPr>
          <w:rFonts w:hint="eastAsia" w:ascii="宋体" w:hAnsi="宋体"/>
          <w:color w:val="auto"/>
          <w:sz w:val="24"/>
          <w:szCs w:val="22"/>
          <w:highlight w:val="none"/>
        </w:rPr>
        <w:t>废弃除尘布袋</w:t>
      </w:r>
      <w:r>
        <w:rPr>
          <w:rFonts w:hint="eastAsia" w:ascii="宋体" w:hAnsi="宋体"/>
          <w:color w:val="auto"/>
          <w:sz w:val="24"/>
          <w:szCs w:val="22"/>
          <w:highlight w:val="none"/>
          <w:lang w:eastAsia="zh-CN"/>
        </w:rPr>
        <w:t>、</w:t>
      </w:r>
      <w:r>
        <w:rPr>
          <w:rFonts w:hint="eastAsia" w:ascii="宋体" w:hAnsi="宋体"/>
          <w:color w:val="auto"/>
          <w:sz w:val="24"/>
          <w:szCs w:val="22"/>
          <w:highlight w:val="none"/>
        </w:rPr>
        <w:t>氢氧化钠包装袋</w:t>
      </w:r>
      <w:r>
        <w:rPr>
          <w:rFonts w:hint="eastAsia" w:ascii="宋体" w:hAnsi="宋体"/>
          <w:color w:val="auto"/>
          <w:sz w:val="24"/>
          <w:szCs w:val="22"/>
          <w:highlight w:val="none"/>
          <w:lang w:eastAsia="zh-CN"/>
        </w:rPr>
        <w:t>、</w:t>
      </w:r>
      <w:r>
        <w:rPr>
          <w:rFonts w:hint="eastAsia" w:ascii="宋体" w:hAnsi="宋体"/>
          <w:color w:val="auto"/>
          <w:sz w:val="24"/>
          <w:szCs w:val="22"/>
          <w:highlight w:val="none"/>
        </w:rPr>
        <w:t>废润滑油</w:t>
      </w:r>
      <w:r>
        <w:rPr>
          <w:rFonts w:hint="eastAsia" w:ascii="宋体" w:hAnsi="宋体"/>
          <w:color w:val="auto"/>
          <w:sz w:val="24"/>
          <w:szCs w:val="22"/>
          <w:highlight w:val="none"/>
          <w:lang w:eastAsia="zh-CN"/>
        </w:rPr>
        <w:t>、</w:t>
      </w:r>
      <w:r>
        <w:rPr>
          <w:rFonts w:hint="eastAsia" w:ascii="宋体" w:hAnsi="宋体"/>
          <w:color w:val="auto"/>
          <w:sz w:val="24"/>
          <w:szCs w:val="22"/>
          <w:highlight w:val="none"/>
        </w:rPr>
        <w:t>空油桶暂存在危险废物贮存点，委托有资质的单位统一处理。</w:t>
      </w:r>
    </w:p>
    <w:p w14:paraId="501912EC">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9.4.5 环境风险</w:t>
      </w:r>
    </w:p>
    <w:p w14:paraId="7182BE7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szCs w:val="32"/>
          <w:highlight w:val="none"/>
        </w:rPr>
        <w:t>环境风险评价结果表明，本项目在采取有效的安全防范措施，落实各项污染治理措施和采取本报告书提出的有关要求和建议的前提下，项目基本满足国家相关环境保护和安全法规、标准的要求，在发生不大于本报告书设定的最大可信事故的情况下，本项目从环境风险的角度考虑是可行的。但企业仍需要提高风险管理水平和强化风险防范措施，降低环境风险事故发生的概率</w:t>
      </w:r>
      <w:r>
        <w:rPr>
          <w:rFonts w:hint="default" w:ascii="Times New Roman" w:hAnsi="Times New Roman" w:cs="Times New Roman"/>
          <w:color w:val="auto"/>
          <w:highlight w:val="none"/>
        </w:rPr>
        <w:t>。</w:t>
      </w:r>
    </w:p>
    <w:p w14:paraId="22C865B2">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59" w:name="_Toc15874"/>
      <w:bookmarkStart w:id="360" w:name="_Toc21261"/>
      <w:r>
        <w:rPr>
          <w:rFonts w:hint="default" w:ascii="Times New Roman" w:hAnsi="Times New Roman" w:eastAsia="宋体" w:cs="Times New Roman"/>
          <w:color w:val="auto"/>
          <w:highlight w:val="none"/>
        </w:rPr>
        <w:t>9.5 环境影响经济损益分析</w:t>
      </w:r>
      <w:bookmarkEnd w:id="359"/>
      <w:bookmarkEnd w:id="360"/>
    </w:p>
    <w:p w14:paraId="052B438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具有较好的经济和环保效益，同时具有一定的社会效益。同时项目治理措施较为完善，正常情况下，可使项目建设过程中所产生的各项负面影响消除或减轻，从而使项目的建设取得较好的经济、社会效益和环境效益。</w:t>
      </w:r>
    </w:p>
    <w:p w14:paraId="05AF82A5">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61" w:name="_Toc24841"/>
      <w:bookmarkStart w:id="362" w:name="_Toc19693"/>
      <w:bookmarkStart w:id="363" w:name="_Toc14296"/>
      <w:r>
        <w:rPr>
          <w:rFonts w:hint="default" w:ascii="Times New Roman" w:hAnsi="Times New Roman" w:eastAsia="宋体" w:cs="Times New Roman"/>
          <w:color w:val="auto"/>
          <w:highlight w:val="none"/>
        </w:rPr>
        <w:t>9.6 项目建设环境可行性</w:t>
      </w:r>
      <w:bookmarkEnd w:id="361"/>
      <w:bookmarkEnd w:id="362"/>
      <w:bookmarkEnd w:id="363"/>
    </w:p>
    <w:p w14:paraId="0EFDBAFC">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（1）本项目</w:t>
      </w:r>
      <w:r>
        <w:rPr>
          <w:rFonts w:hint="eastAsia" w:cs="Times New Roman"/>
          <w:color w:val="auto"/>
          <w:highlight w:val="none"/>
          <w:lang w:eastAsia="zh-CN"/>
        </w:rPr>
        <w:t>属于</w:t>
      </w:r>
      <w:r>
        <w:rPr>
          <w:rFonts w:hint="eastAsia" w:ascii="Times New Roman" w:hAnsi="Times New Roman" w:cs="Times New Roman"/>
          <w:color w:val="auto"/>
          <w:highlight w:val="none"/>
          <w:lang w:eastAsia="zh-CN"/>
        </w:rPr>
        <w:t>《产业结构调整指导目录（2024年本）》</w:t>
      </w:r>
      <w:r>
        <w:rPr>
          <w:rFonts w:hint="default" w:ascii="Times New Roman" w:hAnsi="Times New Roman" w:cs="Times New Roman"/>
          <w:color w:val="auto"/>
          <w:highlight w:val="none"/>
        </w:rPr>
        <w:t>鼓励类，符合国家有关产业政策要求。</w:t>
      </w:r>
    </w:p>
    <w:p w14:paraId="4633985C">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（2）生态环境分区管控符合性分析</w:t>
      </w:r>
    </w:p>
    <w:p w14:paraId="64A9D18D">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根据对项目的生态保护红线、环境质量底线、资源利用上线和环境准入负面 清单进行分析，项目符合“三线一单”要求。</w:t>
      </w:r>
    </w:p>
    <w:p w14:paraId="2C47F4AB">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综上所述，从环境保护角度分析，该项目建设是可行的。</w:t>
      </w:r>
    </w:p>
    <w:p w14:paraId="60D6EDD9">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64" w:name="_Toc12187"/>
      <w:bookmarkStart w:id="365" w:name="_Toc3847"/>
      <w:r>
        <w:rPr>
          <w:rFonts w:hint="default" w:ascii="Times New Roman" w:hAnsi="Times New Roman" w:eastAsia="宋体" w:cs="Times New Roman"/>
          <w:color w:val="auto"/>
          <w:highlight w:val="none"/>
        </w:rPr>
        <w:t>9.7 公众参与</w:t>
      </w:r>
      <w:bookmarkEnd w:id="364"/>
      <w:bookmarkEnd w:id="365"/>
    </w:p>
    <w:p w14:paraId="4F1D3757">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根据建设单位提供的《</w:t>
      </w:r>
      <w:r>
        <w:rPr>
          <w:rFonts w:hint="default" w:ascii="Times New Roman" w:hAnsi="Times New Roman" w:cs="Times New Roman"/>
          <w:color w:val="auto"/>
          <w:highlight w:val="none"/>
          <w:lang w:eastAsia="zh-CN"/>
        </w:rPr>
        <w:t>鄯善县厚旺铜矿有限责任公司年产3000吨阴极铜技术改造项目</w:t>
      </w:r>
      <w:r>
        <w:rPr>
          <w:rFonts w:hint="default" w:ascii="Times New Roman" w:hAnsi="Times New Roman" w:cs="Times New Roman"/>
          <w:color w:val="auto"/>
          <w:highlight w:val="none"/>
        </w:rPr>
        <w:t>环境影响评价公众参与说明》，建设单位按照国家相关要求进行了公众参与调查（包括网上公示和公众参与表格，调查对象主要为项目周边居民及企业）。项目环评公示期间，建设单位和环评单位均未收到反对本项目建设的意见和相关具体要求，本次工作参与符合《环境保护公众参与办法》（环境保护部令第35号）要求，调查结果能较全面反映群众意见，应予采纳。</w:t>
      </w:r>
    </w:p>
    <w:p w14:paraId="0FA1E98F">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66" w:name="_Toc15235"/>
      <w:bookmarkStart w:id="367" w:name="_Toc28949"/>
      <w:r>
        <w:rPr>
          <w:rFonts w:hint="default" w:ascii="Times New Roman" w:hAnsi="Times New Roman" w:eastAsia="宋体" w:cs="Times New Roman"/>
          <w:color w:val="auto"/>
          <w:highlight w:val="none"/>
        </w:rPr>
        <w:t>9.8 建议及要求</w:t>
      </w:r>
      <w:bookmarkEnd w:id="366"/>
      <w:bookmarkEnd w:id="367"/>
    </w:p>
    <w:p w14:paraId="67C4F548">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（1）项目防护距离范围内不得新建医院、学校、居民区和食品、药品生产企业等环境敏感目标。</w:t>
      </w:r>
    </w:p>
    <w:p w14:paraId="4208E15B">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（2）严格执行主体工程和环保设施同时设计、同时施工、同时投产的“三同时”制度，并在项目投产后，切实加强安全和环境管理，确保各类生产和环保设施同步正常运转。</w:t>
      </w:r>
    </w:p>
    <w:p w14:paraId="31C5A96D">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（3）加强运行管理和烟气处理设施维护，做好各个排气筒事故排放等环境事故应急防范措施。按报告书提出的环境监测计划，定期开展污染源及周边环境空气、地表水、地下水、土壤等环境要素的监测。</w:t>
      </w:r>
    </w:p>
    <w:p w14:paraId="01DEB290">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68" w:name="_Toc13065"/>
      <w:bookmarkStart w:id="369" w:name="_Toc19812"/>
      <w:r>
        <w:rPr>
          <w:rFonts w:hint="default" w:ascii="Times New Roman" w:hAnsi="Times New Roman" w:eastAsia="宋体" w:cs="Times New Roman"/>
          <w:color w:val="auto"/>
          <w:highlight w:val="none"/>
        </w:rPr>
        <w:t>9.9 总结论</w:t>
      </w:r>
      <w:bookmarkEnd w:id="368"/>
      <w:bookmarkEnd w:id="369"/>
    </w:p>
    <w:p w14:paraId="14140662">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综上所述，本项目的建设符合国家产业政策；选址符合相关规划；符合生态环境分区管控的控制要求；本项目选用较为先进的技术和设备</w:t>
      </w:r>
      <w:r>
        <w:rPr>
          <w:rFonts w:hint="eastAsia" w:cs="Times New Roman"/>
          <w:color w:val="auto"/>
          <w:highlight w:val="none"/>
          <w:lang w:eastAsia="zh-CN"/>
        </w:rPr>
        <w:t>，在</w:t>
      </w:r>
      <w:r>
        <w:rPr>
          <w:rFonts w:hint="default" w:ascii="Times New Roman" w:hAnsi="Times New Roman" w:cs="Times New Roman"/>
          <w:color w:val="auto"/>
          <w:highlight w:val="none"/>
        </w:rPr>
        <w:t>运营过程中充分体现了循环经济的理念；污染治理措施能够满足环保管理的要求，废气、噪声、固体废物均能实现达标排放和安全处置，对大气环境、声环境、地表水、地下水及土壤环境的影响较小；具有一定的环境经济效益</w:t>
      </w:r>
      <w:r>
        <w:rPr>
          <w:rFonts w:hint="eastAsia" w:cs="Times New Roman"/>
          <w:color w:val="auto"/>
          <w:highlight w:val="none"/>
          <w:lang w:eastAsia="zh-CN"/>
        </w:rPr>
        <w:t>；对</w:t>
      </w:r>
      <w:r>
        <w:rPr>
          <w:rFonts w:hint="default" w:ascii="Times New Roman" w:hAnsi="Times New Roman" w:cs="Times New Roman"/>
          <w:color w:val="auto"/>
          <w:highlight w:val="none"/>
        </w:rPr>
        <w:t>公众表示支持、无反对意见。从环境保护角度分析，在建设单位落实各项环境保护措施的基础上，本项目的建设是可行的。</w:t>
      </w:r>
    </w:p>
    <w:p w14:paraId="7C3FED9F">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14702F5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15D69B0">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F8E62E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54858D73">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A3A747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3E7D296C">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1025954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6DB82649">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206FC76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517412F8">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429B7C9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6FCB6336">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20090F8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sectPr>
      <w:footerReference r:id="rId33" w:type="first"/>
      <w:footerReference r:id="rId32"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華康中楷體">
    <w:altName w:val="Microsoft JhengHei"/>
    <w:panose1 w:val="00000000000000000000"/>
    <w:charset w:val="88"/>
    <w:family w:val="decorative"/>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Arial Black">
    <w:panose1 w:val="020B0A04020102020204"/>
    <w:charset w:val="00"/>
    <w:family w:val="swiss"/>
    <w:pitch w:val="default"/>
    <w:sig w:usb0="A00002AF" w:usb1="400078FB" w:usb2="00000000" w:usb3="00000000" w:csb0="6000009F" w:csb1="DFD70000"/>
  </w:font>
  <w:font w:name="方正书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9DF25">
    <w:pPr>
      <w:pStyle w:val="1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F4CFE">
    <w:pPr>
      <w:ind w:firstLine="0" w:firstLineChars="0"/>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265ED">
                          <w:pPr>
                            <w:pStyle w:val="19"/>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423265ED">
                    <w:pPr>
                      <w:pStyle w:val="19"/>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A7982">
    <w:pPr>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A6E7C">
                          <w:pPr>
                            <w:pStyle w:val="19"/>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697A6E7C">
                    <w:pPr>
                      <w:pStyle w:val="19"/>
                    </w:pPr>
                    <w:r>
                      <w:fldChar w:fldCharType="begin"/>
                    </w:r>
                    <w:r>
                      <w:instrText xml:space="preserve"> PAGE  \* MERGEFORMAT </w:instrText>
                    </w:r>
                    <w:r>
                      <w:fldChar w:fldCharType="separate"/>
                    </w:r>
                    <w:r>
                      <w:t>86</w:t>
                    </w:r>
                    <w:r>
                      <w:fldChar w:fldCharType="end"/>
                    </w:r>
                  </w:p>
                </w:txbxContent>
              </v:textbox>
            </v:shape>
          </w:pict>
        </mc:Fallback>
      </mc:AlternateContent>
    </w:r>
    <w:r>
      <w:rPr>
        <w:rFonts w:ascii="宋体" w:hAnsi="宋体"/>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519F1">
    <w:pPr>
      <w:ind w:firstLine="0" w:firstLineChars="0"/>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86079">
                          <w:pPr>
                            <w:pStyle w:val="19"/>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78186079">
                    <w:pPr>
                      <w:pStyle w:val="19"/>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68E89">
    <w:pPr>
      <w:ind w:firstLine="0" w:firstLineChars="0"/>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BACA8">
                          <w:pPr>
                            <w:pStyle w:val="19"/>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17FBACA8">
                    <w:pPr>
                      <w:pStyle w:val="19"/>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EBDF8">
    <w:pPr>
      <w:pStyle w:val="19"/>
      <w:ind w:left="0" w:leftChars="0" w:firstLine="0" w:firstLineChars="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7E521">
                          <w:pPr>
                            <w:pStyle w:val="19"/>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2BB7E521">
                    <w:pPr>
                      <w:pStyle w:val="19"/>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511AF">
    <w:pPr>
      <w:pStyle w:val="19"/>
      <w:ind w:firstLine="0" w:firstLineChars="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0CDF9">
                          <w:pPr>
                            <w:pStyle w:val="19"/>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7920CDF9">
                    <w:pPr>
                      <w:pStyle w:val="19"/>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67BB1">
    <w:pPr>
      <w:ind w:firstLine="0" w:firstLineChars="0"/>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FAE1B">
                          <w:pPr>
                            <w:pStyle w:val="19"/>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281FAE1B">
                    <w:pPr>
                      <w:pStyle w:val="19"/>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CFE6D">
    <w:pPr>
      <w:ind w:firstLine="0" w:firstLineChars="0"/>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89381">
                          <w:pPr>
                            <w:pStyle w:val="19"/>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30F89381">
                    <w:pPr>
                      <w:pStyle w:val="19"/>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921CF">
    <w:pPr>
      <w:ind w:firstLine="0" w:firstLineChars="0"/>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9B9EF">
                          <w:pPr>
                            <w:pStyle w:val="19"/>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0AF9B9EF">
                    <w:pPr>
                      <w:pStyle w:val="19"/>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8537B">
    <w:pPr>
      <w:ind w:firstLine="0" w:firstLineChars="0"/>
    </w:pP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09C5A">
                          <w:pPr>
                            <w:pStyle w:val="19"/>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0BC09C5A">
                    <w:pPr>
                      <w:pStyle w:val="19"/>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27850">
    <w:pPr>
      <w:pStyle w:val="19"/>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F1E9F">
    <w:pPr>
      <w:ind w:firstLine="0" w:firstLineChars="0"/>
    </w:pPr>
    <w:r>
      <w:rPr>
        <w:sz w:val="24"/>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17EC7">
                          <w:pPr>
                            <w:pStyle w:val="19"/>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71F17EC7">
                    <w:pPr>
                      <w:pStyle w:val="19"/>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C1F07">
    <w:pPr>
      <w:ind w:firstLine="0" w:firstLineChars="0"/>
    </w:pPr>
    <w:r>
      <w:rPr>
        <w:sz w:val="24"/>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75F2D">
                          <w:pPr>
                            <w:pStyle w:val="19"/>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4F075F2D">
                    <w:pPr>
                      <w:pStyle w:val="19"/>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79C53">
    <w:pPr>
      <w:ind w:firstLine="0" w:firstLineChars="0"/>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7BEC3">
                          <w:pPr>
                            <w:pStyle w:val="19"/>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3D17BEC3">
                    <w:pPr>
                      <w:pStyle w:val="19"/>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C6F0F">
    <w:pPr>
      <w:ind w:firstLine="0" w:firstLineChars="0"/>
    </w:pPr>
    <w:r>
      <w:rPr>
        <w:sz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C6AF2">
                          <w:pPr>
                            <w:pStyle w:val="19"/>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7CCC6AF2">
                    <w:pPr>
                      <w:pStyle w:val="19"/>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37F6">
    <w:pPr>
      <w:ind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1CD8E9">
                          <w:pPr>
                            <w:pStyle w:val="19"/>
                            <w:ind w:firstLine="36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31CD8E9">
                    <w:pPr>
                      <w:pStyle w:val="19"/>
                      <w:ind w:firstLine="36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r>
      <w:rPr>
        <w:rFonts w:ascii="宋体" w:hAnsi="宋体"/>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39ECE">
    <w:pPr>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37C61">
    <w:pPr>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5A480">
    <w:pPr>
      <w:ind w:firstLine="0" w:firstLineChars="0"/>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3803">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31373803">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90863">
    <w:pPr>
      <w:ind w:firstLine="0" w:firstLineChars="0"/>
    </w:pPr>
    <w:r>
      <w:rPr>
        <w:sz w:val="24"/>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11F28">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0E911F28">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EA1F5">
    <w:pPr>
      <w:ind w:firstLine="0" w:firstLineChars="0"/>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F3703">
                          <w:pPr>
                            <w:pStyle w:val="1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6ACF3703">
                    <w:pPr>
                      <w:pStyle w:val="1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4789B">
    <w:pPr>
      <w:ind w:firstLine="0" w:firstLineChars="0"/>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9CC11">
                          <w:pPr>
                            <w:pStyle w:val="1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1679CC11">
                    <w:pPr>
                      <w:pStyle w:val="1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810BF">
    <w:pPr>
      <w:pStyle w:val="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3ABC9">
    <w:pPr>
      <w:pStyle w:val="20"/>
      <w:pBdr>
        <w:bottom w:val="none" w:color="auto" w:sz="0" w:space="0"/>
      </w:pBdr>
      <w:ind w:firstLine="0" w:firstLineChars="0"/>
      <w:jc w:val="left"/>
      <w:rPr>
        <w:color w:val="000000" w:themeColor="text1"/>
        <w:u w:val="single"/>
        <w14:textFill>
          <w14:solidFill>
            <w14:schemeClr w14:val="tx1"/>
          </w14:solidFill>
        </w14:textFill>
      </w:rPr>
    </w:pPr>
    <w:r>
      <w:rPr>
        <w:rFonts w:hint="eastAsia" w:hAnsi="宋体"/>
        <w:bCs/>
        <w:u w:val="single"/>
      </w:rPr>
      <w:t xml:space="preserve">目录                                   </w:t>
    </w:r>
    <w:r>
      <w:rPr>
        <w:rFonts w:hint="eastAsia" w:hAnsi="宋体"/>
        <w:bCs/>
        <w:color w:val="000000" w:themeColor="text1"/>
        <w:u w:val="single"/>
        <w:lang w:eastAsia="zh-CN"/>
        <w14:textFill>
          <w14:solidFill>
            <w14:schemeClr w14:val="tx1"/>
          </w14:solidFill>
        </w14:textFill>
      </w:rPr>
      <w:t>鄯善县厚旺铜矿有限责任公司年产3000吨阴极铜技术改造项目</w:t>
    </w:r>
    <w:r>
      <w:rPr>
        <w:rFonts w:hint="eastAsia" w:hAnsi="宋体"/>
        <w:color w:val="000000" w:themeColor="text1"/>
        <w:u w:val="single"/>
        <w14:textFill>
          <w14:solidFill>
            <w14:schemeClr w14:val="tx1"/>
          </w14:solidFill>
        </w14:textFill>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ED8D5">
    <w:pPr>
      <w:keepNext w:val="0"/>
      <w:keepLines w:val="0"/>
      <w:pageBreakBefore w:val="0"/>
      <w:widowControl w:val="0"/>
      <w:pBdr>
        <w:bottom w:val="double" w:color="auto" w:sz="8" w:space="0"/>
      </w:pBdr>
      <w:kinsoku/>
      <w:wordWrap/>
      <w:overflowPunct/>
      <w:topLinePunct w:val="0"/>
      <w:bidi w:val="0"/>
      <w:adjustRightInd w:val="0"/>
      <w:snapToGrid w:val="0"/>
      <w:spacing w:line="240" w:lineRule="auto"/>
      <w:ind w:left="0" w:leftChars="0" w:right="0" w:firstLine="0" w:firstLineChars="0"/>
      <w:jc w:val="center"/>
      <w:textAlignment w:val="auto"/>
    </w:pPr>
    <w:r>
      <w:rPr>
        <w:rFonts w:hint="default" w:ascii="Times New Roman" w:hAnsi="Times New Roman" w:cs="Times New Roman"/>
        <w:b w:val="0"/>
        <w:bCs/>
        <w:color w:val="auto"/>
        <w:sz w:val="21"/>
        <w:szCs w:val="21"/>
      </w:rPr>
      <w:t>鄯善县厚旺铜矿有限责任公司年产3000吨阴极铜技术改造项目环境影响报告书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C162C">
    <w:pPr>
      <w:keepNext w:val="0"/>
      <w:keepLines w:val="0"/>
      <w:pageBreakBefore w:val="0"/>
      <w:widowControl w:val="0"/>
      <w:pBdr>
        <w:bottom w:val="double" w:color="auto" w:sz="8" w:space="0"/>
      </w:pBdr>
      <w:kinsoku/>
      <w:wordWrap/>
      <w:overflowPunct/>
      <w:topLinePunct w:val="0"/>
      <w:bidi w:val="0"/>
      <w:adjustRightInd w:val="0"/>
      <w:snapToGrid w:val="0"/>
      <w:spacing w:line="240" w:lineRule="auto"/>
      <w:ind w:left="0" w:leftChars="0" w:right="0" w:firstLine="0" w:firstLineChars="0"/>
      <w:jc w:val="center"/>
      <w:textAlignment w:val="auto"/>
    </w:pPr>
    <w:r>
      <w:rPr>
        <w:rFonts w:hint="default" w:ascii="Times New Roman" w:hAnsi="Times New Roman" w:cs="Times New Roman"/>
        <w:b w:val="0"/>
        <w:bCs/>
        <w:color w:val="auto"/>
        <w:sz w:val="21"/>
        <w:szCs w:val="21"/>
        <w:u w:val="none"/>
      </w:rPr>
      <w:t>鄯善县厚旺铜矿有限责任公司年产3000吨阴极铜技术改造项目环境影响报告书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018AA">
    <w:pPr>
      <w:keepNext w:val="0"/>
      <w:keepLines w:val="0"/>
      <w:pageBreakBefore w:val="0"/>
      <w:widowControl w:val="0"/>
      <w:pBdr>
        <w:bottom w:val="double" w:color="auto" w:sz="8" w:space="0"/>
      </w:pBdr>
      <w:kinsoku/>
      <w:wordWrap/>
      <w:overflowPunct/>
      <w:topLinePunct w:val="0"/>
      <w:bidi w:val="0"/>
      <w:adjustRightInd w:val="0"/>
      <w:snapToGrid w:val="0"/>
      <w:spacing w:line="240" w:lineRule="auto"/>
      <w:ind w:left="0" w:leftChars="0" w:right="0" w:firstLine="0" w:firstLineChars="0"/>
      <w:jc w:val="center"/>
      <w:textAlignment w:val="auto"/>
    </w:pPr>
    <w:r>
      <w:rPr>
        <w:rFonts w:hint="default" w:ascii="Times New Roman" w:hAnsi="Times New Roman" w:cs="Times New Roman"/>
        <w:b w:val="0"/>
        <w:bCs/>
        <w:color w:val="auto"/>
        <w:sz w:val="21"/>
        <w:szCs w:val="21"/>
        <w:u w:val="none"/>
      </w:rPr>
      <w:t>鄯善县厚旺铜矿有限责任公司年产3000吨阴极铜技术改造项目环境影响报告书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61AC">
    <w:pPr>
      <w:pStyle w:val="20"/>
      <w:pBdr>
        <w:bottom w:val="thinThickSmallGap" w:color="auto" w:sz="12" w:space="1"/>
      </w:pBdr>
    </w:pPr>
    <w:r>
      <w:rPr>
        <w:rFonts w:hint="eastAsia" w:ascii="Times New Roman" w:hAnsi="黑体" w:eastAsia="黑体" w:cs="Times New Roman"/>
        <w:color w:val="000000"/>
        <w:sz w:val="21"/>
        <w:szCs w:val="21"/>
      </w:rPr>
      <w:t>哈密焱鑫铜业有限公司土屋铜矿堆浸半工业试验研究项目环境影响报告书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FF43"/>
    <w:multiLevelType w:val="singleLevel"/>
    <w:tmpl w:val="996FFF43"/>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1">
    <w:nsid w:val="BC6B18A1"/>
    <w:multiLevelType w:val="multilevel"/>
    <w:tmpl w:val="BC6B18A1"/>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00000023"/>
    <w:multiLevelType w:val="multilevel"/>
    <w:tmpl w:val="00000023"/>
    <w:lvl w:ilvl="0" w:tentative="0">
      <w:start w:val="1"/>
      <w:numFmt w:val="upperLetter"/>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32A9B07"/>
    <w:multiLevelType w:val="singleLevel"/>
    <w:tmpl w:val="032A9B07"/>
    <w:lvl w:ilvl="0" w:tentative="0">
      <w:start w:val="2"/>
      <w:numFmt w:val="decimal"/>
      <w:suff w:val="nothing"/>
      <w:lvlText w:val="（%1）"/>
      <w:lvlJc w:val="left"/>
    </w:lvl>
  </w:abstractNum>
  <w:abstractNum w:abstractNumId="4">
    <w:nsid w:val="29FE42FD"/>
    <w:multiLevelType w:val="multilevel"/>
    <w:tmpl w:val="29FE42FD"/>
    <w:lvl w:ilvl="0" w:tentative="0">
      <w:start w:val="1"/>
      <w:numFmt w:val="decimal"/>
      <w:suff w:val="space"/>
      <w:lvlText w:val="%1"/>
      <w:lvlJc w:val="left"/>
      <w:pPr>
        <w:ind w:left="0" w:firstLine="0"/>
      </w:pPr>
      <w:rPr>
        <w:rFonts w:hint="eastAsia"/>
        <w:sz w:val="30"/>
        <w:szCs w:val="30"/>
      </w:rPr>
    </w:lvl>
    <w:lvl w:ilvl="1" w:tentative="0">
      <w:start w:val="1"/>
      <w:numFmt w:val="decimal"/>
      <w:pStyle w:val="55"/>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2BB44A98"/>
    <w:multiLevelType w:val="multilevel"/>
    <w:tmpl w:val="2BB44A9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5373F9FF"/>
    <w:multiLevelType w:val="singleLevel"/>
    <w:tmpl w:val="5373F9FF"/>
    <w:lvl w:ilvl="0" w:tentative="0">
      <w:start w:val="1"/>
      <w:numFmt w:val="decimal"/>
      <w:suff w:val="nothing"/>
      <w:lvlText w:val="（%1）"/>
      <w:lvlJc w:val="left"/>
    </w:lvl>
  </w:abstractNum>
  <w:abstractNum w:abstractNumId="7">
    <w:nsid w:val="590C3712"/>
    <w:multiLevelType w:val="multilevel"/>
    <w:tmpl w:val="590C3712"/>
    <w:lvl w:ilvl="0" w:tentative="0">
      <w:start w:val="0"/>
      <w:numFmt w:val="none"/>
      <w:pStyle w:val="114"/>
      <w:lvlText w:val=""/>
      <w:lvlJc w:val="left"/>
      <w:pPr>
        <w:tabs>
          <w:tab w:val="left" w:pos="360"/>
        </w:tabs>
      </w:pPr>
    </w:lvl>
    <w:lvl w:ilvl="1" w:tentative="0">
      <w:start w:val="1"/>
      <w:numFmt w:val="lowerLetter"/>
      <w:lvlText w:val="%2)"/>
      <w:lvlJc w:val="left"/>
      <w:pPr>
        <w:ind w:left="840" w:hanging="420"/>
      </w:pPr>
      <w:rPr>
        <w:rFonts w:hint="default" w:ascii="宋体" w:hAnsi="宋体" w:eastAsia="宋体" w:cs="宋体"/>
      </w:rPr>
    </w:lvl>
    <w:lvl w:ilvl="2" w:tentative="0">
      <w:start w:val="1"/>
      <w:numFmt w:val="decimal"/>
      <w:lvlText w:val="%3."/>
      <w:lvlJc w:val="right"/>
      <w:pPr>
        <w:ind w:left="1260" w:hanging="420"/>
      </w:pPr>
      <w:rPr>
        <w:rFonts w:hint="default" w:ascii="宋体" w:hAnsi="宋体" w:eastAsia="宋体" w:cs="宋体"/>
      </w:rPr>
    </w:lvl>
    <w:lvl w:ilvl="3" w:tentative="0">
      <w:start w:val="1"/>
      <w:numFmt w:val="decimal"/>
      <w:lvlText w:val="%4."/>
      <w:lvlJc w:val="left"/>
      <w:pPr>
        <w:ind w:left="1680" w:hanging="420"/>
      </w:pPr>
      <w:rPr>
        <w:rFonts w:hint="default" w:ascii="宋体" w:hAnsi="宋体" w:eastAsia="宋体" w:cs="宋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4"/>
  </w:num>
  <w:num w:numId="3">
    <w:abstractNumId w:val="7"/>
  </w:num>
  <w:num w:numId="4">
    <w:abstractNumId w:val="1"/>
  </w:num>
  <w:num w:numId="5">
    <w:abstractNumId w:val="5"/>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doNotShadeFormData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MmI2MGNmNjY3YzNjOGM3NDg1ODlhOTY3NDMzNTQifQ=="/>
    <w:docVar w:name="KSO_WPS_MARK_KEY" w:val="c4821e7b-a1ed-4460-8134-4c09848071d8"/>
  </w:docVars>
  <w:rsids>
    <w:rsidRoot w:val="00172A27"/>
    <w:rsid w:val="00002F86"/>
    <w:rsid w:val="00004334"/>
    <w:rsid w:val="00012F78"/>
    <w:rsid w:val="000166FC"/>
    <w:rsid w:val="00017AC7"/>
    <w:rsid w:val="0002372E"/>
    <w:rsid w:val="00025197"/>
    <w:rsid w:val="0002782C"/>
    <w:rsid w:val="00027C92"/>
    <w:rsid w:val="00030A8C"/>
    <w:rsid w:val="00031EB2"/>
    <w:rsid w:val="000330CA"/>
    <w:rsid w:val="000331FE"/>
    <w:rsid w:val="000349FC"/>
    <w:rsid w:val="000355AC"/>
    <w:rsid w:val="00035822"/>
    <w:rsid w:val="00037AE5"/>
    <w:rsid w:val="000406F1"/>
    <w:rsid w:val="00044230"/>
    <w:rsid w:val="000509B8"/>
    <w:rsid w:val="00052ADF"/>
    <w:rsid w:val="0005486B"/>
    <w:rsid w:val="00055322"/>
    <w:rsid w:val="000578B4"/>
    <w:rsid w:val="00061850"/>
    <w:rsid w:val="00062E08"/>
    <w:rsid w:val="00063601"/>
    <w:rsid w:val="00064CCF"/>
    <w:rsid w:val="00066746"/>
    <w:rsid w:val="00066C4F"/>
    <w:rsid w:val="00070CC9"/>
    <w:rsid w:val="000722A3"/>
    <w:rsid w:val="00072C44"/>
    <w:rsid w:val="00074439"/>
    <w:rsid w:val="00075CE2"/>
    <w:rsid w:val="000774C5"/>
    <w:rsid w:val="000826DE"/>
    <w:rsid w:val="00083A2A"/>
    <w:rsid w:val="0008490F"/>
    <w:rsid w:val="000850E8"/>
    <w:rsid w:val="0008532A"/>
    <w:rsid w:val="000854A9"/>
    <w:rsid w:val="00085E9D"/>
    <w:rsid w:val="00087AF3"/>
    <w:rsid w:val="00090B43"/>
    <w:rsid w:val="00091688"/>
    <w:rsid w:val="0009281F"/>
    <w:rsid w:val="00093CEB"/>
    <w:rsid w:val="00094E01"/>
    <w:rsid w:val="00095A64"/>
    <w:rsid w:val="0009716F"/>
    <w:rsid w:val="000A08C5"/>
    <w:rsid w:val="000A160B"/>
    <w:rsid w:val="000A20F2"/>
    <w:rsid w:val="000A45E0"/>
    <w:rsid w:val="000A59DE"/>
    <w:rsid w:val="000A6F68"/>
    <w:rsid w:val="000A7E46"/>
    <w:rsid w:val="000B38F3"/>
    <w:rsid w:val="000B3EE8"/>
    <w:rsid w:val="000B4120"/>
    <w:rsid w:val="000B434D"/>
    <w:rsid w:val="000B4820"/>
    <w:rsid w:val="000B4A1A"/>
    <w:rsid w:val="000C12B8"/>
    <w:rsid w:val="000C4ED4"/>
    <w:rsid w:val="000C6F71"/>
    <w:rsid w:val="000C705E"/>
    <w:rsid w:val="000D087B"/>
    <w:rsid w:val="000D2F08"/>
    <w:rsid w:val="000D5613"/>
    <w:rsid w:val="000D7581"/>
    <w:rsid w:val="000E0197"/>
    <w:rsid w:val="000E0C14"/>
    <w:rsid w:val="000E28DB"/>
    <w:rsid w:val="000E6519"/>
    <w:rsid w:val="000E6CC9"/>
    <w:rsid w:val="000E74E6"/>
    <w:rsid w:val="000E75F1"/>
    <w:rsid w:val="000F1985"/>
    <w:rsid w:val="000F32E2"/>
    <w:rsid w:val="000F3747"/>
    <w:rsid w:val="000F4161"/>
    <w:rsid w:val="000F4615"/>
    <w:rsid w:val="000F5BA3"/>
    <w:rsid w:val="000F5D69"/>
    <w:rsid w:val="000F6E36"/>
    <w:rsid w:val="00100139"/>
    <w:rsid w:val="001007F4"/>
    <w:rsid w:val="00101A6A"/>
    <w:rsid w:val="0010216A"/>
    <w:rsid w:val="00105E33"/>
    <w:rsid w:val="001060FE"/>
    <w:rsid w:val="001108EE"/>
    <w:rsid w:val="0011344A"/>
    <w:rsid w:val="00114259"/>
    <w:rsid w:val="001142C0"/>
    <w:rsid w:val="00115483"/>
    <w:rsid w:val="00116C24"/>
    <w:rsid w:val="001170EB"/>
    <w:rsid w:val="001207C9"/>
    <w:rsid w:val="001214A1"/>
    <w:rsid w:val="001218C1"/>
    <w:rsid w:val="00122CE3"/>
    <w:rsid w:val="00127A98"/>
    <w:rsid w:val="0013065A"/>
    <w:rsid w:val="001316A7"/>
    <w:rsid w:val="00131B27"/>
    <w:rsid w:val="00133AEC"/>
    <w:rsid w:val="001373F7"/>
    <w:rsid w:val="001378F1"/>
    <w:rsid w:val="0013791B"/>
    <w:rsid w:val="00137FB6"/>
    <w:rsid w:val="00143336"/>
    <w:rsid w:val="0014421A"/>
    <w:rsid w:val="00144B5D"/>
    <w:rsid w:val="0014599A"/>
    <w:rsid w:val="00145A1B"/>
    <w:rsid w:val="00145B93"/>
    <w:rsid w:val="0014706C"/>
    <w:rsid w:val="00153FFB"/>
    <w:rsid w:val="00154416"/>
    <w:rsid w:val="00156D30"/>
    <w:rsid w:val="00157EA2"/>
    <w:rsid w:val="001613C0"/>
    <w:rsid w:val="0016191C"/>
    <w:rsid w:val="001622B3"/>
    <w:rsid w:val="00165544"/>
    <w:rsid w:val="00166F9B"/>
    <w:rsid w:val="00167ACA"/>
    <w:rsid w:val="00171E42"/>
    <w:rsid w:val="00171F7E"/>
    <w:rsid w:val="00172A27"/>
    <w:rsid w:val="0017575E"/>
    <w:rsid w:val="00175BBC"/>
    <w:rsid w:val="00176000"/>
    <w:rsid w:val="001761B4"/>
    <w:rsid w:val="001778F3"/>
    <w:rsid w:val="00186B25"/>
    <w:rsid w:val="00187317"/>
    <w:rsid w:val="0019021A"/>
    <w:rsid w:val="00190B9B"/>
    <w:rsid w:val="00191A7A"/>
    <w:rsid w:val="00191D91"/>
    <w:rsid w:val="00192297"/>
    <w:rsid w:val="001946B9"/>
    <w:rsid w:val="00194998"/>
    <w:rsid w:val="001A0102"/>
    <w:rsid w:val="001A0149"/>
    <w:rsid w:val="001A2929"/>
    <w:rsid w:val="001A2F97"/>
    <w:rsid w:val="001A37ED"/>
    <w:rsid w:val="001A5400"/>
    <w:rsid w:val="001A729C"/>
    <w:rsid w:val="001A741E"/>
    <w:rsid w:val="001B0DD8"/>
    <w:rsid w:val="001B130E"/>
    <w:rsid w:val="001B142A"/>
    <w:rsid w:val="001B3E4A"/>
    <w:rsid w:val="001B6D6D"/>
    <w:rsid w:val="001B7467"/>
    <w:rsid w:val="001C221B"/>
    <w:rsid w:val="001C28B7"/>
    <w:rsid w:val="001C3F78"/>
    <w:rsid w:val="001C6F53"/>
    <w:rsid w:val="001D2810"/>
    <w:rsid w:val="001D56BF"/>
    <w:rsid w:val="001D5A07"/>
    <w:rsid w:val="001D5A19"/>
    <w:rsid w:val="001D691D"/>
    <w:rsid w:val="001E10D9"/>
    <w:rsid w:val="001E149F"/>
    <w:rsid w:val="001E239F"/>
    <w:rsid w:val="001E4247"/>
    <w:rsid w:val="001E70C3"/>
    <w:rsid w:val="001F0438"/>
    <w:rsid w:val="001F1482"/>
    <w:rsid w:val="001F220A"/>
    <w:rsid w:val="001F249F"/>
    <w:rsid w:val="001F2B7D"/>
    <w:rsid w:val="001F2E0C"/>
    <w:rsid w:val="001F3A00"/>
    <w:rsid w:val="001F52DA"/>
    <w:rsid w:val="001F6C77"/>
    <w:rsid w:val="00200CDC"/>
    <w:rsid w:val="00200D54"/>
    <w:rsid w:val="002014DD"/>
    <w:rsid w:val="00201E50"/>
    <w:rsid w:val="002036D6"/>
    <w:rsid w:val="002038EE"/>
    <w:rsid w:val="002061BF"/>
    <w:rsid w:val="002076FE"/>
    <w:rsid w:val="00207CEE"/>
    <w:rsid w:val="00210129"/>
    <w:rsid w:val="00210327"/>
    <w:rsid w:val="00211C83"/>
    <w:rsid w:val="00213749"/>
    <w:rsid w:val="00216EBB"/>
    <w:rsid w:val="00216F56"/>
    <w:rsid w:val="00216FD2"/>
    <w:rsid w:val="00221F2E"/>
    <w:rsid w:val="00223BCD"/>
    <w:rsid w:val="002240EF"/>
    <w:rsid w:val="0022554D"/>
    <w:rsid w:val="00226B07"/>
    <w:rsid w:val="002276CC"/>
    <w:rsid w:val="00227A10"/>
    <w:rsid w:val="00230E31"/>
    <w:rsid w:val="00233837"/>
    <w:rsid w:val="00234DF6"/>
    <w:rsid w:val="00235A15"/>
    <w:rsid w:val="00237CE1"/>
    <w:rsid w:val="00244486"/>
    <w:rsid w:val="00246140"/>
    <w:rsid w:val="00247082"/>
    <w:rsid w:val="002516B7"/>
    <w:rsid w:val="002534CF"/>
    <w:rsid w:val="00253C0A"/>
    <w:rsid w:val="002542C4"/>
    <w:rsid w:val="0026146F"/>
    <w:rsid w:val="002624AA"/>
    <w:rsid w:val="00263DC7"/>
    <w:rsid w:val="00264548"/>
    <w:rsid w:val="002651A3"/>
    <w:rsid w:val="00265784"/>
    <w:rsid w:val="00265AA1"/>
    <w:rsid w:val="00265B75"/>
    <w:rsid w:val="00267345"/>
    <w:rsid w:val="00267991"/>
    <w:rsid w:val="00270AE6"/>
    <w:rsid w:val="00271235"/>
    <w:rsid w:val="00277BE4"/>
    <w:rsid w:val="002804BE"/>
    <w:rsid w:val="00280856"/>
    <w:rsid w:val="00281727"/>
    <w:rsid w:val="002836A0"/>
    <w:rsid w:val="00284757"/>
    <w:rsid w:val="0028481E"/>
    <w:rsid w:val="002855F9"/>
    <w:rsid w:val="00285712"/>
    <w:rsid w:val="00285CC4"/>
    <w:rsid w:val="00285D99"/>
    <w:rsid w:val="00287BD9"/>
    <w:rsid w:val="0029198C"/>
    <w:rsid w:val="00292BAB"/>
    <w:rsid w:val="00295136"/>
    <w:rsid w:val="0029704E"/>
    <w:rsid w:val="00297A42"/>
    <w:rsid w:val="002A0B0E"/>
    <w:rsid w:val="002A26C2"/>
    <w:rsid w:val="002A2933"/>
    <w:rsid w:val="002A3AF3"/>
    <w:rsid w:val="002A6995"/>
    <w:rsid w:val="002B26D9"/>
    <w:rsid w:val="002B7B5E"/>
    <w:rsid w:val="002C1F4C"/>
    <w:rsid w:val="002C1FC6"/>
    <w:rsid w:val="002C2167"/>
    <w:rsid w:val="002C4C99"/>
    <w:rsid w:val="002C6F42"/>
    <w:rsid w:val="002C7DC0"/>
    <w:rsid w:val="002D09F5"/>
    <w:rsid w:val="002D0D52"/>
    <w:rsid w:val="002D2B0E"/>
    <w:rsid w:val="002D4F0D"/>
    <w:rsid w:val="002D61AF"/>
    <w:rsid w:val="002E16EF"/>
    <w:rsid w:val="002E1A78"/>
    <w:rsid w:val="002E2200"/>
    <w:rsid w:val="002E2B93"/>
    <w:rsid w:val="002E319D"/>
    <w:rsid w:val="002E408C"/>
    <w:rsid w:val="002E412E"/>
    <w:rsid w:val="002E58B4"/>
    <w:rsid w:val="002E58D4"/>
    <w:rsid w:val="002E5D7C"/>
    <w:rsid w:val="002E6BCA"/>
    <w:rsid w:val="002E725F"/>
    <w:rsid w:val="002F2608"/>
    <w:rsid w:val="002F34D8"/>
    <w:rsid w:val="002F4603"/>
    <w:rsid w:val="002F5884"/>
    <w:rsid w:val="002F6D33"/>
    <w:rsid w:val="003014A7"/>
    <w:rsid w:val="0030201B"/>
    <w:rsid w:val="003031D9"/>
    <w:rsid w:val="003036A5"/>
    <w:rsid w:val="0031088E"/>
    <w:rsid w:val="0031145A"/>
    <w:rsid w:val="00312617"/>
    <w:rsid w:val="00312F0C"/>
    <w:rsid w:val="003168F4"/>
    <w:rsid w:val="0031696F"/>
    <w:rsid w:val="003171C0"/>
    <w:rsid w:val="00320022"/>
    <w:rsid w:val="00322B8B"/>
    <w:rsid w:val="00322DA9"/>
    <w:rsid w:val="00324A5B"/>
    <w:rsid w:val="00324A95"/>
    <w:rsid w:val="003338DA"/>
    <w:rsid w:val="00334BF5"/>
    <w:rsid w:val="00341CE0"/>
    <w:rsid w:val="003441D5"/>
    <w:rsid w:val="00344862"/>
    <w:rsid w:val="00344C20"/>
    <w:rsid w:val="00344F42"/>
    <w:rsid w:val="003459B0"/>
    <w:rsid w:val="003463DF"/>
    <w:rsid w:val="00346575"/>
    <w:rsid w:val="00347E3C"/>
    <w:rsid w:val="003515C5"/>
    <w:rsid w:val="00352184"/>
    <w:rsid w:val="003545E6"/>
    <w:rsid w:val="00354CF0"/>
    <w:rsid w:val="00356088"/>
    <w:rsid w:val="00360C35"/>
    <w:rsid w:val="00365635"/>
    <w:rsid w:val="00365A44"/>
    <w:rsid w:val="00365AF7"/>
    <w:rsid w:val="0036652E"/>
    <w:rsid w:val="00366E87"/>
    <w:rsid w:val="003763BF"/>
    <w:rsid w:val="00382C0E"/>
    <w:rsid w:val="00382D61"/>
    <w:rsid w:val="003832F2"/>
    <w:rsid w:val="00385229"/>
    <w:rsid w:val="00390527"/>
    <w:rsid w:val="00395CBD"/>
    <w:rsid w:val="003964AF"/>
    <w:rsid w:val="00396A72"/>
    <w:rsid w:val="003A0D2D"/>
    <w:rsid w:val="003A71CD"/>
    <w:rsid w:val="003B1CBB"/>
    <w:rsid w:val="003B1D51"/>
    <w:rsid w:val="003B2435"/>
    <w:rsid w:val="003B2AA6"/>
    <w:rsid w:val="003B2B87"/>
    <w:rsid w:val="003B3538"/>
    <w:rsid w:val="003B60EC"/>
    <w:rsid w:val="003C7F28"/>
    <w:rsid w:val="003D1311"/>
    <w:rsid w:val="003D1DC9"/>
    <w:rsid w:val="003D2EE8"/>
    <w:rsid w:val="003D3574"/>
    <w:rsid w:val="003D4176"/>
    <w:rsid w:val="003D57EE"/>
    <w:rsid w:val="003D6028"/>
    <w:rsid w:val="003E40AC"/>
    <w:rsid w:val="003E58CC"/>
    <w:rsid w:val="003E66D7"/>
    <w:rsid w:val="003E7B27"/>
    <w:rsid w:val="003F076F"/>
    <w:rsid w:val="003F0FCE"/>
    <w:rsid w:val="003F1012"/>
    <w:rsid w:val="003F2483"/>
    <w:rsid w:val="003F2742"/>
    <w:rsid w:val="003F2A2B"/>
    <w:rsid w:val="003F6E14"/>
    <w:rsid w:val="003F75ED"/>
    <w:rsid w:val="003F7972"/>
    <w:rsid w:val="0040203C"/>
    <w:rsid w:val="0040258D"/>
    <w:rsid w:val="00402AF9"/>
    <w:rsid w:val="00403A7B"/>
    <w:rsid w:val="00404609"/>
    <w:rsid w:val="00406EE8"/>
    <w:rsid w:val="00407D7F"/>
    <w:rsid w:val="00410E3C"/>
    <w:rsid w:val="004115B6"/>
    <w:rsid w:val="00411600"/>
    <w:rsid w:val="004122EB"/>
    <w:rsid w:val="004125C5"/>
    <w:rsid w:val="00414808"/>
    <w:rsid w:val="00414994"/>
    <w:rsid w:val="00416C90"/>
    <w:rsid w:val="00417D5F"/>
    <w:rsid w:val="0042179D"/>
    <w:rsid w:val="004221E6"/>
    <w:rsid w:val="00422298"/>
    <w:rsid w:val="004222A8"/>
    <w:rsid w:val="00423DAB"/>
    <w:rsid w:val="00424B23"/>
    <w:rsid w:val="004253C4"/>
    <w:rsid w:val="00425417"/>
    <w:rsid w:val="00427562"/>
    <w:rsid w:val="00431AE8"/>
    <w:rsid w:val="004328A8"/>
    <w:rsid w:val="004343F2"/>
    <w:rsid w:val="004356C4"/>
    <w:rsid w:val="0043580A"/>
    <w:rsid w:val="00436ACE"/>
    <w:rsid w:val="00436D04"/>
    <w:rsid w:val="004373A4"/>
    <w:rsid w:val="004413E9"/>
    <w:rsid w:val="004431D2"/>
    <w:rsid w:val="004457C9"/>
    <w:rsid w:val="004507D5"/>
    <w:rsid w:val="00451246"/>
    <w:rsid w:val="00452340"/>
    <w:rsid w:val="00452EBB"/>
    <w:rsid w:val="00452ECB"/>
    <w:rsid w:val="00453B33"/>
    <w:rsid w:val="0045512C"/>
    <w:rsid w:val="00456F88"/>
    <w:rsid w:val="004612B2"/>
    <w:rsid w:val="00461D5B"/>
    <w:rsid w:val="00465649"/>
    <w:rsid w:val="00465951"/>
    <w:rsid w:val="004668B8"/>
    <w:rsid w:val="0046773E"/>
    <w:rsid w:val="004718AC"/>
    <w:rsid w:val="00471A3D"/>
    <w:rsid w:val="00473A5E"/>
    <w:rsid w:val="00474693"/>
    <w:rsid w:val="004771FE"/>
    <w:rsid w:val="00477B94"/>
    <w:rsid w:val="00481368"/>
    <w:rsid w:val="0048169C"/>
    <w:rsid w:val="004867DA"/>
    <w:rsid w:val="004901E5"/>
    <w:rsid w:val="00490978"/>
    <w:rsid w:val="00493BB7"/>
    <w:rsid w:val="00494F5A"/>
    <w:rsid w:val="004964AA"/>
    <w:rsid w:val="0049699A"/>
    <w:rsid w:val="00497025"/>
    <w:rsid w:val="00497790"/>
    <w:rsid w:val="004A05DB"/>
    <w:rsid w:val="004A26B8"/>
    <w:rsid w:val="004A3427"/>
    <w:rsid w:val="004A38BC"/>
    <w:rsid w:val="004A4782"/>
    <w:rsid w:val="004A48AE"/>
    <w:rsid w:val="004A4B1F"/>
    <w:rsid w:val="004A4EE6"/>
    <w:rsid w:val="004A4FFE"/>
    <w:rsid w:val="004A57CD"/>
    <w:rsid w:val="004A5CAC"/>
    <w:rsid w:val="004B23B4"/>
    <w:rsid w:val="004B2CAC"/>
    <w:rsid w:val="004B2F2F"/>
    <w:rsid w:val="004B4EC5"/>
    <w:rsid w:val="004B5DB5"/>
    <w:rsid w:val="004B7435"/>
    <w:rsid w:val="004C472B"/>
    <w:rsid w:val="004C5169"/>
    <w:rsid w:val="004C63A9"/>
    <w:rsid w:val="004C7EC4"/>
    <w:rsid w:val="004D05C2"/>
    <w:rsid w:val="004D3189"/>
    <w:rsid w:val="004D53D8"/>
    <w:rsid w:val="004D7D25"/>
    <w:rsid w:val="004E0001"/>
    <w:rsid w:val="004E4AE0"/>
    <w:rsid w:val="004E4EBC"/>
    <w:rsid w:val="004E500C"/>
    <w:rsid w:val="004E738D"/>
    <w:rsid w:val="004F10BA"/>
    <w:rsid w:val="004F1651"/>
    <w:rsid w:val="004F27F0"/>
    <w:rsid w:val="004F4898"/>
    <w:rsid w:val="004F4DB2"/>
    <w:rsid w:val="005020E5"/>
    <w:rsid w:val="00506607"/>
    <w:rsid w:val="00511115"/>
    <w:rsid w:val="00511409"/>
    <w:rsid w:val="00511C83"/>
    <w:rsid w:val="00511C9A"/>
    <w:rsid w:val="005157D2"/>
    <w:rsid w:val="0051750A"/>
    <w:rsid w:val="00517EF5"/>
    <w:rsid w:val="00522670"/>
    <w:rsid w:val="0052774B"/>
    <w:rsid w:val="00527AAA"/>
    <w:rsid w:val="00532776"/>
    <w:rsid w:val="005363B4"/>
    <w:rsid w:val="00536654"/>
    <w:rsid w:val="00536869"/>
    <w:rsid w:val="00536C7D"/>
    <w:rsid w:val="00537B8B"/>
    <w:rsid w:val="00542602"/>
    <w:rsid w:val="00543565"/>
    <w:rsid w:val="00544D67"/>
    <w:rsid w:val="00545E88"/>
    <w:rsid w:val="005468BC"/>
    <w:rsid w:val="00546D0E"/>
    <w:rsid w:val="0055326E"/>
    <w:rsid w:val="00553D4F"/>
    <w:rsid w:val="00554B90"/>
    <w:rsid w:val="0055677E"/>
    <w:rsid w:val="005569EE"/>
    <w:rsid w:val="00556D02"/>
    <w:rsid w:val="00557037"/>
    <w:rsid w:val="00560FE0"/>
    <w:rsid w:val="005619CA"/>
    <w:rsid w:val="00561C32"/>
    <w:rsid w:val="0056303E"/>
    <w:rsid w:val="005637DF"/>
    <w:rsid w:val="00563DE9"/>
    <w:rsid w:val="00564C32"/>
    <w:rsid w:val="005654BF"/>
    <w:rsid w:val="00566C89"/>
    <w:rsid w:val="00566F68"/>
    <w:rsid w:val="00570440"/>
    <w:rsid w:val="00570FC8"/>
    <w:rsid w:val="005744C7"/>
    <w:rsid w:val="00577A30"/>
    <w:rsid w:val="00583E0C"/>
    <w:rsid w:val="00584EFD"/>
    <w:rsid w:val="00584FCF"/>
    <w:rsid w:val="00585165"/>
    <w:rsid w:val="00585DB6"/>
    <w:rsid w:val="00590ADC"/>
    <w:rsid w:val="00591093"/>
    <w:rsid w:val="005937C9"/>
    <w:rsid w:val="00593AA1"/>
    <w:rsid w:val="00594894"/>
    <w:rsid w:val="005958BD"/>
    <w:rsid w:val="00597938"/>
    <w:rsid w:val="005A1316"/>
    <w:rsid w:val="005A15AB"/>
    <w:rsid w:val="005A20BD"/>
    <w:rsid w:val="005A258F"/>
    <w:rsid w:val="005A2B8F"/>
    <w:rsid w:val="005A437A"/>
    <w:rsid w:val="005A49E3"/>
    <w:rsid w:val="005A4D78"/>
    <w:rsid w:val="005A60BE"/>
    <w:rsid w:val="005A6B66"/>
    <w:rsid w:val="005A727E"/>
    <w:rsid w:val="005B0E24"/>
    <w:rsid w:val="005B19FB"/>
    <w:rsid w:val="005B2DA8"/>
    <w:rsid w:val="005B6880"/>
    <w:rsid w:val="005B79D0"/>
    <w:rsid w:val="005B7BF1"/>
    <w:rsid w:val="005C1429"/>
    <w:rsid w:val="005C22AA"/>
    <w:rsid w:val="005C2C3F"/>
    <w:rsid w:val="005C4A52"/>
    <w:rsid w:val="005C75D9"/>
    <w:rsid w:val="005D1836"/>
    <w:rsid w:val="005D1E44"/>
    <w:rsid w:val="005D3653"/>
    <w:rsid w:val="005D49ED"/>
    <w:rsid w:val="005D5C5F"/>
    <w:rsid w:val="005D66B4"/>
    <w:rsid w:val="005E01DE"/>
    <w:rsid w:val="005E226C"/>
    <w:rsid w:val="005E3952"/>
    <w:rsid w:val="005F02C8"/>
    <w:rsid w:val="005F0997"/>
    <w:rsid w:val="005F20F9"/>
    <w:rsid w:val="005F2AD5"/>
    <w:rsid w:val="005F57B1"/>
    <w:rsid w:val="005F79AF"/>
    <w:rsid w:val="00601A79"/>
    <w:rsid w:val="006030BC"/>
    <w:rsid w:val="006052D5"/>
    <w:rsid w:val="0060662C"/>
    <w:rsid w:val="00607757"/>
    <w:rsid w:val="00610636"/>
    <w:rsid w:val="00612D2F"/>
    <w:rsid w:val="00612E68"/>
    <w:rsid w:val="0061313C"/>
    <w:rsid w:val="0061684F"/>
    <w:rsid w:val="00617578"/>
    <w:rsid w:val="0062754F"/>
    <w:rsid w:val="0063051D"/>
    <w:rsid w:val="00630A22"/>
    <w:rsid w:val="006311FC"/>
    <w:rsid w:val="0063253C"/>
    <w:rsid w:val="00632A7E"/>
    <w:rsid w:val="006342BE"/>
    <w:rsid w:val="00634FDC"/>
    <w:rsid w:val="00635D45"/>
    <w:rsid w:val="006373D3"/>
    <w:rsid w:val="0064005D"/>
    <w:rsid w:val="00640AC1"/>
    <w:rsid w:val="0064297F"/>
    <w:rsid w:val="00643061"/>
    <w:rsid w:val="00643778"/>
    <w:rsid w:val="0064425D"/>
    <w:rsid w:val="0064436C"/>
    <w:rsid w:val="006451C3"/>
    <w:rsid w:val="00645665"/>
    <w:rsid w:val="00651E03"/>
    <w:rsid w:val="00651E3E"/>
    <w:rsid w:val="0065266A"/>
    <w:rsid w:val="00653ECC"/>
    <w:rsid w:val="00654594"/>
    <w:rsid w:val="00656778"/>
    <w:rsid w:val="0065679C"/>
    <w:rsid w:val="0065690C"/>
    <w:rsid w:val="00656D26"/>
    <w:rsid w:val="00656DE6"/>
    <w:rsid w:val="00657CDB"/>
    <w:rsid w:val="00657FD1"/>
    <w:rsid w:val="00661D35"/>
    <w:rsid w:val="00662403"/>
    <w:rsid w:val="006629B2"/>
    <w:rsid w:val="00663927"/>
    <w:rsid w:val="00664279"/>
    <w:rsid w:val="00664BCB"/>
    <w:rsid w:val="00664D03"/>
    <w:rsid w:val="00665689"/>
    <w:rsid w:val="006657E0"/>
    <w:rsid w:val="00670A9F"/>
    <w:rsid w:val="006800BA"/>
    <w:rsid w:val="00681A10"/>
    <w:rsid w:val="00684220"/>
    <w:rsid w:val="00686849"/>
    <w:rsid w:val="00686CB9"/>
    <w:rsid w:val="00687C46"/>
    <w:rsid w:val="006904D5"/>
    <w:rsid w:val="00690C2E"/>
    <w:rsid w:val="00691085"/>
    <w:rsid w:val="0069305A"/>
    <w:rsid w:val="00693831"/>
    <w:rsid w:val="00693952"/>
    <w:rsid w:val="00693D85"/>
    <w:rsid w:val="006942D9"/>
    <w:rsid w:val="00694527"/>
    <w:rsid w:val="006A0186"/>
    <w:rsid w:val="006A35EE"/>
    <w:rsid w:val="006A49C6"/>
    <w:rsid w:val="006A60A4"/>
    <w:rsid w:val="006A6532"/>
    <w:rsid w:val="006A6EDB"/>
    <w:rsid w:val="006A6F4F"/>
    <w:rsid w:val="006A7EB1"/>
    <w:rsid w:val="006B0681"/>
    <w:rsid w:val="006B0822"/>
    <w:rsid w:val="006B0BE4"/>
    <w:rsid w:val="006B0E79"/>
    <w:rsid w:val="006B2950"/>
    <w:rsid w:val="006B32F1"/>
    <w:rsid w:val="006B33BE"/>
    <w:rsid w:val="006B440E"/>
    <w:rsid w:val="006B5984"/>
    <w:rsid w:val="006B6AF5"/>
    <w:rsid w:val="006B7411"/>
    <w:rsid w:val="006C0767"/>
    <w:rsid w:val="006C298F"/>
    <w:rsid w:val="006D3FA6"/>
    <w:rsid w:val="006D4363"/>
    <w:rsid w:val="006D4828"/>
    <w:rsid w:val="006D4EE5"/>
    <w:rsid w:val="006D704E"/>
    <w:rsid w:val="006E0195"/>
    <w:rsid w:val="006E2C0A"/>
    <w:rsid w:val="006E592E"/>
    <w:rsid w:val="006E7E62"/>
    <w:rsid w:val="006F0376"/>
    <w:rsid w:val="006F1C86"/>
    <w:rsid w:val="006F21DF"/>
    <w:rsid w:val="006F3953"/>
    <w:rsid w:val="006F4030"/>
    <w:rsid w:val="006F4CF0"/>
    <w:rsid w:val="006F76BF"/>
    <w:rsid w:val="00703B5C"/>
    <w:rsid w:val="007069AD"/>
    <w:rsid w:val="00710098"/>
    <w:rsid w:val="0071026E"/>
    <w:rsid w:val="00710E85"/>
    <w:rsid w:val="007110FC"/>
    <w:rsid w:val="00711819"/>
    <w:rsid w:val="00713FA0"/>
    <w:rsid w:val="0071503F"/>
    <w:rsid w:val="00717541"/>
    <w:rsid w:val="007213E3"/>
    <w:rsid w:val="00721A07"/>
    <w:rsid w:val="007225AF"/>
    <w:rsid w:val="00724491"/>
    <w:rsid w:val="00726034"/>
    <w:rsid w:val="00731895"/>
    <w:rsid w:val="007328F8"/>
    <w:rsid w:val="00734CD0"/>
    <w:rsid w:val="00736E54"/>
    <w:rsid w:val="007372EE"/>
    <w:rsid w:val="00737408"/>
    <w:rsid w:val="007374A6"/>
    <w:rsid w:val="007415F6"/>
    <w:rsid w:val="00741CFF"/>
    <w:rsid w:val="00743968"/>
    <w:rsid w:val="00745265"/>
    <w:rsid w:val="00745B4F"/>
    <w:rsid w:val="00746389"/>
    <w:rsid w:val="00750179"/>
    <w:rsid w:val="0075340E"/>
    <w:rsid w:val="00754825"/>
    <w:rsid w:val="00756AC9"/>
    <w:rsid w:val="00761851"/>
    <w:rsid w:val="00764448"/>
    <w:rsid w:val="00765558"/>
    <w:rsid w:val="00765930"/>
    <w:rsid w:val="00772222"/>
    <w:rsid w:val="0077380B"/>
    <w:rsid w:val="00774DE2"/>
    <w:rsid w:val="00776761"/>
    <w:rsid w:val="00776E99"/>
    <w:rsid w:val="00777867"/>
    <w:rsid w:val="007853AE"/>
    <w:rsid w:val="00790F38"/>
    <w:rsid w:val="00791230"/>
    <w:rsid w:val="00791610"/>
    <w:rsid w:val="00791DC2"/>
    <w:rsid w:val="007920AD"/>
    <w:rsid w:val="00797564"/>
    <w:rsid w:val="007A0EDB"/>
    <w:rsid w:val="007A1274"/>
    <w:rsid w:val="007A3FD8"/>
    <w:rsid w:val="007A5500"/>
    <w:rsid w:val="007B3CD8"/>
    <w:rsid w:val="007B460D"/>
    <w:rsid w:val="007B5462"/>
    <w:rsid w:val="007B7522"/>
    <w:rsid w:val="007B7B8C"/>
    <w:rsid w:val="007C038C"/>
    <w:rsid w:val="007C03B6"/>
    <w:rsid w:val="007C191E"/>
    <w:rsid w:val="007C3373"/>
    <w:rsid w:val="007C4798"/>
    <w:rsid w:val="007C5538"/>
    <w:rsid w:val="007C5C03"/>
    <w:rsid w:val="007C5C57"/>
    <w:rsid w:val="007D16D6"/>
    <w:rsid w:val="007D2C1B"/>
    <w:rsid w:val="007D5623"/>
    <w:rsid w:val="007D5A1F"/>
    <w:rsid w:val="007D5A48"/>
    <w:rsid w:val="007D7054"/>
    <w:rsid w:val="007D7469"/>
    <w:rsid w:val="007D79F5"/>
    <w:rsid w:val="007E0B2E"/>
    <w:rsid w:val="007E193E"/>
    <w:rsid w:val="007E241C"/>
    <w:rsid w:val="007E3638"/>
    <w:rsid w:val="007E3646"/>
    <w:rsid w:val="007F3E12"/>
    <w:rsid w:val="007F5513"/>
    <w:rsid w:val="007F559F"/>
    <w:rsid w:val="007F589C"/>
    <w:rsid w:val="007F6266"/>
    <w:rsid w:val="008005C3"/>
    <w:rsid w:val="00800BDD"/>
    <w:rsid w:val="008025E6"/>
    <w:rsid w:val="00802DEF"/>
    <w:rsid w:val="0080521B"/>
    <w:rsid w:val="00806616"/>
    <w:rsid w:val="008073EA"/>
    <w:rsid w:val="00807899"/>
    <w:rsid w:val="008131CA"/>
    <w:rsid w:val="0081538E"/>
    <w:rsid w:val="00817F24"/>
    <w:rsid w:val="008206B9"/>
    <w:rsid w:val="00822E93"/>
    <w:rsid w:val="0082630B"/>
    <w:rsid w:val="00830E9F"/>
    <w:rsid w:val="00831078"/>
    <w:rsid w:val="00832363"/>
    <w:rsid w:val="00832ADF"/>
    <w:rsid w:val="00840645"/>
    <w:rsid w:val="00841011"/>
    <w:rsid w:val="00841C78"/>
    <w:rsid w:val="00841E16"/>
    <w:rsid w:val="0084226C"/>
    <w:rsid w:val="008441D1"/>
    <w:rsid w:val="008446E0"/>
    <w:rsid w:val="008446F5"/>
    <w:rsid w:val="008465ED"/>
    <w:rsid w:val="008472E0"/>
    <w:rsid w:val="008517F3"/>
    <w:rsid w:val="00852E4E"/>
    <w:rsid w:val="00853706"/>
    <w:rsid w:val="008542FE"/>
    <w:rsid w:val="00855083"/>
    <w:rsid w:val="00856681"/>
    <w:rsid w:val="008608E0"/>
    <w:rsid w:val="00860F39"/>
    <w:rsid w:val="008610E3"/>
    <w:rsid w:val="00862289"/>
    <w:rsid w:val="00865D6F"/>
    <w:rsid w:val="00872A94"/>
    <w:rsid w:val="00874225"/>
    <w:rsid w:val="00875E80"/>
    <w:rsid w:val="00877527"/>
    <w:rsid w:val="008809FA"/>
    <w:rsid w:val="00880CB1"/>
    <w:rsid w:val="008824A9"/>
    <w:rsid w:val="00885AFE"/>
    <w:rsid w:val="00886391"/>
    <w:rsid w:val="00886982"/>
    <w:rsid w:val="00886D09"/>
    <w:rsid w:val="00887191"/>
    <w:rsid w:val="008915BE"/>
    <w:rsid w:val="00891956"/>
    <w:rsid w:val="008921F0"/>
    <w:rsid w:val="0089242F"/>
    <w:rsid w:val="008934BB"/>
    <w:rsid w:val="00895E3B"/>
    <w:rsid w:val="008971FA"/>
    <w:rsid w:val="008A011B"/>
    <w:rsid w:val="008A0497"/>
    <w:rsid w:val="008A18A1"/>
    <w:rsid w:val="008A1C0D"/>
    <w:rsid w:val="008A2C80"/>
    <w:rsid w:val="008A41C3"/>
    <w:rsid w:val="008A429E"/>
    <w:rsid w:val="008A6938"/>
    <w:rsid w:val="008A73B0"/>
    <w:rsid w:val="008A7885"/>
    <w:rsid w:val="008B0002"/>
    <w:rsid w:val="008B1279"/>
    <w:rsid w:val="008B1E06"/>
    <w:rsid w:val="008B1EED"/>
    <w:rsid w:val="008B23E0"/>
    <w:rsid w:val="008B359A"/>
    <w:rsid w:val="008B3731"/>
    <w:rsid w:val="008B4289"/>
    <w:rsid w:val="008B467D"/>
    <w:rsid w:val="008B50D4"/>
    <w:rsid w:val="008B6011"/>
    <w:rsid w:val="008B700B"/>
    <w:rsid w:val="008C05A2"/>
    <w:rsid w:val="008C2592"/>
    <w:rsid w:val="008C26A3"/>
    <w:rsid w:val="008C4186"/>
    <w:rsid w:val="008C4C69"/>
    <w:rsid w:val="008C4DEE"/>
    <w:rsid w:val="008C51AD"/>
    <w:rsid w:val="008D3254"/>
    <w:rsid w:val="008D3832"/>
    <w:rsid w:val="008D38F0"/>
    <w:rsid w:val="008D54BC"/>
    <w:rsid w:val="008D691A"/>
    <w:rsid w:val="008D79F4"/>
    <w:rsid w:val="008E1C87"/>
    <w:rsid w:val="008E3937"/>
    <w:rsid w:val="008E73E2"/>
    <w:rsid w:val="008F0F4A"/>
    <w:rsid w:val="008F3CC4"/>
    <w:rsid w:val="008F3FF6"/>
    <w:rsid w:val="008F461E"/>
    <w:rsid w:val="00900F65"/>
    <w:rsid w:val="00902289"/>
    <w:rsid w:val="00904518"/>
    <w:rsid w:val="00907023"/>
    <w:rsid w:val="00915303"/>
    <w:rsid w:val="009205B2"/>
    <w:rsid w:val="009213CE"/>
    <w:rsid w:val="00921A38"/>
    <w:rsid w:val="00924E19"/>
    <w:rsid w:val="009272C0"/>
    <w:rsid w:val="0092771F"/>
    <w:rsid w:val="00927A98"/>
    <w:rsid w:val="009322C0"/>
    <w:rsid w:val="009343FC"/>
    <w:rsid w:val="0093441D"/>
    <w:rsid w:val="0093629A"/>
    <w:rsid w:val="00937726"/>
    <w:rsid w:val="0094014E"/>
    <w:rsid w:val="00943082"/>
    <w:rsid w:val="0094498E"/>
    <w:rsid w:val="0094503F"/>
    <w:rsid w:val="00947B81"/>
    <w:rsid w:val="00950B62"/>
    <w:rsid w:val="00951FB2"/>
    <w:rsid w:val="00952CD7"/>
    <w:rsid w:val="0095733B"/>
    <w:rsid w:val="0096104F"/>
    <w:rsid w:val="00964BB9"/>
    <w:rsid w:val="00965856"/>
    <w:rsid w:val="00976547"/>
    <w:rsid w:val="0097688C"/>
    <w:rsid w:val="009774AB"/>
    <w:rsid w:val="00980140"/>
    <w:rsid w:val="009819BE"/>
    <w:rsid w:val="00982601"/>
    <w:rsid w:val="00983403"/>
    <w:rsid w:val="009834E4"/>
    <w:rsid w:val="00983A84"/>
    <w:rsid w:val="00984554"/>
    <w:rsid w:val="00986914"/>
    <w:rsid w:val="009872C7"/>
    <w:rsid w:val="009900AC"/>
    <w:rsid w:val="0099558D"/>
    <w:rsid w:val="009960D2"/>
    <w:rsid w:val="00996386"/>
    <w:rsid w:val="00996E7E"/>
    <w:rsid w:val="00997E03"/>
    <w:rsid w:val="009A1443"/>
    <w:rsid w:val="009A20D8"/>
    <w:rsid w:val="009A27BD"/>
    <w:rsid w:val="009A2934"/>
    <w:rsid w:val="009A59A5"/>
    <w:rsid w:val="009A65D6"/>
    <w:rsid w:val="009B0B8E"/>
    <w:rsid w:val="009B5D2C"/>
    <w:rsid w:val="009C1A2A"/>
    <w:rsid w:val="009C46B4"/>
    <w:rsid w:val="009C5DE9"/>
    <w:rsid w:val="009C76D1"/>
    <w:rsid w:val="009C7DA7"/>
    <w:rsid w:val="009D130D"/>
    <w:rsid w:val="009D2686"/>
    <w:rsid w:val="009D28DE"/>
    <w:rsid w:val="009D5485"/>
    <w:rsid w:val="009D5901"/>
    <w:rsid w:val="009D6BAE"/>
    <w:rsid w:val="009D7FB1"/>
    <w:rsid w:val="009E1172"/>
    <w:rsid w:val="009E11BC"/>
    <w:rsid w:val="009E2178"/>
    <w:rsid w:val="009E5165"/>
    <w:rsid w:val="009F2BE1"/>
    <w:rsid w:val="00A0171A"/>
    <w:rsid w:val="00A01D88"/>
    <w:rsid w:val="00A01F84"/>
    <w:rsid w:val="00A0263D"/>
    <w:rsid w:val="00A02B21"/>
    <w:rsid w:val="00A038E4"/>
    <w:rsid w:val="00A05776"/>
    <w:rsid w:val="00A058AF"/>
    <w:rsid w:val="00A06D68"/>
    <w:rsid w:val="00A07B2E"/>
    <w:rsid w:val="00A11F9A"/>
    <w:rsid w:val="00A14079"/>
    <w:rsid w:val="00A16B93"/>
    <w:rsid w:val="00A20619"/>
    <w:rsid w:val="00A20AD2"/>
    <w:rsid w:val="00A229E7"/>
    <w:rsid w:val="00A23926"/>
    <w:rsid w:val="00A24D69"/>
    <w:rsid w:val="00A25C34"/>
    <w:rsid w:val="00A30BB9"/>
    <w:rsid w:val="00A337E0"/>
    <w:rsid w:val="00A363C7"/>
    <w:rsid w:val="00A3682D"/>
    <w:rsid w:val="00A376B4"/>
    <w:rsid w:val="00A415C2"/>
    <w:rsid w:val="00A42676"/>
    <w:rsid w:val="00A4483B"/>
    <w:rsid w:val="00A4527E"/>
    <w:rsid w:val="00A503DE"/>
    <w:rsid w:val="00A5077E"/>
    <w:rsid w:val="00A509BD"/>
    <w:rsid w:val="00A51809"/>
    <w:rsid w:val="00A51FA3"/>
    <w:rsid w:val="00A533EE"/>
    <w:rsid w:val="00A534C1"/>
    <w:rsid w:val="00A53A0E"/>
    <w:rsid w:val="00A5524B"/>
    <w:rsid w:val="00A56857"/>
    <w:rsid w:val="00A56A81"/>
    <w:rsid w:val="00A5705B"/>
    <w:rsid w:val="00A57916"/>
    <w:rsid w:val="00A57F68"/>
    <w:rsid w:val="00A613CC"/>
    <w:rsid w:val="00A630C2"/>
    <w:rsid w:val="00A633B2"/>
    <w:rsid w:val="00A63DC9"/>
    <w:rsid w:val="00A641DE"/>
    <w:rsid w:val="00A64C2A"/>
    <w:rsid w:val="00A65F25"/>
    <w:rsid w:val="00A668BA"/>
    <w:rsid w:val="00A66A54"/>
    <w:rsid w:val="00A73208"/>
    <w:rsid w:val="00A74FC5"/>
    <w:rsid w:val="00A82D65"/>
    <w:rsid w:val="00A84C38"/>
    <w:rsid w:val="00A85A65"/>
    <w:rsid w:val="00A87A8E"/>
    <w:rsid w:val="00A90916"/>
    <w:rsid w:val="00A92A3E"/>
    <w:rsid w:val="00A92B84"/>
    <w:rsid w:val="00A94AB3"/>
    <w:rsid w:val="00A97431"/>
    <w:rsid w:val="00AA08DD"/>
    <w:rsid w:val="00AA112A"/>
    <w:rsid w:val="00AA3D00"/>
    <w:rsid w:val="00AA4796"/>
    <w:rsid w:val="00AB0600"/>
    <w:rsid w:val="00AB0B01"/>
    <w:rsid w:val="00AB525D"/>
    <w:rsid w:val="00AC041A"/>
    <w:rsid w:val="00AC0889"/>
    <w:rsid w:val="00AC4482"/>
    <w:rsid w:val="00AC5263"/>
    <w:rsid w:val="00AC6756"/>
    <w:rsid w:val="00AC6EA4"/>
    <w:rsid w:val="00AD0344"/>
    <w:rsid w:val="00AD33DD"/>
    <w:rsid w:val="00AD59C1"/>
    <w:rsid w:val="00AD5A9D"/>
    <w:rsid w:val="00AD5CA1"/>
    <w:rsid w:val="00AD69AE"/>
    <w:rsid w:val="00AD77DB"/>
    <w:rsid w:val="00AE336C"/>
    <w:rsid w:val="00AE489B"/>
    <w:rsid w:val="00AE5918"/>
    <w:rsid w:val="00AE7078"/>
    <w:rsid w:val="00AE70D7"/>
    <w:rsid w:val="00AE7EA7"/>
    <w:rsid w:val="00AF2D9A"/>
    <w:rsid w:val="00AF2FF7"/>
    <w:rsid w:val="00AF37BA"/>
    <w:rsid w:val="00AF3F68"/>
    <w:rsid w:val="00AF67EB"/>
    <w:rsid w:val="00AF74DC"/>
    <w:rsid w:val="00B0052E"/>
    <w:rsid w:val="00B02506"/>
    <w:rsid w:val="00B04164"/>
    <w:rsid w:val="00B04210"/>
    <w:rsid w:val="00B05580"/>
    <w:rsid w:val="00B07591"/>
    <w:rsid w:val="00B11899"/>
    <w:rsid w:val="00B11CA9"/>
    <w:rsid w:val="00B120FF"/>
    <w:rsid w:val="00B1325B"/>
    <w:rsid w:val="00B139E8"/>
    <w:rsid w:val="00B15737"/>
    <w:rsid w:val="00B16E22"/>
    <w:rsid w:val="00B16ED5"/>
    <w:rsid w:val="00B22E8B"/>
    <w:rsid w:val="00B23163"/>
    <w:rsid w:val="00B24452"/>
    <w:rsid w:val="00B24F57"/>
    <w:rsid w:val="00B259E0"/>
    <w:rsid w:val="00B26DA5"/>
    <w:rsid w:val="00B313E3"/>
    <w:rsid w:val="00B3218C"/>
    <w:rsid w:val="00B34DD3"/>
    <w:rsid w:val="00B359E0"/>
    <w:rsid w:val="00B40829"/>
    <w:rsid w:val="00B4086B"/>
    <w:rsid w:val="00B40DE5"/>
    <w:rsid w:val="00B41CAA"/>
    <w:rsid w:val="00B420C9"/>
    <w:rsid w:val="00B42B73"/>
    <w:rsid w:val="00B44A8D"/>
    <w:rsid w:val="00B47AF2"/>
    <w:rsid w:val="00B5437C"/>
    <w:rsid w:val="00B556CF"/>
    <w:rsid w:val="00B556DF"/>
    <w:rsid w:val="00B6246C"/>
    <w:rsid w:val="00B63484"/>
    <w:rsid w:val="00B67B7A"/>
    <w:rsid w:val="00B704BC"/>
    <w:rsid w:val="00B74587"/>
    <w:rsid w:val="00B77050"/>
    <w:rsid w:val="00B8037E"/>
    <w:rsid w:val="00B81191"/>
    <w:rsid w:val="00B8123C"/>
    <w:rsid w:val="00B82348"/>
    <w:rsid w:val="00B8361F"/>
    <w:rsid w:val="00B83EFD"/>
    <w:rsid w:val="00B84777"/>
    <w:rsid w:val="00B85251"/>
    <w:rsid w:val="00B90004"/>
    <w:rsid w:val="00B90737"/>
    <w:rsid w:val="00B910F3"/>
    <w:rsid w:val="00B91BA0"/>
    <w:rsid w:val="00BA2578"/>
    <w:rsid w:val="00BA33BD"/>
    <w:rsid w:val="00BA46D0"/>
    <w:rsid w:val="00BA4CA3"/>
    <w:rsid w:val="00BA7E1A"/>
    <w:rsid w:val="00BB3C0C"/>
    <w:rsid w:val="00BB58B1"/>
    <w:rsid w:val="00BB5E63"/>
    <w:rsid w:val="00BB704D"/>
    <w:rsid w:val="00BB75FA"/>
    <w:rsid w:val="00BC0948"/>
    <w:rsid w:val="00BC32AC"/>
    <w:rsid w:val="00BC6F7D"/>
    <w:rsid w:val="00BD0344"/>
    <w:rsid w:val="00BD1BBE"/>
    <w:rsid w:val="00BD2107"/>
    <w:rsid w:val="00BD51B1"/>
    <w:rsid w:val="00BD587B"/>
    <w:rsid w:val="00BD5FED"/>
    <w:rsid w:val="00BD642A"/>
    <w:rsid w:val="00BE0569"/>
    <w:rsid w:val="00BE21A5"/>
    <w:rsid w:val="00BE334D"/>
    <w:rsid w:val="00BE40C3"/>
    <w:rsid w:val="00BE5C46"/>
    <w:rsid w:val="00BE5EB8"/>
    <w:rsid w:val="00BF47FF"/>
    <w:rsid w:val="00BF5F3A"/>
    <w:rsid w:val="00BF65C7"/>
    <w:rsid w:val="00C007B4"/>
    <w:rsid w:val="00C01640"/>
    <w:rsid w:val="00C0276C"/>
    <w:rsid w:val="00C02935"/>
    <w:rsid w:val="00C05E70"/>
    <w:rsid w:val="00C06781"/>
    <w:rsid w:val="00C11FCD"/>
    <w:rsid w:val="00C1406D"/>
    <w:rsid w:val="00C1606E"/>
    <w:rsid w:val="00C1674C"/>
    <w:rsid w:val="00C16C4A"/>
    <w:rsid w:val="00C17573"/>
    <w:rsid w:val="00C20070"/>
    <w:rsid w:val="00C223BE"/>
    <w:rsid w:val="00C22DC4"/>
    <w:rsid w:val="00C25E3C"/>
    <w:rsid w:val="00C2736B"/>
    <w:rsid w:val="00C32362"/>
    <w:rsid w:val="00C32CC6"/>
    <w:rsid w:val="00C33437"/>
    <w:rsid w:val="00C33D06"/>
    <w:rsid w:val="00C341C2"/>
    <w:rsid w:val="00C34ADF"/>
    <w:rsid w:val="00C35DB5"/>
    <w:rsid w:val="00C36A05"/>
    <w:rsid w:val="00C430E2"/>
    <w:rsid w:val="00C43837"/>
    <w:rsid w:val="00C45636"/>
    <w:rsid w:val="00C46DB5"/>
    <w:rsid w:val="00C472DA"/>
    <w:rsid w:val="00C52365"/>
    <w:rsid w:val="00C52435"/>
    <w:rsid w:val="00C528B9"/>
    <w:rsid w:val="00C5349C"/>
    <w:rsid w:val="00C53BDC"/>
    <w:rsid w:val="00C56136"/>
    <w:rsid w:val="00C56C29"/>
    <w:rsid w:val="00C6023C"/>
    <w:rsid w:val="00C63256"/>
    <w:rsid w:val="00C6369A"/>
    <w:rsid w:val="00C707EE"/>
    <w:rsid w:val="00C7213D"/>
    <w:rsid w:val="00C72452"/>
    <w:rsid w:val="00C73991"/>
    <w:rsid w:val="00C73B72"/>
    <w:rsid w:val="00C7528F"/>
    <w:rsid w:val="00C752D0"/>
    <w:rsid w:val="00C77FCC"/>
    <w:rsid w:val="00C82615"/>
    <w:rsid w:val="00C84013"/>
    <w:rsid w:val="00C85C67"/>
    <w:rsid w:val="00C871BC"/>
    <w:rsid w:val="00C8750A"/>
    <w:rsid w:val="00C91D27"/>
    <w:rsid w:val="00C91D54"/>
    <w:rsid w:val="00C91E85"/>
    <w:rsid w:val="00C92929"/>
    <w:rsid w:val="00C93428"/>
    <w:rsid w:val="00C936C7"/>
    <w:rsid w:val="00C95B9F"/>
    <w:rsid w:val="00CA0CD4"/>
    <w:rsid w:val="00CA18D2"/>
    <w:rsid w:val="00CA4141"/>
    <w:rsid w:val="00CA4EA2"/>
    <w:rsid w:val="00CA5B60"/>
    <w:rsid w:val="00CA601A"/>
    <w:rsid w:val="00CA6CC7"/>
    <w:rsid w:val="00CA7FD1"/>
    <w:rsid w:val="00CB1102"/>
    <w:rsid w:val="00CB5093"/>
    <w:rsid w:val="00CB5D2E"/>
    <w:rsid w:val="00CB632B"/>
    <w:rsid w:val="00CC4206"/>
    <w:rsid w:val="00CC5C7D"/>
    <w:rsid w:val="00CC6A8A"/>
    <w:rsid w:val="00CD24DF"/>
    <w:rsid w:val="00CD5693"/>
    <w:rsid w:val="00CD6076"/>
    <w:rsid w:val="00CD716C"/>
    <w:rsid w:val="00CE14B9"/>
    <w:rsid w:val="00CE183B"/>
    <w:rsid w:val="00CE2086"/>
    <w:rsid w:val="00CE3BD7"/>
    <w:rsid w:val="00CE494A"/>
    <w:rsid w:val="00CE6B18"/>
    <w:rsid w:val="00CE77B2"/>
    <w:rsid w:val="00CF099C"/>
    <w:rsid w:val="00CF1225"/>
    <w:rsid w:val="00CF5117"/>
    <w:rsid w:val="00CF5AAC"/>
    <w:rsid w:val="00CF6AC4"/>
    <w:rsid w:val="00D03CC6"/>
    <w:rsid w:val="00D0568D"/>
    <w:rsid w:val="00D066AF"/>
    <w:rsid w:val="00D111FD"/>
    <w:rsid w:val="00D13BE0"/>
    <w:rsid w:val="00D14FB5"/>
    <w:rsid w:val="00D161F2"/>
    <w:rsid w:val="00D2172E"/>
    <w:rsid w:val="00D217B2"/>
    <w:rsid w:val="00D21C57"/>
    <w:rsid w:val="00D24232"/>
    <w:rsid w:val="00D24300"/>
    <w:rsid w:val="00D30A26"/>
    <w:rsid w:val="00D332E2"/>
    <w:rsid w:val="00D3569E"/>
    <w:rsid w:val="00D35847"/>
    <w:rsid w:val="00D358C2"/>
    <w:rsid w:val="00D363AA"/>
    <w:rsid w:val="00D3668B"/>
    <w:rsid w:val="00D40C81"/>
    <w:rsid w:val="00D412DA"/>
    <w:rsid w:val="00D41706"/>
    <w:rsid w:val="00D41AF5"/>
    <w:rsid w:val="00D41E0C"/>
    <w:rsid w:val="00D42199"/>
    <w:rsid w:val="00D44F0F"/>
    <w:rsid w:val="00D44F85"/>
    <w:rsid w:val="00D4641D"/>
    <w:rsid w:val="00D466C3"/>
    <w:rsid w:val="00D473C4"/>
    <w:rsid w:val="00D51310"/>
    <w:rsid w:val="00D51C56"/>
    <w:rsid w:val="00D53C4E"/>
    <w:rsid w:val="00D54FFA"/>
    <w:rsid w:val="00D55265"/>
    <w:rsid w:val="00D57567"/>
    <w:rsid w:val="00D57F99"/>
    <w:rsid w:val="00D62F76"/>
    <w:rsid w:val="00D633B8"/>
    <w:rsid w:val="00D6412A"/>
    <w:rsid w:val="00D65143"/>
    <w:rsid w:val="00D6520D"/>
    <w:rsid w:val="00D674CD"/>
    <w:rsid w:val="00D677B0"/>
    <w:rsid w:val="00D71CA4"/>
    <w:rsid w:val="00D72567"/>
    <w:rsid w:val="00D72E4A"/>
    <w:rsid w:val="00D74C26"/>
    <w:rsid w:val="00D75F0D"/>
    <w:rsid w:val="00D80689"/>
    <w:rsid w:val="00D81403"/>
    <w:rsid w:val="00D82587"/>
    <w:rsid w:val="00D838AC"/>
    <w:rsid w:val="00D85EE4"/>
    <w:rsid w:val="00D85F87"/>
    <w:rsid w:val="00D86287"/>
    <w:rsid w:val="00D91454"/>
    <w:rsid w:val="00D9173F"/>
    <w:rsid w:val="00D9203E"/>
    <w:rsid w:val="00D927DB"/>
    <w:rsid w:val="00D94B56"/>
    <w:rsid w:val="00D96C6A"/>
    <w:rsid w:val="00D97406"/>
    <w:rsid w:val="00D97497"/>
    <w:rsid w:val="00DA1B76"/>
    <w:rsid w:val="00DA22E9"/>
    <w:rsid w:val="00DA3899"/>
    <w:rsid w:val="00DA4F82"/>
    <w:rsid w:val="00DA5160"/>
    <w:rsid w:val="00DA65B8"/>
    <w:rsid w:val="00DA6843"/>
    <w:rsid w:val="00DA75E4"/>
    <w:rsid w:val="00DB087C"/>
    <w:rsid w:val="00DB08E8"/>
    <w:rsid w:val="00DB0E3B"/>
    <w:rsid w:val="00DB16A7"/>
    <w:rsid w:val="00DB2F38"/>
    <w:rsid w:val="00DB3720"/>
    <w:rsid w:val="00DB46CA"/>
    <w:rsid w:val="00DB6DA6"/>
    <w:rsid w:val="00DC175C"/>
    <w:rsid w:val="00DC5FAA"/>
    <w:rsid w:val="00DD3A47"/>
    <w:rsid w:val="00DD423D"/>
    <w:rsid w:val="00DD45FE"/>
    <w:rsid w:val="00DD55BC"/>
    <w:rsid w:val="00DE086D"/>
    <w:rsid w:val="00DE1C5A"/>
    <w:rsid w:val="00DE1FD2"/>
    <w:rsid w:val="00DE2272"/>
    <w:rsid w:val="00DE3543"/>
    <w:rsid w:val="00DE4402"/>
    <w:rsid w:val="00DE5456"/>
    <w:rsid w:val="00DE5B97"/>
    <w:rsid w:val="00DE7FEA"/>
    <w:rsid w:val="00DF0FE2"/>
    <w:rsid w:val="00DF10E9"/>
    <w:rsid w:val="00DF1BBF"/>
    <w:rsid w:val="00DF23E4"/>
    <w:rsid w:val="00DF77F8"/>
    <w:rsid w:val="00DF7EED"/>
    <w:rsid w:val="00E05422"/>
    <w:rsid w:val="00E05DB7"/>
    <w:rsid w:val="00E06705"/>
    <w:rsid w:val="00E100CD"/>
    <w:rsid w:val="00E124CC"/>
    <w:rsid w:val="00E12A15"/>
    <w:rsid w:val="00E139E7"/>
    <w:rsid w:val="00E13F6B"/>
    <w:rsid w:val="00E14200"/>
    <w:rsid w:val="00E16654"/>
    <w:rsid w:val="00E17E39"/>
    <w:rsid w:val="00E20E1E"/>
    <w:rsid w:val="00E21594"/>
    <w:rsid w:val="00E2204B"/>
    <w:rsid w:val="00E22825"/>
    <w:rsid w:val="00E232A8"/>
    <w:rsid w:val="00E24D45"/>
    <w:rsid w:val="00E316CC"/>
    <w:rsid w:val="00E32C3F"/>
    <w:rsid w:val="00E338EC"/>
    <w:rsid w:val="00E349B4"/>
    <w:rsid w:val="00E36AF5"/>
    <w:rsid w:val="00E36EB3"/>
    <w:rsid w:val="00E41AE3"/>
    <w:rsid w:val="00E423D2"/>
    <w:rsid w:val="00E42AE4"/>
    <w:rsid w:val="00E45B28"/>
    <w:rsid w:val="00E46B10"/>
    <w:rsid w:val="00E52C1D"/>
    <w:rsid w:val="00E54156"/>
    <w:rsid w:val="00E55973"/>
    <w:rsid w:val="00E56135"/>
    <w:rsid w:val="00E564BD"/>
    <w:rsid w:val="00E57206"/>
    <w:rsid w:val="00E609DB"/>
    <w:rsid w:val="00E62515"/>
    <w:rsid w:val="00E6513F"/>
    <w:rsid w:val="00E66619"/>
    <w:rsid w:val="00E67065"/>
    <w:rsid w:val="00E675CD"/>
    <w:rsid w:val="00E70299"/>
    <w:rsid w:val="00E71365"/>
    <w:rsid w:val="00E71550"/>
    <w:rsid w:val="00E72473"/>
    <w:rsid w:val="00E72A19"/>
    <w:rsid w:val="00E73AC1"/>
    <w:rsid w:val="00E73F11"/>
    <w:rsid w:val="00E7499F"/>
    <w:rsid w:val="00E75473"/>
    <w:rsid w:val="00E761B7"/>
    <w:rsid w:val="00E76679"/>
    <w:rsid w:val="00E76E18"/>
    <w:rsid w:val="00E84743"/>
    <w:rsid w:val="00E8606D"/>
    <w:rsid w:val="00E86507"/>
    <w:rsid w:val="00E906A9"/>
    <w:rsid w:val="00E939F6"/>
    <w:rsid w:val="00E96CB7"/>
    <w:rsid w:val="00EA1DA4"/>
    <w:rsid w:val="00EA2C44"/>
    <w:rsid w:val="00EA3F36"/>
    <w:rsid w:val="00EA4505"/>
    <w:rsid w:val="00EB2583"/>
    <w:rsid w:val="00EB4DCE"/>
    <w:rsid w:val="00EB5F08"/>
    <w:rsid w:val="00EB63F8"/>
    <w:rsid w:val="00EB6EB3"/>
    <w:rsid w:val="00EC284A"/>
    <w:rsid w:val="00EC5275"/>
    <w:rsid w:val="00EC5B2D"/>
    <w:rsid w:val="00EC6750"/>
    <w:rsid w:val="00EC7355"/>
    <w:rsid w:val="00ED05C6"/>
    <w:rsid w:val="00ED0656"/>
    <w:rsid w:val="00ED10A1"/>
    <w:rsid w:val="00ED1BEA"/>
    <w:rsid w:val="00ED5AC0"/>
    <w:rsid w:val="00ED77F3"/>
    <w:rsid w:val="00EE21C6"/>
    <w:rsid w:val="00EE4BCF"/>
    <w:rsid w:val="00EE7DA6"/>
    <w:rsid w:val="00EF0C25"/>
    <w:rsid w:val="00EF1DD1"/>
    <w:rsid w:val="00EF20A8"/>
    <w:rsid w:val="00EF63A0"/>
    <w:rsid w:val="00EF68C4"/>
    <w:rsid w:val="00EF6900"/>
    <w:rsid w:val="00EF72B2"/>
    <w:rsid w:val="00EF7484"/>
    <w:rsid w:val="00F002BA"/>
    <w:rsid w:val="00F00352"/>
    <w:rsid w:val="00F00B11"/>
    <w:rsid w:val="00F01A24"/>
    <w:rsid w:val="00F031F7"/>
    <w:rsid w:val="00F03C36"/>
    <w:rsid w:val="00F05658"/>
    <w:rsid w:val="00F05902"/>
    <w:rsid w:val="00F122EA"/>
    <w:rsid w:val="00F15450"/>
    <w:rsid w:val="00F17328"/>
    <w:rsid w:val="00F206D8"/>
    <w:rsid w:val="00F22AC5"/>
    <w:rsid w:val="00F23F1D"/>
    <w:rsid w:val="00F24211"/>
    <w:rsid w:val="00F24D60"/>
    <w:rsid w:val="00F2743F"/>
    <w:rsid w:val="00F309E2"/>
    <w:rsid w:val="00F30E5E"/>
    <w:rsid w:val="00F3173A"/>
    <w:rsid w:val="00F32200"/>
    <w:rsid w:val="00F322D9"/>
    <w:rsid w:val="00F32A3D"/>
    <w:rsid w:val="00F33CB4"/>
    <w:rsid w:val="00F34944"/>
    <w:rsid w:val="00F3639B"/>
    <w:rsid w:val="00F36C5A"/>
    <w:rsid w:val="00F36D47"/>
    <w:rsid w:val="00F37225"/>
    <w:rsid w:val="00F45D1F"/>
    <w:rsid w:val="00F45ECA"/>
    <w:rsid w:val="00F465FF"/>
    <w:rsid w:val="00F53C8E"/>
    <w:rsid w:val="00F548A2"/>
    <w:rsid w:val="00F5630E"/>
    <w:rsid w:val="00F61BA0"/>
    <w:rsid w:val="00F65569"/>
    <w:rsid w:val="00F709E4"/>
    <w:rsid w:val="00F713D8"/>
    <w:rsid w:val="00F72D5E"/>
    <w:rsid w:val="00F73906"/>
    <w:rsid w:val="00F7449E"/>
    <w:rsid w:val="00F76C67"/>
    <w:rsid w:val="00F7794B"/>
    <w:rsid w:val="00F82AFB"/>
    <w:rsid w:val="00F83211"/>
    <w:rsid w:val="00F91767"/>
    <w:rsid w:val="00F9403D"/>
    <w:rsid w:val="00F95DA2"/>
    <w:rsid w:val="00FA1168"/>
    <w:rsid w:val="00FA23F6"/>
    <w:rsid w:val="00FA2988"/>
    <w:rsid w:val="00FA7379"/>
    <w:rsid w:val="00FA771C"/>
    <w:rsid w:val="00FB02F2"/>
    <w:rsid w:val="00FB34B7"/>
    <w:rsid w:val="00FB393E"/>
    <w:rsid w:val="00FB676E"/>
    <w:rsid w:val="00FB7D30"/>
    <w:rsid w:val="00FC2B6B"/>
    <w:rsid w:val="00FD085C"/>
    <w:rsid w:val="00FD3803"/>
    <w:rsid w:val="00FD40BB"/>
    <w:rsid w:val="00FD736C"/>
    <w:rsid w:val="00FD764E"/>
    <w:rsid w:val="00FE00CA"/>
    <w:rsid w:val="00FE3435"/>
    <w:rsid w:val="00FE469C"/>
    <w:rsid w:val="00FE58AD"/>
    <w:rsid w:val="00FE7EAD"/>
    <w:rsid w:val="00FF0323"/>
    <w:rsid w:val="00FF09A5"/>
    <w:rsid w:val="00FF0C40"/>
    <w:rsid w:val="00FF155F"/>
    <w:rsid w:val="00FF369F"/>
    <w:rsid w:val="00FF38B3"/>
    <w:rsid w:val="00FF7E55"/>
    <w:rsid w:val="01106A16"/>
    <w:rsid w:val="01205E04"/>
    <w:rsid w:val="013250EA"/>
    <w:rsid w:val="01402D8C"/>
    <w:rsid w:val="014661F3"/>
    <w:rsid w:val="015219C1"/>
    <w:rsid w:val="016A6981"/>
    <w:rsid w:val="017D06B8"/>
    <w:rsid w:val="017E1991"/>
    <w:rsid w:val="01DA1226"/>
    <w:rsid w:val="01E80C5E"/>
    <w:rsid w:val="01FA36AE"/>
    <w:rsid w:val="0240269A"/>
    <w:rsid w:val="027D20EC"/>
    <w:rsid w:val="02A72BC3"/>
    <w:rsid w:val="02C0633E"/>
    <w:rsid w:val="02C579ED"/>
    <w:rsid w:val="02C67B43"/>
    <w:rsid w:val="02CC51F6"/>
    <w:rsid w:val="02E51CA7"/>
    <w:rsid w:val="02FD3AA4"/>
    <w:rsid w:val="030F74CB"/>
    <w:rsid w:val="03151325"/>
    <w:rsid w:val="0331618E"/>
    <w:rsid w:val="03363D03"/>
    <w:rsid w:val="03490B88"/>
    <w:rsid w:val="03533003"/>
    <w:rsid w:val="03663FB0"/>
    <w:rsid w:val="03AF398C"/>
    <w:rsid w:val="03CA7B12"/>
    <w:rsid w:val="03D11532"/>
    <w:rsid w:val="03FC2DC6"/>
    <w:rsid w:val="04051239"/>
    <w:rsid w:val="0405748B"/>
    <w:rsid w:val="04105DD1"/>
    <w:rsid w:val="04430F26"/>
    <w:rsid w:val="044B2E17"/>
    <w:rsid w:val="04604C21"/>
    <w:rsid w:val="046353C5"/>
    <w:rsid w:val="04774721"/>
    <w:rsid w:val="04AB2E49"/>
    <w:rsid w:val="04BE0727"/>
    <w:rsid w:val="04E11BE6"/>
    <w:rsid w:val="052C4973"/>
    <w:rsid w:val="05446B6D"/>
    <w:rsid w:val="05470AB1"/>
    <w:rsid w:val="0549072E"/>
    <w:rsid w:val="0558187D"/>
    <w:rsid w:val="055A7F2E"/>
    <w:rsid w:val="05616E8A"/>
    <w:rsid w:val="058D6A0D"/>
    <w:rsid w:val="05B81342"/>
    <w:rsid w:val="05BD257A"/>
    <w:rsid w:val="05C35A1B"/>
    <w:rsid w:val="05EA6F2B"/>
    <w:rsid w:val="06251D35"/>
    <w:rsid w:val="06255F5E"/>
    <w:rsid w:val="06547A8B"/>
    <w:rsid w:val="065570A3"/>
    <w:rsid w:val="067D38D3"/>
    <w:rsid w:val="068C1C7A"/>
    <w:rsid w:val="06930C51"/>
    <w:rsid w:val="06941CEA"/>
    <w:rsid w:val="06972CC4"/>
    <w:rsid w:val="06AC3712"/>
    <w:rsid w:val="06E50328"/>
    <w:rsid w:val="0719354B"/>
    <w:rsid w:val="073E0E93"/>
    <w:rsid w:val="076B4742"/>
    <w:rsid w:val="07773DBD"/>
    <w:rsid w:val="078004E9"/>
    <w:rsid w:val="07800C8B"/>
    <w:rsid w:val="07855EFB"/>
    <w:rsid w:val="078F7B54"/>
    <w:rsid w:val="07A2364B"/>
    <w:rsid w:val="07A62300"/>
    <w:rsid w:val="07D771C9"/>
    <w:rsid w:val="081658FD"/>
    <w:rsid w:val="08211959"/>
    <w:rsid w:val="08214099"/>
    <w:rsid w:val="0854120F"/>
    <w:rsid w:val="085B14BD"/>
    <w:rsid w:val="085D3EB1"/>
    <w:rsid w:val="087D3A94"/>
    <w:rsid w:val="08853B18"/>
    <w:rsid w:val="089661E3"/>
    <w:rsid w:val="089E637E"/>
    <w:rsid w:val="08B713AE"/>
    <w:rsid w:val="08DE35CE"/>
    <w:rsid w:val="08E31924"/>
    <w:rsid w:val="08F9219F"/>
    <w:rsid w:val="08FE77F2"/>
    <w:rsid w:val="092C7410"/>
    <w:rsid w:val="09315507"/>
    <w:rsid w:val="09333E1E"/>
    <w:rsid w:val="093E2D99"/>
    <w:rsid w:val="09505A05"/>
    <w:rsid w:val="09573D4B"/>
    <w:rsid w:val="09786275"/>
    <w:rsid w:val="097F5A00"/>
    <w:rsid w:val="09890484"/>
    <w:rsid w:val="0995671D"/>
    <w:rsid w:val="09A137B2"/>
    <w:rsid w:val="09C31424"/>
    <w:rsid w:val="09CB2933"/>
    <w:rsid w:val="09DA6CC4"/>
    <w:rsid w:val="09F2225F"/>
    <w:rsid w:val="0A0B7C8A"/>
    <w:rsid w:val="0A297006"/>
    <w:rsid w:val="0A4E6F7A"/>
    <w:rsid w:val="0A5C3A33"/>
    <w:rsid w:val="0A71732E"/>
    <w:rsid w:val="0A8C4299"/>
    <w:rsid w:val="0A8C58B8"/>
    <w:rsid w:val="0AA207FB"/>
    <w:rsid w:val="0AAC0BC3"/>
    <w:rsid w:val="0ACC5437"/>
    <w:rsid w:val="0AD072AE"/>
    <w:rsid w:val="0AEE01BC"/>
    <w:rsid w:val="0AEF0608"/>
    <w:rsid w:val="0AF57292"/>
    <w:rsid w:val="0AF83D6B"/>
    <w:rsid w:val="0AFF11B7"/>
    <w:rsid w:val="0B466F29"/>
    <w:rsid w:val="0B622E6B"/>
    <w:rsid w:val="0B710C24"/>
    <w:rsid w:val="0B811AED"/>
    <w:rsid w:val="0B912CC5"/>
    <w:rsid w:val="0BB44517"/>
    <w:rsid w:val="0BC65457"/>
    <w:rsid w:val="0BF90855"/>
    <w:rsid w:val="0C1244EB"/>
    <w:rsid w:val="0C3871E2"/>
    <w:rsid w:val="0C5C7E64"/>
    <w:rsid w:val="0C69778F"/>
    <w:rsid w:val="0CA244B6"/>
    <w:rsid w:val="0CBE21A8"/>
    <w:rsid w:val="0CD50ECD"/>
    <w:rsid w:val="0CE464D2"/>
    <w:rsid w:val="0CEF59A5"/>
    <w:rsid w:val="0D0730B4"/>
    <w:rsid w:val="0D0C5263"/>
    <w:rsid w:val="0D1B359A"/>
    <w:rsid w:val="0D287875"/>
    <w:rsid w:val="0D4246B1"/>
    <w:rsid w:val="0D68037B"/>
    <w:rsid w:val="0D955311"/>
    <w:rsid w:val="0DB919EF"/>
    <w:rsid w:val="0DD50CB6"/>
    <w:rsid w:val="0DE65820"/>
    <w:rsid w:val="0DF1022B"/>
    <w:rsid w:val="0E081C11"/>
    <w:rsid w:val="0E581BD6"/>
    <w:rsid w:val="0E6967F6"/>
    <w:rsid w:val="0E6A098F"/>
    <w:rsid w:val="0E6F7E4F"/>
    <w:rsid w:val="0E9953A0"/>
    <w:rsid w:val="0E995647"/>
    <w:rsid w:val="0EA6218C"/>
    <w:rsid w:val="0EEC6A0A"/>
    <w:rsid w:val="0EF770AE"/>
    <w:rsid w:val="0EFE5417"/>
    <w:rsid w:val="0F0F5662"/>
    <w:rsid w:val="0F106BB2"/>
    <w:rsid w:val="0F1E4902"/>
    <w:rsid w:val="0F39452A"/>
    <w:rsid w:val="0F3A02AF"/>
    <w:rsid w:val="0F542EC4"/>
    <w:rsid w:val="0F6D77AB"/>
    <w:rsid w:val="0F767194"/>
    <w:rsid w:val="0FAF1D4F"/>
    <w:rsid w:val="0FB640FE"/>
    <w:rsid w:val="0FC02C76"/>
    <w:rsid w:val="0FDA17CC"/>
    <w:rsid w:val="0FE2059C"/>
    <w:rsid w:val="0FEB1BC1"/>
    <w:rsid w:val="0FED69C4"/>
    <w:rsid w:val="10100D2D"/>
    <w:rsid w:val="1015576B"/>
    <w:rsid w:val="10162977"/>
    <w:rsid w:val="101B37FE"/>
    <w:rsid w:val="101E7C77"/>
    <w:rsid w:val="104F5351"/>
    <w:rsid w:val="108E7DA1"/>
    <w:rsid w:val="10910650"/>
    <w:rsid w:val="10944070"/>
    <w:rsid w:val="10B10A0B"/>
    <w:rsid w:val="10B3048F"/>
    <w:rsid w:val="10C761F4"/>
    <w:rsid w:val="10D0330B"/>
    <w:rsid w:val="10E46886"/>
    <w:rsid w:val="10E56B40"/>
    <w:rsid w:val="110A6BA9"/>
    <w:rsid w:val="1113562B"/>
    <w:rsid w:val="113C7DC6"/>
    <w:rsid w:val="113F6976"/>
    <w:rsid w:val="11475A9C"/>
    <w:rsid w:val="11481EB5"/>
    <w:rsid w:val="1153412D"/>
    <w:rsid w:val="117510CE"/>
    <w:rsid w:val="11AC5570"/>
    <w:rsid w:val="11B76077"/>
    <w:rsid w:val="11F250BB"/>
    <w:rsid w:val="12087657"/>
    <w:rsid w:val="12116133"/>
    <w:rsid w:val="121865DB"/>
    <w:rsid w:val="121C59BB"/>
    <w:rsid w:val="122627E9"/>
    <w:rsid w:val="123153D3"/>
    <w:rsid w:val="125B6DB1"/>
    <w:rsid w:val="127635C1"/>
    <w:rsid w:val="130A6291"/>
    <w:rsid w:val="130D4478"/>
    <w:rsid w:val="13217826"/>
    <w:rsid w:val="13274FAE"/>
    <w:rsid w:val="136B10D1"/>
    <w:rsid w:val="13724D3F"/>
    <w:rsid w:val="13760657"/>
    <w:rsid w:val="13954F1A"/>
    <w:rsid w:val="13D35B38"/>
    <w:rsid w:val="13E763BB"/>
    <w:rsid w:val="13EF7DF0"/>
    <w:rsid w:val="13F52D1A"/>
    <w:rsid w:val="140848AB"/>
    <w:rsid w:val="14284114"/>
    <w:rsid w:val="145B24B8"/>
    <w:rsid w:val="147F6DE6"/>
    <w:rsid w:val="14824D79"/>
    <w:rsid w:val="1484476B"/>
    <w:rsid w:val="14AD7A40"/>
    <w:rsid w:val="14B13B83"/>
    <w:rsid w:val="14C95BF3"/>
    <w:rsid w:val="14D61ECC"/>
    <w:rsid w:val="14D7452C"/>
    <w:rsid w:val="14DA401C"/>
    <w:rsid w:val="14FC4153"/>
    <w:rsid w:val="150A5797"/>
    <w:rsid w:val="151F1CB1"/>
    <w:rsid w:val="152562A6"/>
    <w:rsid w:val="154D6CCB"/>
    <w:rsid w:val="156C6D55"/>
    <w:rsid w:val="156D22BF"/>
    <w:rsid w:val="158741A4"/>
    <w:rsid w:val="15AD3DC6"/>
    <w:rsid w:val="15B10310"/>
    <w:rsid w:val="15B834FD"/>
    <w:rsid w:val="15BD09F8"/>
    <w:rsid w:val="16005C4A"/>
    <w:rsid w:val="160F3132"/>
    <w:rsid w:val="161A7672"/>
    <w:rsid w:val="165106A5"/>
    <w:rsid w:val="165E219F"/>
    <w:rsid w:val="16612263"/>
    <w:rsid w:val="1664146B"/>
    <w:rsid w:val="16736C30"/>
    <w:rsid w:val="16837DD1"/>
    <w:rsid w:val="16850285"/>
    <w:rsid w:val="170E4685"/>
    <w:rsid w:val="172105B4"/>
    <w:rsid w:val="174060C4"/>
    <w:rsid w:val="176E0A77"/>
    <w:rsid w:val="1775464D"/>
    <w:rsid w:val="17F731B8"/>
    <w:rsid w:val="17FB7E9F"/>
    <w:rsid w:val="18144CE6"/>
    <w:rsid w:val="18183155"/>
    <w:rsid w:val="18326726"/>
    <w:rsid w:val="18B34D5A"/>
    <w:rsid w:val="18BC46B4"/>
    <w:rsid w:val="18C7479D"/>
    <w:rsid w:val="18E22335"/>
    <w:rsid w:val="18EA4D13"/>
    <w:rsid w:val="18EB66BF"/>
    <w:rsid w:val="191A225C"/>
    <w:rsid w:val="194B5590"/>
    <w:rsid w:val="19654268"/>
    <w:rsid w:val="196D2CA0"/>
    <w:rsid w:val="199A6994"/>
    <w:rsid w:val="19EE2A43"/>
    <w:rsid w:val="1A081DAF"/>
    <w:rsid w:val="1A376D1F"/>
    <w:rsid w:val="1A626F8D"/>
    <w:rsid w:val="1A6B015F"/>
    <w:rsid w:val="1A903696"/>
    <w:rsid w:val="1AA66688"/>
    <w:rsid w:val="1AC506E5"/>
    <w:rsid w:val="1AFA3DA2"/>
    <w:rsid w:val="1B182666"/>
    <w:rsid w:val="1B9969DF"/>
    <w:rsid w:val="1BA05E2F"/>
    <w:rsid w:val="1BC35656"/>
    <w:rsid w:val="1BCA421A"/>
    <w:rsid w:val="1BCF00CC"/>
    <w:rsid w:val="1BDC2E0D"/>
    <w:rsid w:val="1BE40130"/>
    <w:rsid w:val="1BEE1624"/>
    <w:rsid w:val="1C6E3E51"/>
    <w:rsid w:val="1C89735A"/>
    <w:rsid w:val="1C9F1DD3"/>
    <w:rsid w:val="1C9F7954"/>
    <w:rsid w:val="1CB05D8E"/>
    <w:rsid w:val="1CC04303"/>
    <w:rsid w:val="1CC67B0C"/>
    <w:rsid w:val="1CD12FDF"/>
    <w:rsid w:val="1CD3069E"/>
    <w:rsid w:val="1CE71730"/>
    <w:rsid w:val="1CF21D79"/>
    <w:rsid w:val="1D1468E4"/>
    <w:rsid w:val="1D270308"/>
    <w:rsid w:val="1D287647"/>
    <w:rsid w:val="1D4C430E"/>
    <w:rsid w:val="1D64764A"/>
    <w:rsid w:val="1D6F78D7"/>
    <w:rsid w:val="1D7626F9"/>
    <w:rsid w:val="1D7C75EF"/>
    <w:rsid w:val="1D960B8D"/>
    <w:rsid w:val="1D975BFB"/>
    <w:rsid w:val="1D987ECE"/>
    <w:rsid w:val="1DA70DF9"/>
    <w:rsid w:val="1DA76BB6"/>
    <w:rsid w:val="1DB25EA6"/>
    <w:rsid w:val="1DC128A0"/>
    <w:rsid w:val="1DC472A4"/>
    <w:rsid w:val="1DD106B2"/>
    <w:rsid w:val="1DF14FB8"/>
    <w:rsid w:val="1E30502E"/>
    <w:rsid w:val="1E375EF9"/>
    <w:rsid w:val="1E5523D5"/>
    <w:rsid w:val="1E59375D"/>
    <w:rsid w:val="1E6233C1"/>
    <w:rsid w:val="1E627EFD"/>
    <w:rsid w:val="1E812D24"/>
    <w:rsid w:val="1E9262F5"/>
    <w:rsid w:val="1EBA2EF4"/>
    <w:rsid w:val="1ED07FB7"/>
    <w:rsid w:val="1EE93E67"/>
    <w:rsid w:val="1F5A335E"/>
    <w:rsid w:val="1F5E3160"/>
    <w:rsid w:val="1F6949B0"/>
    <w:rsid w:val="1F7A60BA"/>
    <w:rsid w:val="1F801470"/>
    <w:rsid w:val="1F9E5475"/>
    <w:rsid w:val="1F9F3B77"/>
    <w:rsid w:val="1FF95294"/>
    <w:rsid w:val="201D1248"/>
    <w:rsid w:val="20214FBA"/>
    <w:rsid w:val="202E4015"/>
    <w:rsid w:val="20311A1C"/>
    <w:rsid w:val="206E2B54"/>
    <w:rsid w:val="20904F10"/>
    <w:rsid w:val="20AA18F2"/>
    <w:rsid w:val="20C555CD"/>
    <w:rsid w:val="20D53F94"/>
    <w:rsid w:val="20E26D20"/>
    <w:rsid w:val="20F0338B"/>
    <w:rsid w:val="213B220C"/>
    <w:rsid w:val="213C3E1D"/>
    <w:rsid w:val="214F2386"/>
    <w:rsid w:val="2151201A"/>
    <w:rsid w:val="21586D51"/>
    <w:rsid w:val="21771CD5"/>
    <w:rsid w:val="218C0355"/>
    <w:rsid w:val="21AD19D6"/>
    <w:rsid w:val="21D82B04"/>
    <w:rsid w:val="2216574C"/>
    <w:rsid w:val="223A348B"/>
    <w:rsid w:val="22784928"/>
    <w:rsid w:val="22972E6A"/>
    <w:rsid w:val="22A3479F"/>
    <w:rsid w:val="231033A9"/>
    <w:rsid w:val="23332BCF"/>
    <w:rsid w:val="233C1F69"/>
    <w:rsid w:val="237826D5"/>
    <w:rsid w:val="23B77761"/>
    <w:rsid w:val="23C03025"/>
    <w:rsid w:val="241468C4"/>
    <w:rsid w:val="24247F15"/>
    <w:rsid w:val="24285760"/>
    <w:rsid w:val="242B4894"/>
    <w:rsid w:val="24341823"/>
    <w:rsid w:val="2435731C"/>
    <w:rsid w:val="245A1A40"/>
    <w:rsid w:val="245A2D75"/>
    <w:rsid w:val="24783A57"/>
    <w:rsid w:val="24B95AE7"/>
    <w:rsid w:val="24BC71D6"/>
    <w:rsid w:val="24BE4593"/>
    <w:rsid w:val="24D82ECD"/>
    <w:rsid w:val="24DA6D73"/>
    <w:rsid w:val="24F02E75"/>
    <w:rsid w:val="24F251FE"/>
    <w:rsid w:val="25122649"/>
    <w:rsid w:val="25395CF7"/>
    <w:rsid w:val="25550A3D"/>
    <w:rsid w:val="25552996"/>
    <w:rsid w:val="25697DF7"/>
    <w:rsid w:val="25742693"/>
    <w:rsid w:val="25B44038"/>
    <w:rsid w:val="25B80900"/>
    <w:rsid w:val="25CD68CF"/>
    <w:rsid w:val="25E00516"/>
    <w:rsid w:val="25F211C5"/>
    <w:rsid w:val="26123B8C"/>
    <w:rsid w:val="2629711B"/>
    <w:rsid w:val="262E022E"/>
    <w:rsid w:val="26315B76"/>
    <w:rsid w:val="26745680"/>
    <w:rsid w:val="267E6EFD"/>
    <w:rsid w:val="26933AEB"/>
    <w:rsid w:val="26BB626E"/>
    <w:rsid w:val="26D730E7"/>
    <w:rsid w:val="26E65B81"/>
    <w:rsid w:val="275C4834"/>
    <w:rsid w:val="27603CE5"/>
    <w:rsid w:val="276A3F92"/>
    <w:rsid w:val="276E243B"/>
    <w:rsid w:val="27714A31"/>
    <w:rsid w:val="27764DEC"/>
    <w:rsid w:val="27790E4C"/>
    <w:rsid w:val="277E580A"/>
    <w:rsid w:val="27860C4A"/>
    <w:rsid w:val="278F6276"/>
    <w:rsid w:val="27992A99"/>
    <w:rsid w:val="27C87AA2"/>
    <w:rsid w:val="27CF38E1"/>
    <w:rsid w:val="280864BB"/>
    <w:rsid w:val="280A7F46"/>
    <w:rsid w:val="28101479"/>
    <w:rsid w:val="281533CB"/>
    <w:rsid w:val="28190D0A"/>
    <w:rsid w:val="282F6E2A"/>
    <w:rsid w:val="28376A3E"/>
    <w:rsid w:val="2838439C"/>
    <w:rsid w:val="28393AD8"/>
    <w:rsid w:val="28441C98"/>
    <w:rsid w:val="28461C9C"/>
    <w:rsid w:val="284F1375"/>
    <w:rsid w:val="285715E4"/>
    <w:rsid w:val="2871730F"/>
    <w:rsid w:val="287B1295"/>
    <w:rsid w:val="288D5B18"/>
    <w:rsid w:val="28A74887"/>
    <w:rsid w:val="28A93A34"/>
    <w:rsid w:val="28BF2AD9"/>
    <w:rsid w:val="28CE58DC"/>
    <w:rsid w:val="2929093D"/>
    <w:rsid w:val="292D6601"/>
    <w:rsid w:val="293C360E"/>
    <w:rsid w:val="293D61A4"/>
    <w:rsid w:val="29470F1A"/>
    <w:rsid w:val="29691FCF"/>
    <w:rsid w:val="296D1BF8"/>
    <w:rsid w:val="29846195"/>
    <w:rsid w:val="298B4627"/>
    <w:rsid w:val="29A24444"/>
    <w:rsid w:val="29A61FF6"/>
    <w:rsid w:val="29AA1DB7"/>
    <w:rsid w:val="29C23E78"/>
    <w:rsid w:val="29C52790"/>
    <w:rsid w:val="29DB40F9"/>
    <w:rsid w:val="29E67B46"/>
    <w:rsid w:val="29ED0978"/>
    <w:rsid w:val="2A007C29"/>
    <w:rsid w:val="2A057D4D"/>
    <w:rsid w:val="2A26221A"/>
    <w:rsid w:val="2A28735B"/>
    <w:rsid w:val="2A317D48"/>
    <w:rsid w:val="2A375495"/>
    <w:rsid w:val="2A7964BE"/>
    <w:rsid w:val="2A7E1A22"/>
    <w:rsid w:val="2A8A1456"/>
    <w:rsid w:val="2A914399"/>
    <w:rsid w:val="2AAF42A7"/>
    <w:rsid w:val="2AB609DB"/>
    <w:rsid w:val="2AE31B61"/>
    <w:rsid w:val="2AED15AF"/>
    <w:rsid w:val="2AF94DA4"/>
    <w:rsid w:val="2B122447"/>
    <w:rsid w:val="2B1F2199"/>
    <w:rsid w:val="2B2645A9"/>
    <w:rsid w:val="2B2B3307"/>
    <w:rsid w:val="2B3A0C5D"/>
    <w:rsid w:val="2B416E6C"/>
    <w:rsid w:val="2B6C5747"/>
    <w:rsid w:val="2B7E0DF8"/>
    <w:rsid w:val="2B890387"/>
    <w:rsid w:val="2B9F5013"/>
    <w:rsid w:val="2BA24D7D"/>
    <w:rsid w:val="2BB60D63"/>
    <w:rsid w:val="2BB83EC7"/>
    <w:rsid w:val="2BBA20D0"/>
    <w:rsid w:val="2BD27637"/>
    <w:rsid w:val="2BD31A99"/>
    <w:rsid w:val="2BD566B2"/>
    <w:rsid w:val="2BF04442"/>
    <w:rsid w:val="2C033C9A"/>
    <w:rsid w:val="2C0F7941"/>
    <w:rsid w:val="2C551494"/>
    <w:rsid w:val="2C6341E5"/>
    <w:rsid w:val="2CA927FA"/>
    <w:rsid w:val="2CAC0CB6"/>
    <w:rsid w:val="2CC8086A"/>
    <w:rsid w:val="2D1D4321"/>
    <w:rsid w:val="2D3B0D46"/>
    <w:rsid w:val="2D4061A3"/>
    <w:rsid w:val="2D447496"/>
    <w:rsid w:val="2D6B2A6C"/>
    <w:rsid w:val="2D79688A"/>
    <w:rsid w:val="2D951F99"/>
    <w:rsid w:val="2D9C62C1"/>
    <w:rsid w:val="2DB522F0"/>
    <w:rsid w:val="2DCA107E"/>
    <w:rsid w:val="2DF0663E"/>
    <w:rsid w:val="2E006A2D"/>
    <w:rsid w:val="2E0579E4"/>
    <w:rsid w:val="2E646D16"/>
    <w:rsid w:val="2E730AF8"/>
    <w:rsid w:val="2E7B7976"/>
    <w:rsid w:val="2E9F5C62"/>
    <w:rsid w:val="2EA77752"/>
    <w:rsid w:val="2EDC6EB7"/>
    <w:rsid w:val="2EE84EEF"/>
    <w:rsid w:val="2EED7B1D"/>
    <w:rsid w:val="2F1E636E"/>
    <w:rsid w:val="2F294452"/>
    <w:rsid w:val="2F372A05"/>
    <w:rsid w:val="2F3E2A71"/>
    <w:rsid w:val="2F487162"/>
    <w:rsid w:val="2F5E167A"/>
    <w:rsid w:val="2F823696"/>
    <w:rsid w:val="2F895493"/>
    <w:rsid w:val="2F9431A9"/>
    <w:rsid w:val="2F9D4B28"/>
    <w:rsid w:val="2FC00586"/>
    <w:rsid w:val="2FC43E60"/>
    <w:rsid w:val="2FD116E3"/>
    <w:rsid w:val="2FF76652"/>
    <w:rsid w:val="305E70C7"/>
    <w:rsid w:val="307E1E76"/>
    <w:rsid w:val="308E74A1"/>
    <w:rsid w:val="3098505F"/>
    <w:rsid w:val="30A35EB3"/>
    <w:rsid w:val="30A95924"/>
    <w:rsid w:val="30B5155E"/>
    <w:rsid w:val="30B55C11"/>
    <w:rsid w:val="30C02596"/>
    <w:rsid w:val="30CC7E97"/>
    <w:rsid w:val="30D50061"/>
    <w:rsid w:val="30D923F2"/>
    <w:rsid w:val="31014858"/>
    <w:rsid w:val="310532F3"/>
    <w:rsid w:val="3106021B"/>
    <w:rsid w:val="311B006E"/>
    <w:rsid w:val="31287AAF"/>
    <w:rsid w:val="313670C5"/>
    <w:rsid w:val="31552F50"/>
    <w:rsid w:val="31756D57"/>
    <w:rsid w:val="318459D6"/>
    <w:rsid w:val="31B02819"/>
    <w:rsid w:val="31B41A25"/>
    <w:rsid w:val="31CA6BD9"/>
    <w:rsid w:val="31D60F9D"/>
    <w:rsid w:val="31D66880"/>
    <w:rsid w:val="31DA5323"/>
    <w:rsid w:val="31ED1B4E"/>
    <w:rsid w:val="31EF79F4"/>
    <w:rsid w:val="31F10520"/>
    <w:rsid w:val="32124919"/>
    <w:rsid w:val="32141BD6"/>
    <w:rsid w:val="322E207F"/>
    <w:rsid w:val="323439F6"/>
    <w:rsid w:val="32596136"/>
    <w:rsid w:val="325F6403"/>
    <w:rsid w:val="326E2DDA"/>
    <w:rsid w:val="327D275F"/>
    <w:rsid w:val="328E2D84"/>
    <w:rsid w:val="32AC0031"/>
    <w:rsid w:val="32CA5299"/>
    <w:rsid w:val="32E52124"/>
    <w:rsid w:val="32EF706E"/>
    <w:rsid w:val="330B3FA5"/>
    <w:rsid w:val="33512997"/>
    <w:rsid w:val="33654E3E"/>
    <w:rsid w:val="33804800"/>
    <w:rsid w:val="338E6807"/>
    <w:rsid w:val="339147B5"/>
    <w:rsid w:val="33D63F4F"/>
    <w:rsid w:val="33E12879"/>
    <w:rsid w:val="33FC5923"/>
    <w:rsid w:val="34102099"/>
    <w:rsid w:val="34233CED"/>
    <w:rsid w:val="3447252A"/>
    <w:rsid w:val="34504384"/>
    <w:rsid w:val="345F1BAB"/>
    <w:rsid w:val="34621911"/>
    <w:rsid w:val="34700CB5"/>
    <w:rsid w:val="34716D0C"/>
    <w:rsid w:val="347B565C"/>
    <w:rsid w:val="348201B6"/>
    <w:rsid w:val="348E7ABE"/>
    <w:rsid w:val="349B0CC6"/>
    <w:rsid w:val="349B6391"/>
    <w:rsid w:val="34A87407"/>
    <w:rsid w:val="34C4747B"/>
    <w:rsid w:val="34E77B0C"/>
    <w:rsid w:val="34FE731C"/>
    <w:rsid w:val="35042210"/>
    <w:rsid w:val="35152C88"/>
    <w:rsid w:val="351F7FC8"/>
    <w:rsid w:val="352445A8"/>
    <w:rsid w:val="35351F00"/>
    <w:rsid w:val="353D3BFE"/>
    <w:rsid w:val="355748A5"/>
    <w:rsid w:val="35633FAE"/>
    <w:rsid w:val="356C0464"/>
    <w:rsid w:val="358409FE"/>
    <w:rsid w:val="359B2F86"/>
    <w:rsid w:val="35A720B8"/>
    <w:rsid w:val="35D818C3"/>
    <w:rsid w:val="36330DFB"/>
    <w:rsid w:val="364617FC"/>
    <w:rsid w:val="364B3E22"/>
    <w:rsid w:val="366E0860"/>
    <w:rsid w:val="36724CB7"/>
    <w:rsid w:val="36830209"/>
    <w:rsid w:val="36A2284B"/>
    <w:rsid w:val="36AA6E9C"/>
    <w:rsid w:val="36AB666F"/>
    <w:rsid w:val="36BD01C3"/>
    <w:rsid w:val="36F43F84"/>
    <w:rsid w:val="37834C2E"/>
    <w:rsid w:val="37AB7BD2"/>
    <w:rsid w:val="37E94F06"/>
    <w:rsid w:val="380E6242"/>
    <w:rsid w:val="38290A2A"/>
    <w:rsid w:val="383B5259"/>
    <w:rsid w:val="38417D8A"/>
    <w:rsid w:val="38443C4E"/>
    <w:rsid w:val="38715401"/>
    <w:rsid w:val="387C796E"/>
    <w:rsid w:val="388965FF"/>
    <w:rsid w:val="38A30EE0"/>
    <w:rsid w:val="38CB30AB"/>
    <w:rsid w:val="38E63F9D"/>
    <w:rsid w:val="38E954DC"/>
    <w:rsid w:val="39077C38"/>
    <w:rsid w:val="391F59BA"/>
    <w:rsid w:val="39422DD0"/>
    <w:rsid w:val="39690065"/>
    <w:rsid w:val="39723F1C"/>
    <w:rsid w:val="397D2D1A"/>
    <w:rsid w:val="3983167F"/>
    <w:rsid w:val="3996553D"/>
    <w:rsid w:val="39972358"/>
    <w:rsid w:val="39A12F19"/>
    <w:rsid w:val="39A35E40"/>
    <w:rsid w:val="39C10B59"/>
    <w:rsid w:val="39FF34E6"/>
    <w:rsid w:val="3A022EE3"/>
    <w:rsid w:val="3A053646"/>
    <w:rsid w:val="3A1958D6"/>
    <w:rsid w:val="3A197A84"/>
    <w:rsid w:val="3A361B71"/>
    <w:rsid w:val="3A431D95"/>
    <w:rsid w:val="3A4E2862"/>
    <w:rsid w:val="3A5646D4"/>
    <w:rsid w:val="3A6B3D45"/>
    <w:rsid w:val="3A7F78D4"/>
    <w:rsid w:val="3A8113C5"/>
    <w:rsid w:val="3AA711AB"/>
    <w:rsid w:val="3AAF67B7"/>
    <w:rsid w:val="3AB224E9"/>
    <w:rsid w:val="3AB36692"/>
    <w:rsid w:val="3ABE24A9"/>
    <w:rsid w:val="3AD93D2B"/>
    <w:rsid w:val="3AE32469"/>
    <w:rsid w:val="3AFA29E8"/>
    <w:rsid w:val="3B100F2B"/>
    <w:rsid w:val="3B29475F"/>
    <w:rsid w:val="3B2D278E"/>
    <w:rsid w:val="3B4E14F1"/>
    <w:rsid w:val="3B4F136D"/>
    <w:rsid w:val="3B6C5564"/>
    <w:rsid w:val="3B6E65F8"/>
    <w:rsid w:val="3B90568E"/>
    <w:rsid w:val="3B924218"/>
    <w:rsid w:val="3BBE6E0F"/>
    <w:rsid w:val="3BC45F0F"/>
    <w:rsid w:val="3BEB6A40"/>
    <w:rsid w:val="3BFF7817"/>
    <w:rsid w:val="3C096E11"/>
    <w:rsid w:val="3C1B0863"/>
    <w:rsid w:val="3C2507C7"/>
    <w:rsid w:val="3C25157A"/>
    <w:rsid w:val="3C3D220C"/>
    <w:rsid w:val="3C660BF2"/>
    <w:rsid w:val="3C6A1027"/>
    <w:rsid w:val="3C97403C"/>
    <w:rsid w:val="3CAC1900"/>
    <w:rsid w:val="3CCC2A59"/>
    <w:rsid w:val="3CD32AA5"/>
    <w:rsid w:val="3CE05DC4"/>
    <w:rsid w:val="3CE37488"/>
    <w:rsid w:val="3CEF2EDE"/>
    <w:rsid w:val="3CF935A7"/>
    <w:rsid w:val="3D0B531B"/>
    <w:rsid w:val="3D522A08"/>
    <w:rsid w:val="3D62583D"/>
    <w:rsid w:val="3D740368"/>
    <w:rsid w:val="3DD05368"/>
    <w:rsid w:val="3DE4139C"/>
    <w:rsid w:val="3DE54B42"/>
    <w:rsid w:val="3E0E29CA"/>
    <w:rsid w:val="3E2118F1"/>
    <w:rsid w:val="3E4E47E5"/>
    <w:rsid w:val="3E534B49"/>
    <w:rsid w:val="3E5F45D4"/>
    <w:rsid w:val="3E754031"/>
    <w:rsid w:val="3E8D7695"/>
    <w:rsid w:val="3E9344D6"/>
    <w:rsid w:val="3EA30456"/>
    <w:rsid w:val="3EE277A0"/>
    <w:rsid w:val="3EEC2BE8"/>
    <w:rsid w:val="3EED7654"/>
    <w:rsid w:val="3EEF1D65"/>
    <w:rsid w:val="3F0E02F9"/>
    <w:rsid w:val="3F613067"/>
    <w:rsid w:val="3F703636"/>
    <w:rsid w:val="3F7675C7"/>
    <w:rsid w:val="3FA4331F"/>
    <w:rsid w:val="3FBE0142"/>
    <w:rsid w:val="3FEF19A4"/>
    <w:rsid w:val="3FF52E59"/>
    <w:rsid w:val="40224BAA"/>
    <w:rsid w:val="40253077"/>
    <w:rsid w:val="402656AD"/>
    <w:rsid w:val="4032105D"/>
    <w:rsid w:val="40333709"/>
    <w:rsid w:val="40381D58"/>
    <w:rsid w:val="405E405E"/>
    <w:rsid w:val="406F6C5C"/>
    <w:rsid w:val="408A3756"/>
    <w:rsid w:val="408B4368"/>
    <w:rsid w:val="409E0BB5"/>
    <w:rsid w:val="40B329B0"/>
    <w:rsid w:val="40B65B6D"/>
    <w:rsid w:val="40BE04DD"/>
    <w:rsid w:val="40C46B55"/>
    <w:rsid w:val="41036525"/>
    <w:rsid w:val="410A64B9"/>
    <w:rsid w:val="41342CB1"/>
    <w:rsid w:val="41436921"/>
    <w:rsid w:val="41457F09"/>
    <w:rsid w:val="415B3C6E"/>
    <w:rsid w:val="415B6719"/>
    <w:rsid w:val="416F256B"/>
    <w:rsid w:val="41D40EF4"/>
    <w:rsid w:val="41E17520"/>
    <w:rsid w:val="41FB36A0"/>
    <w:rsid w:val="420576DB"/>
    <w:rsid w:val="4220033C"/>
    <w:rsid w:val="4230334A"/>
    <w:rsid w:val="423B5742"/>
    <w:rsid w:val="42416FF5"/>
    <w:rsid w:val="42481DF6"/>
    <w:rsid w:val="426A2892"/>
    <w:rsid w:val="428E3D39"/>
    <w:rsid w:val="42A54369"/>
    <w:rsid w:val="42DE393D"/>
    <w:rsid w:val="42E25F82"/>
    <w:rsid w:val="430240F9"/>
    <w:rsid w:val="431542ED"/>
    <w:rsid w:val="43254E1C"/>
    <w:rsid w:val="432C116F"/>
    <w:rsid w:val="435B2648"/>
    <w:rsid w:val="436047C2"/>
    <w:rsid w:val="43860FE6"/>
    <w:rsid w:val="43B46007"/>
    <w:rsid w:val="43BB29AD"/>
    <w:rsid w:val="44086E0D"/>
    <w:rsid w:val="44261675"/>
    <w:rsid w:val="4435350D"/>
    <w:rsid w:val="446E0DFA"/>
    <w:rsid w:val="447247DA"/>
    <w:rsid w:val="44B82166"/>
    <w:rsid w:val="44DB0EF5"/>
    <w:rsid w:val="44DF545A"/>
    <w:rsid w:val="44F646BC"/>
    <w:rsid w:val="45675F3F"/>
    <w:rsid w:val="45700344"/>
    <w:rsid w:val="457B368E"/>
    <w:rsid w:val="45B1138E"/>
    <w:rsid w:val="45B225EA"/>
    <w:rsid w:val="45CE5ED0"/>
    <w:rsid w:val="45DB5F7E"/>
    <w:rsid w:val="45F212F9"/>
    <w:rsid w:val="45F315B8"/>
    <w:rsid w:val="45F50B4A"/>
    <w:rsid w:val="4605689B"/>
    <w:rsid w:val="46086804"/>
    <w:rsid w:val="461A23A1"/>
    <w:rsid w:val="464918FF"/>
    <w:rsid w:val="465314F7"/>
    <w:rsid w:val="46730D78"/>
    <w:rsid w:val="46733245"/>
    <w:rsid w:val="46743C3C"/>
    <w:rsid w:val="46CB77A8"/>
    <w:rsid w:val="46E1486A"/>
    <w:rsid w:val="46E81025"/>
    <w:rsid w:val="46F72B87"/>
    <w:rsid w:val="46F96400"/>
    <w:rsid w:val="473D2566"/>
    <w:rsid w:val="474425EB"/>
    <w:rsid w:val="47453C5B"/>
    <w:rsid w:val="47466857"/>
    <w:rsid w:val="4754559B"/>
    <w:rsid w:val="4759119F"/>
    <w:rsid w:val="475B40FC"/>
    <w:rsid w:val="4760404A"/>
    <w:rsid w:val="47724ED4"/>
    <w:rsid w:val="47826ABA"/>
    <w:rsid w:val="479165B6"/>
    <w:rsid w:val="47AA594C"/>
    <w:rsid w:val="47DC7E6B"/>
    <w:rsid w:val="47F01381"/>
    <w:rsid w:val="48005EE3"/>
    <w:rsid w:val="48211BC6"/>
    <w:rsid w:val="48317060"/>
    <w:rsid w:val="48387AAB"/>
    <w:rsid w:val="484474BE"/>
    <w:rsid w:val="48750E66"/>
    <w:rsid w:val="48804B14"/>
    <w:rsid w:val="489B5AB3"/>
    <w:rsid w:val="48B25F9C"/>
    <w:rsid w:val="48CF1673"/>
    <w:rsid w:val="48D561CB"/>
    <w:rsid w:val="48E772DE"/>
    <w:rsid w:val="48E9481F"/>
    <w:rsid w:val="4903168C"/>
    <w:rsid w:val="49141DBE"/>
    <w:rsid w:val="492C1672"/>
    <w:rsid w:val="4945113D"/>
    <w:rsid w:val="49464CA0"/>
    <w:rsid w:val="495C4245"/>
    <w:rsid w:val="49626793"/>
    <w:rsid w:val="496B0400"/>
    <w:rsid w:val="497A1054"/>
    <w:rsid w:val="497D7083"/>
    <w:rsid w:val="49A67F5B"/>
    <w:rsid w:val="49B17774"/>
    <w:rsid w:val="49D0026B"/>
    <w:rsid w:val="4A00537D"/>
    <w:rsid w:val="4A12357A"/>
    <w:rsid w:val="4A1E7F2C"/>
    <w:rsid w:val="4A223FF0"/>
    <w:rsid w:val="4A2D1E40"/>
    <w:rsid w:val="4A2F63BA"/>
    <w:rsid w:val="4A3E718F"/>
    <w:rsid w:val="4A4D4C39"/>
    <w:rsid w:val="4A7463FF"/>
    <w:rsid w:val="4A987C15"/>
    <w:rsid w:val="4AB617C7"/>
    <w:rsid w:val="4AEA65E3"/>
    <w:rsid w:val="4B3167D6"/>
    <w:rsid w:val="4B4C7231"/>
    <w:rsid w:val="4B814E9B"/>
    <w:rsid w:val="4B88689A"/>
    <w:rsid w:val="4BB52B12"/>
    <w:rsid w:val="4BB74E48"/>
    <w:rsid w:val="4C312198"/>
    <w:rsid w:val="4C3F56E7"/>
    <w:rsid w:val="4C636844"/>
    <w:rsid w:val="4C641769"/>
    <w:rsid w:val="4C6F0BBB"/>
    <w:rsid w:val="4C9B5E72"/>
    <w:rsid w:val="4CA628A3"/>
    <w:rsid w:val="4CAE0F42"/>
    <w:rsid w:val="4CB45663"/>
    <w:rsid w:val="4CF865F9"/>
    <w:rsid w:val="4CF87845"/>
    <w:rsid w:val="4CFB09F8"/>
    <w:rsid w:val="4D1E4CA3"/>
    <w:rsid w:val="4D416AC9"/>
    <w:rsid w:val="4D454D88"/>
    <w:rsid w:val="4D6E1DDC"/>
    <w:rsid w:val="4D856E47"/>
    <w:rsid w:val="4D9968E4"/>
    <w:rsid w:val="4D9C24C3"/>
    <w:rsid w:val="4D9F0FF6"/>
    <w:rsid w:val="4DA622CB"/>
    <w:rsid w:val="4DA652F2"/>
    <w:rsid w:val="4DBD3009"/>
    <w:rsid w:val="4DBD5311"/>
    <w:rsid w:val="4DE275F6"/>
    <w:rsid w:val="4DE91645"/>
    <w:rsid w:val="4DFB7A95"/>
    <w:rsid w:val="4E170DF9"/>
    <w:rsid w:val="4E250801"/>
    <w:rsid w:val="4E25090D"/>
    <w:rsid w:val="4E4219EB"/>
    <w:rsid w:val="4E5401B4"/>
    <w:rsid w:val="4E7C400A"/>
    <w:rsid w:val="4E8314AE"/>
    <w:rsid w:val="4E867087"/>
    <w:rsid w:val="4E8C685F"/>
    <w:rsid w:val="4EA951E6"/>
    <w:rsid w:val="4EB06E1B"/>
    <w:rsid w:val="4EDD3294"/>
    <w:rsid w:val="4EEF6F78"/>
    <w:rsid w:val="4F091ADF"/>
    <w:rsid w:val="4F1A1AC3"/>
    <w:rsid w:val="4F1C1160"/>
    <w:rsid w:val="4F206B43"/>
    <w:rsid w:val="4F4D6A35"/>
    <w:rsid w:val="4F685821"/>
    <w:rsid w:val="4F7453D0"/>
    <w:rsid w:val="4F754D55"/>
    <w:rsid w:val="4F837C66"/>
    <w:rsid w:val="4FB50396"/>
    <w:rsid w:val="4FD618C0"/>
    <w:rsid w:val="4FE844EF"/>
    <w:rsid w:val="4FED61A4"/>
    <w:rsid w:val="502C31FF"/>
    <w:rsid w:val="50423908"/>
    <w:rsid w:val="504673C4"/>
    <w:rsid w:val="50684263"/>
    <w:rsid w:val="50B4269C"/>
    <w:rsid w:val="50C153AC"/>
    <w:rsid w:val="50C81D4B"/>
    <w:rsid w:val="50EE37D5"/>
    <w:rsid w:val="50FD6086"/>
    <w:rsid w:val="5117623D"/>
    <w:rsid w:val="51321B58"/>
    <w:rsid w:val="516606B7"/>
    <w:rsid w:val="5167343E"/>
    <w:rsid w:val="51A5427E"/>
    <w:rsid w:val="51AE1B01"/>
    <w:rsid w:val="51BC79CF"/>
    <w:rsid w:val="51D47FCD"/>
    <w:rsid w:val="51D57A6A"/>
    <w:rsid w:val="51D75590"/>
    <w:rsid w:val="51D81308"/>
    <w:rsid w:val="51E93244"/>
    <w:rsid w:val="51FD4F2F"/>
    <w:rsid w:val="52286D8C"/>
    <w:rsid w:val="52722CC2"/>
    <w:rsid w:val="52B41470"/>
    <w:rsid w:val="52C50CF7"/>
    <w:rsid w:val="52EC727F"/>
    <w:rsid w:val="52F42843"/>
    <w:rsid w:val="530A729F"/>
    <w:rsid w:val="5326467E"/>
    <w:rsid w:val="53333D83"/>
    <w:rsid w:val="5334152A"/>
    <w:rsid w:val="5336010A"/>
    <w:rsid w:val="5336033B"/>
    <w:rsid w:val="533B35B6"/>
    <w:rsid w:val="53470F05"/>
    <w:rsid w:val="534F4341"/>
    <w:rsid w:val="535C4566"/>
    <w:rsid w:val="537A08C9"/>
    <w:rsid w:val="53A5333D"/>
    <w:rsid w:val="53AC290C"/>
    <w:rsid w:val="53C953AC"/>
    <w:rsid w:val="53E83831"/>
    <w:rsid w:val="541D5D26"/>
    <w:rsid w:val="543B4717"/>
    <w:rsid w:val="543D5452"/>
    <w:rsid w:val="54494024"/>
    <w:rsid w:val="54710171"/>
    <w:rsid w:val="549C50BA"/>
    <w:rsid w:val="55193010"/>
    <w:rsid w:val="552334B9"/>
    <w:rsid w:val="55262246"/>
    <w:rsid w:val="55321554"/>
    <w:rsid w:val="554E6FD1"/>
    <w:rsid w:val="555732A6"/>
    <w:rsid w:val="55801A9A"/>
    <w:rsid w:val="558E0EFC"/>
    <w:rsid w:val="558F2FCA"/>
    <w:rsid w:val="558F7F2F"/>
    <w:rsid w:val="55B934E0"/>
    <w:rsid w:val="55B9512A"/>
    <w:rsid w:val="55C03BBD"/>
    <w:rsid w:val="55F97DD2"/>
    <w:rsid w:val="561033E9"/>
    <w:rsid w:val="561E2B8A"/>
    <w:rsid w:val="563F0241"/>
    <w:rsid w:val="56636813"/>
    <w:rsid w:val="566B0DE9"/>
    <w:rsid w:val="566C3424"/>
    <w:rsid w:val="56753704"/>
    <w:rsid w:val="569D1473"/>
    <w:rsid w:val="56A501A4"/>
    <w:rsid w:val="56B738DF"/>
    <w:rsid w:val="56C03F64"/>
    <w:rsid w:val="56DA5A61"/>
    <w:rsid w:val="56E820FA"/>
    <w:rsid w:val="56F209C6"/>
    <w:rsid w:val="57086B90"/>
    <w:rsid w:val="570D78B3"/>
    <w:rsid w:val="57744537"/>
    <w:rsid w:val="57A545EB"/>
    <w:rsid w:val="57B610BD"/>
    <w:rsid w:val="57C47725"/>
    <w:rsid w:val="57DB3371"/>
    <w:rsid w:val="57FB13ED"/>
    <w:rsid w:val="5804273B"/>
    <w:rsid w:val="5825676E"/>
    <w:rsid w:val="585702F8"/>
    <w:rsid w:val="587669BA"/>
    <w:rsid w:val="588C1540"/>
    <w:rsid w:val="58CB3069"/>
    <w:rsid w:val="58D57F26"/>
    <w:rsid w:val="58D753CD"/>
    <w:rsid w:val="58D8399B"/>
    <w:rsid w:val="58DD2A43"/>
    <w:rsid w:val="58E06996"/>
    <w:rsid w:val="5914612D"/>
    <w:rsid w:val="59561217"/>
    <w:rsid w:val="59637709"/>
    <w:rsid w:val="5986704B"/>
    <w:rsid w:val="598A5113"/>
    <w:rsid w:val="599C4D73"/>
    <w:rsid w:val="59BF6EEB"/>
    <w:rsid w:val="59C162E7"/>
    <w:rsid w:val="59CD1026"/>
    <w:rsid w:val="59F83449"/>
    <w:rsid w:val="59FA039C"/>
    <w:rsid w:val="5A166E60"/>
    <w:rsid w:val="5A197F54"/>
    <w:rsid w:val="5A2413B5"/>
    <w:rsid w:val="5A2D2120"/>
    <w:rsid w:val="5A321BAC"/>
    <w:rsid w:val="5A386DE8"/>
    <w:rsid w:val="5A514475"/>
    <w:rsid w:val="5A874F7D"/>
    <w:rsid w:val="5AB4054C"/>
    <w:rsid w:val="5AB62F5E"/>
    <w:rsid w:val="5ABD4B43"/>
    <w:rsid w:val="5ABE2179"/>
    <w:rsid w:val="5ABF2D6A"/>
    <w:rsid w:val="5AC5473C"/>
    <w:rsid w:val="5ACD5595"/>
    <w:rsid w:val="5AF24C62"/>
    <w:rsid w:val="5B0F3163"/>
    <w:rsid w:val="5B15237A"/>
    <w:rsid w:val="5B1F3809"/>
    <w:rsid w:val="5B511D04"/>
    <w:rsid w:val="5B52388A"/>
    <w:rsid w:val="5B5C10CB"/>
    <w:rsid w:val="5B824FD4"/>
    <w:rsid w:val="5B9F07F8"/>
    <w:rsid w:val="5BA61F35"/>
    <w:rsid w:val="5BBF4232"/>
    <w:rsid w:val="5BE63675"/>
    <w:rsid w:val="5C331709"/>
    <w:rsid w:val="5C3621EB"/>
    <w:rsid w:val="5C666DAC"/>
    <w:rsid w:val="5C6C34A4"/>
    <w:rsid w:val="5C750120"/>
    <w:rsid w:val="5C9E7165"/>
    <w:rsid w:val="5CA40764"/>
    <w:rsid w:val="5CAF0167"/>
    <w:rsid w:val="5CB8619C"/>
    <w:rsid w:val="5D083878"/>
    <w:rsid w:val="5D21653F"/>
    <w:rsid w:val="5D255DAB"/>
    <w:rsid w:val="5D39631B"/>
    <w:rsid w:val="5D450411"/>
    <w:rsid w:val="5D467CCE"/>
    <w:rsid w:val="5D5F53CF"/>
    <w:rsid w:val="5D762519"/>
    <w:rsid w:val="5D794DA8"/>
    <w:rsid w:val="5D7E0FB5"/>
    <w:rsid w:val="5D9A26E2"/>
    <w:rsid w:val="5DA1157A"/>
    <w:rsid w:val="5DBC4A08"/>
    <w:rsid w:val="5DE35F68"/>
    <w:rsid w:val="5E451F36"/>
    <w:rsid w:val="5E561147"/>
    <w:rsid w:val="5EAE0D24"/>
    <w:rsid w:val="5EAF301B"/>
    <w:rsid w:val="5EC06CA2"/>
    <w:rsid w:val="5ED662D8"/>
    <w:rsid w:val="5EE75D49"/>
    <w:rsid w:val="5EFD415C"/>
    <w:rsid w:val="5F026254"/>
    <w:rsid w:val="5F041A6C"/>
    <w:rsid w:val="5F261904"/>
    <w:rsid w:val="5F297B31"/>
    <w:rsid w:val="5F8961EC"/>
    <w:rsid w:val="5FA576B4"/>
    <w:rsid w:val="5FDC3175"/>
    <w:rsid w:val="5FE85146"/>
    <w:rsid w:val="5FFE4C58"/>
    <w:rsid w:val="600F476C"/>
    <w:rsid w:val="602916BA"/>
    <w:rsid w:val="60593614"/>
    <w:rsid w:val="60622A66"/>
    <w:rsid w:val="606938EE"/>
    <w:rsid w:val="60AB1928"/>
    <w:rsid w:val="60B505E0"/>
    <w:rsid w:val="60C92A05"/>
    <w:rsid w:val="60FC22A1"/>
    <w:rsid w:val="61053645"/>
    <w:rsid w:val="610B3328"/>
    <w:rsid w:val="611706EC"/>
    <w:rsid w:val="611D77A7"/>
    <w:rsid w:val="612A7D35"/>
    <w:rsid w:val="61575CF9"/>
    <w:rsid w:val="615B3C7B"/>
    <w:rsid w:val="618B2434"/>
    <w:rsid w:val="61A3570D"/>
    <w:rsid w:val="61B9388F"/>
    <w:rsid w:val="61D07DD2"/>
    <w:rsid w:val="61D46B86"/>
    <w:rsid w:val="61D654BE"/>
    <w:rsid w:val="62280CD2"/>
    <w:rsid w:val="623678EF"/>
    <w:rsid w:val="623A2D1F"/>
    <w:rsid w:val="624C5F20"/>
    <w:rsid w:val="62597806"/>
    <w:rsid w:val="62700323"/>
    <w:rsid w:val="62740D5A"/>
    <w:rsid w:val="62B47227"/>
    <w:rsid w:val="62B57F7E"/>
    <w:rsid w:val="62CD77A5"/>
    <w:rsid w:val="62D52B4B"/>
    <w:rsid w:val="62E8180A"/>
    <w:rsid w:val="63124C69"/>
    <w:rsid w:val="6314517E"/>
    <w:rsid w:val="6380469D"/>
    <w:rsid w:val="63946D77"/>
    <w:rsid w:val="639F6DC0"/>
    <w:rsid w:val="63A964C1"/>
    <w:rsid w:val="63AB687C"/>
    <w:rsid w:val="63BE2695"/>
    <w:rsid w:val="63EE4DB9"/>
    <w:rsid w:val="63F27C87"/>
    <w:rsid w:val="63F34A91"/>
    <w:rsid w:val="642A3E60"/>
    <w:rsid w:val="64466571"/>
    <w:rsid w:val="644E047B"/>
    <w:rsid w:val="64955FB9"/>
    <w:rsid w:val="649A781B"/>
    <w:rsid w:val="64AE3FF8"/>
    <w:rsid w:val="64C54262"/>
    <w:rsid w:val="64C91B9A"/>
    <w:rsid w:val="64D40192"/>
    <w:rsid w:val="64DC5BF7"/>
    <w:rsid w:val="64E1350E"/>
    <w:rsid w:val="64F126A8"/>
    <w:rsid w:val="65077AE2"/>
    <w:rsid w:val="65201FA8"/>
    <w:rsid w:val="654C15ED"/>
    <w:rsid w:val="65576E8E"/>
    <w:rsid w:val="656F650D"/>
    <w:rsid w:val="65766ADB"/>
    <w:rsid w:val="65767137"/>
    <w:rsid w:val="658938A5"/>
    <w:rsid w:val="658A58AD"/>
    <w:rsid w:val="658A78C9"/>
    <w:rsid w:val="65942A82"/>
    <w:rsid w:val="65A41D58"/>
    <w:rsid w:val="65FD3A98"/>
    <w:rsid w:val="6609001E"/>
    <w:rsid w:val="660B715E"/>
    <w:rsid w:val="660E1193"/>
    <w:rsid w:val="660F7F3F"/>
    <w:rsid w:val="66187275"/>
    <w:rsid w:val="66415ADA"/>
    <w:rsid w:val="66694E0A"/>
    <w:rsid w:val="66726936"/>
    <w:rsid w:val="66737215"/>
    <w:rsid w:val="66A27704"/>
    <w:rsid w:val="66B71D02"/>
    <w:rsid w:val="66E137EA"/>
    <w:rsid w:val="66E71557"/>
    <w:rsid w:val="66F024D0"/>
    <w:rsid w:val="66F02A76"/>
    <w:rsid w:val="67000E86"/>
    <w:rsid w:val="6700561B"/>
    <w:rsid w:val="67072F58"/>
    <w:rsid w:val="67125BDD"/>
    <w:rsid w:val="671D49D4"/>
    <w:rsid w:val="673F14F4"/>
    <w:rsid w:val="67907172"/>
    <w:rsid w:val="67BB73BC"/>
    <w:rsid w:val="67CD798A"/>
    <w:rsid w:val="67EB098D"/>
    <w:rsid w:val="67FC5C70"/>
    <w:rsid w:val="68052BA2"/>
    <w:rsid w:val="682360DE"/>
    <w:rsid w:val="68264429"/>
    <w:rsid w:val="684C02DB"/>
    <w:rsid w:val="684C457F"/>
    <w:rsid w:val="68833629"/>
    <w:rsid w:val="688B2B17"/>
    <w:rsid w:val="68DE6AED"/>
    <w:rsid w:val="68E42F58"/>
    <w:rsid w:val="69064A9A"/>
    <w:rsid w:val="6906719F"/>
    <w:rsid w:val="692D5C6A"/>
    <w:rsid w:val="69396071"/>
    <w:rsid w:val="693E5EAC"/>
    <w:rsid w:val="694C53F2"/>
    <w:rsid w:val="695272AE"/>
    <w:rsid w:val="69590B2D"/>
    <w:rsid w:val="695B3978"/>
    <w:rsid w:val="6960083F"/>
    <w:rsid w:val="6968164E"/>
    <w:rsid w:val="697F01A6"/>
    <w:rsid w:val="698123C5"/>
    <w:rsid w:val="69C11B62"/>
    <w:rsid w:val="69DF2DDC"/>
    <w:rsid w:val="69EF76C0"/>
    <w:rsid w:val="69F93905"/>
    <w:rsid w:val="6A1F3C25"/>
    <w:rsid w:val="6A416187"/>
    <w:rsid w:val="6A486790"/>
    <w:rsid w:val="6A4D36E3"/>
    <w:rsid w:val="6A865ED7"/>
    <w:rsid w:val="6A8760C3"/>
    <w:rsid w:val="6AA47B81"/>
    <w:rsid w:val="6AB51406"/>
    <w:rsid w:val="6AB73345"/>
    <w:rsid w:val="6B0610B1"/>
    <w:rsid w:val="6B0B26A4"/>
    <w:rsid w:val="6B1C2807"/>
    <w:rsid w:val="6B370CAD"/>
    <w:rsid w:val="6B4456FA"/>
    <w:rsid w:val="6B510645"/>
    <w:rsid w:val="6B644278"/>
    <w:rsid w:val="6B83435B"/>
    <w:rsid w:val="6BA7538B"/>
    <w:rsid w:val="6BAA78E9"/>
    <w:rsid w:val="6BDB7316"/>
    <w:rsid w:val="6BED49AC"/>
    <w:rsid w:val="6BF4166F"/>
    <w:rsid w:val="6C0D531C"/>
    <w:rsid w:val="6C1221CB"/>
    <w:rsid w:val="6C23678F"/>
    <w:rsid w:val="6C3D64CF"/>
    <w:rsid w:val="6C51473B"/>
    <w:rsid w:val="6C55224F"/>
    <w:rsid w:val="6C571D24"/>
    <w:rsid w:val="6C5E0930"/>
    <w:rsid w:val="6C6555AB"/>
    <w:rsid w:val="6C6C232A"/>
    <w:rsid w:val="6C7274D3"/>
    <w:rsid w:val="6C7A58D2"/>
    <w:rsid w:val="6C803E85"/>
    <w:rsid w:val="6CB71354"/>
    <w:rsid w:val="6CC16C42"/>
    <w:rsid w:val="6D010A56"/>
    <w:rsid w:val="6D194386"/>
    <w:rsid w:val="6D256E11"/>
    <w:rsid w:val="6D2F2EE9"/>
    <w:rsid w:val="6D4F64CA"/>
    <w:rsid w:val="6D6C76CA"/>
    <w:rsid w:val="6D8A3E91"/>
    <w:rsid w:val="6D9371E9"/>
    <w:rsid w:val="6DBA15BD"/>
    <w:rsid w:val="6DF80149"/>
    <w:rsid w:val="6E0F678A"/>
    <w:rsid w:val="6E13051D"/>
    <w:rsid w:val="6E1925BC"/>
    <w:rsid w:val="6EA57297"/>
    <w:rsid w:val="6EA61F60"/>
    <w:rsid w:val="6EC362B9"/>
    <w:rsid w:val="6F1B2CEB"/>
    <w:rsid w:val="6F291E97"/>
    <w:rsid w:val="6F4C6B34"/>
    <w:rsid w:val="6F4D5603"/>
    <w:rsid w:val="6F570C05"/>
    <w:rsid w:val="6F8F6E70"/>
    <w:rsid w:val="6F924904"/>
    <w:rsid w:val="6FE117FE"/>
    <w:rsid w:val="6FE82314"/>
    <w:rsid w:val="6FED1F30"/>
    <w:rsid w:val="70057314"/>
    <w:rsid w:val="70062087"/>
    <w:rsid w:val="702D6F0E"/>
    <w:rsid w:val="702F354A"/>
    <w:rsid w:val="7035509B"/>
    <w:rsid w:val="70372771"/>
    <w:rsid w:val="705E3F9C"/>
    <w:rsid w:val="70950462"/>
    <w:rsid w:val="70A050F4"/>
    <w:rsid w:val="70BB3AAF"/>
    <w:rsid w:val="70D05241"/>
    <w:rsid w:val="70E57BE1"/>
    <w:rsid w:val="70EE2D4A"/>
    <w:rsid w:val="710F3A46"/>
    <w:rsid w:val="71150162"/>
    <w:rsid w:val="713F742B"/>
    <w:rsid w:val="71442616"/>
    <w:rsid w:val="715D6C5B"/>
    <w:rsid w:val="718038C9"/>
    <w:rsid w:val="718F094A"/>
    <w:rsid w:val="71907E36"/>
    <w:rsid w:val="71B40089"/>
    <w:rsid w:val="71B44587"/>
    <w:rsid w:val="71BB6B75"/>
    <w:rsid w:val="71D074AE"/>
    <w:rsid w:val="71EF6F2A"/>
    <w:rsid w:val="71F627C6"/>
    <w:rsid w:val="71FA6924"/>
    <w:rsid w:val="720662C5"/>
    <w:rsid w:val="72140B3E"/>
    <w:rsid w:val="724211F8"/>
    <w:rsid w:val="72610279"/>
    <w:rsid w:val="729E2692"/>
    <w:rsid w:val="72C460C2"/>
    <w:rsid w:val="72FC60BC"/>
    <w:rsid w:val="73055886"/>
    <w:rsid w:val="73112CD0"/>
    <w:rsid w:val="73120004"/>
    <w:rsid w:val="73311FD2"/>
    <w:rsid w:val="73424DC0"/>
    <w:rsid w:val="734271DE"/>
    <w:rsid w:val="73482C02"/>
    <w:rsid w:val="73505624"/>
    <w:rsid w:val="73510497"/>
    <w:rsid w:val="737A3B75"/>
    <w:rsid w:val="737B169D"/>
    <w:rsid w:val="739248B4"/>
    <w:rsid w:val="73C31EAA"/>
    <w:rsid w:val="73D17BBA"/>
    <w:rsid w:val="73D72E1D"/>
    <w:rsid w:val="73E858A0"/>
    <w:rsid w:val="73E91E60"/>
    <w:rsid w:val="73E97C8D"/>
    <w:rsid w:val="744D3038"/>
    <w:rsid w:val="74707AAF"/>
    <w:rsid w:val="74B52EDD"/>
    <w:rsid w:val="74BF0173"/>
    <w:rsid w:val="74FA68DF"/>
    <w:rsid w:val="75286B66"/>
    <w:rsid w:val="75345CF9"/>
    <w:rsid w:val="75437192"/>
    <w:rsid w:val="7545767F"/>
    <w:rsid w:val="754B2001"/>
    <w:rsid w:val="755E096C"/>
    <w:rsid w:val="7566156D"/>
    <w:rsid w:val="757639F2"/>
    <w:rsid w:val="757C02F7"/>
    <w:rsid w:val="75905010"/>
    <w:rsid w:val="75955759"/>
    <w:rsid w:val="759F65DA"/>
    <w:rsid w:val="75AA17D7"/>
    <w:rsid w:val="75E33C54"/>
    <w:rsid w:val="75E4717C"/>
    <w:rsid w:val="75E55ECE"/>
    <w:rsid w:val="765D7381"/>
    <w:rsid w:val="76672350"/>
    <w:rsid w:val="767D1E35"/>
    <w:rsid w:val="769B3614"/>
    <w:rsid w:val="76B451FA"/>
    <w:rsid w:val="770C7A63"/>
    <w:rsid w:val="775E1F33"/>
    <w:rsid w:val="775E46E1"/>
    <w:rsid w:val="775E7672"/>
    <w:rsid w:val="77656DB6"/>
    <w:rsid w:val="777A52FE"/>
    <w:rsid w:val="778B0BBD"/>
    <w:rsid w:val="77A263E4"/>
    <w:rsid w:val="77BB7FD1"/>
    <w:rsid w:val="77C9299C"/>
    <w:rsid w:val="77D6709D"/>
    <w:rsid w:val="78131256"/>
    <w:rsid w:val="781369B1"/>
    <w:rsid w:val="783C019C"/>
    <w:rsid w:val="7870129A"/>
    <w:rsid w:val="787D3915"/>
    <w:rsid w:val="78887F91"/>
    <w:rsid w:val="789535F1"/>
    <w:rsid w:val="78C666C5"/>
    <w:rsid w:val="78CE4AF6"/>
    <w:rsid w:val="78D11B95"/>
    <w:rsid w:val="78E305E2"/>
    <w:rsid w:val="78F36AD4"/>
    <w:rsid w:val="78FA05CA"/>
    <w:rsid w:val="78FF1BD7"/>
    <w:rsid w:val="79030169"/>
    <w:rsid w:val="79197617"/>
    <w:rsid w:val="7929178F"/>
    <w:rsid w:val="79446604"/>
    <w:rsid w:val="794572F1"/>
    <w:rsid w:val="795E31F8"/>
    <w:rsid w:val="79835BE7"/>
    <w:rsid w:val="798E45A9"/>
    <w:rsid w:val="799A58E6"/>
    <w:rsid w:val="79AF33E6"/>
    <w:rsid w:val="79B27A23"/>
    <w:rsid w:val="79D417DC"/>
    <w:rsid w:val="79FB0589"/>
    <w:rsid w:val="7A3D0BB8"/>
    <w:rsid w:val="7A89652C"/>
    <w:rsid w:val="7ACD6F14"/>
    <w:rsid w:val="7AF56105"/>
    <w:rsid w:val="7B0106FE"/>
    <w:rsid w:val="7B195796"/>
    <w:rsid w:val="7B3E188C"/>
    <w:rsid w:val="7B477DC0"/>
    <w:rsid w:val="7B557224"/>
    <w:rsid w:val="7B581766"/>
    <w:rsid w:val="7B5C1402"/>
    <w:rsid w:val="7B6E00D9"/>
    <w:rsid w:val="7B79766B"/>
    <w:rsid w:val="7B926DCA"/>
    <w:rsid w:val="7B9768D1"/>
    <w:rsid w:val="7BAF1BAD"/>
    <w:rsid w:val="7BB76C0C"/>
    <w:rsid w:val="7BBD0EB8"/>
    <w:rsid w:val="7BC74FDC"/>
    <w:rsid w:val="7BE60CF5"/>
    <w:rsid w:val="7C120339"/>
    <w:rsid w:val="7C241F55"/>
    <w:rsid w:val="7C3022F7"/>
    <w:rsid w:val="7C6929D9"/>
    <w:rsid w:val="7C6A588D"/>
    <w:rsid w:val="7C6A5FFC"/>
    <w:rsid w:val="7C840CE8"/>
    <w:rsid w:val="7C9A2F09"/>
    <w:rsid w:val="7C9F756B"/>
    <w:rsid w:val="7CAE6F92"/>
    <w:rsid w:val="7CCE79AF"/>
    <w:rsid w:val="7CDA2193"/>
    <w:rsid w:val="7CDF11B4"/>
    <w:rsid w:val="7CE078AE"/>
    <w:rsid w:val="7D2C71A2"/>
    <w:rsid w:val="7D4072A8"/>
    <w:rsid w:val="7D4D360E"/>
    <w:rsid w:val="7D4F610B"/>
    <w:rsid w:val="7D5E604F"/>
    <w:rsid w:val="7D635E5C"/>
    <w:rsid w:val="7D6D2003"/>
    <w:rsid w:val="7D6E1652"/>
    <w:rsid w:val="7DBA0D8D"/>
    <w:rsid w:val="7E0B122B"/>
    <w:rsid w:val="7E1532A1"/>
    <w:rsid w:val="7E263EEC"/>
    <w:rsid w:val="7E2F118E"/>
    <w:rsid w:val="7E395A4D"/>
    <w:rsid w:val="7E553522"/>
    <w:rsid w:val="7E5C1DE9"/>
    <w:rsid w:val="7E7471DD"/>
    <w:rsid w:val="7E836734"/>
    <w:rsid w:val="7E8C6051"/>
    <w:rsid w:val="7E8E6B85"/>
    <w:rsid w:val="7E9159C2"/>
    <w:rsid w:val="7E9A662E"/>
    <w:rsid w:val="7EA801C2"/>
    <w:rsid w:val="7EB104D5"/>
    <w:rsid w:val="7EB31700"/>
    <w:rsid w:val="7EC7216E"/>
    <w:rsid w:val="7ECA3BE8"/>
    <w:rsid w:val="7ECF7D37"/>
    <w:rsid w:val="7EDD66F5"/>
    <w:rsid w:val="7EFE6B25"/>
    <w:rsid w:val="7F08330A"/>
    <w:rsid w:val="7F151102"/>
    <w:rsid w:val="7F656980"/>
    <w:rsid w:val="7F8841C4"/>
    <w:rsid w:val="7FB83D40"/>
    <w:rsid w:val="7FC67F33"/>
    <w:rsid w:val="7FDF3D2B"/>
    <w:rsid w:val="7FF20BE4"/>
    <w:rsid w:val="7FFD3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qFormat="1" w:unhideWhenUsed="0"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59"/>
    <w:qFormat/>
    <w:uiPriority w:val="9"/>
    <w:pPr>
      <w:keepNext/>
      <w:keepLines/>
      <w:ind w:firstLine="0" w:firstLineChars="0"/>
      <w:jc w:val="center"/>
      <w:outlineLvl w:val="0"/>
    </w:pPr>
    <w:rPr>
      <w:rFonts w:eastAsia="黑体"/>
      <w:b/>
      <w:kern w:val="44"/>
      <w:sz w:val="30"/>
    </w:rPr>
  </w:style>
  <w:style w:type="paragraph" w:styleId="3">
    <w:name w:val="heading 2"/>
    <w:basedOn w:val="1"/>
    <w:next w:val="1"/>
    <w:link w:val="169"/>
    <w:unhideWhenUsed/>
    <w:qFormat/>
    <w:uiPriority w:val="9"/>
    <w:pPr>
      <w:keepNext/>
      <w:keepLines/>
      <w:spacing w:line="440" w:lineRule="exact"/>
      <w:ind w:firstLine="0" w:firstLineChars="0"/>
      <w:outlineLvl w:val="1"/>
    </w:pPr>
    <w:rPr>
      <w:rFonts w:eastAsia="黑体"/>
      <w:b/>
      <w:sz w:val="28"/>
      <w:szCs w:val="28"/>
    </w:rPr>
  </w:style>
  <w:style w:type="paragraph" w:styleId="4">
    <w:name w:val="heading 3"/>
    <w:basedOn w:val="1"/>
    <w:next w:val="1"/>
    <w:link w:val="171"/>
    <w:qFormat/>
    <w:uiPriority w:val="9"/>
    <w:pPr>
      <w:keepNext/>
      <w:keepLines/>
      <w:tabs>
        <w:tab w:val="left" w:pos="720"/>
      </w:tabs>
      <w:adjustRightInd w:val="0"/>
      <w:snapToGrid w:val="0"/>
      <w:spacing w:line="440" w:lineRule="exact"/>
      <w:jc w:val="left"/>
      <w:outlineLvl w:val="2"/>
    </w:pPr>
    <w:rPr>
      <w:b/>
      <w:bCs/>
    </w:rPr>
  </w:style>
  <w:style w:type="paragraph" w:styleId="5">
    <w:name w:val="heading 4"/>
    <w:basedOn w:val="1"/>
    <w:next w:val="1"/>
    <w:link w:val="44"/>
    <w:unhideWhenUsed/>
    <w:qFormat/>
    <w:uiPriority w:val="9"/>
    <w:pPr>
      <w:keepNext/>
      <w:keepLines/>
      <w:spacing w:line="360" w:lineRule="exact"/>
      <w:ind w:firstLine="0" w:firstLineChars="0"/>
      <w:outlineLvl w:val="3"/>
    </w:pPr>
    <w:rPr>
      <w:sz w:val="21"/>
      <w:szCs w:val="21"/>
    </w:rPr>
  </w:style>
  <w:style w:type="paragraph" w:styleId="6">
    <w:name w:val="heading 5"/>
    <w:basedOn w:val="1"/>
    <w:next w:val="1"/>
    <w:qFormat/>
    <w:uiPriority w:val="0"/>
    <w:pPr>
      <w:keepNext/>
      <w:keepLines/>
      <w:tabs>
        <w:tab w:val="left" w:pos="700"/>
        <w:tab w:val="left" w:pos="1008"/>
      </w:tabs>
      <w:autoSpaceDE w:val="0"/>
      <w:autoSpaceDN w:val="0"/>
      <w:adjustRightInd w:val="0"/>
      <w:spacing w:before="280" w:after="290" w:line="376" w:lineRule="auto"/>
      <w:ind w:left="1008" w:hanging="1008"/>
      <w:outlineLvl w:val="4"/>
    </w:pPr>
    <w:rPr>
      <w:rFonts w:ascii="宋体"/>
      <w:b/>
      <w:color w:val="000000"/>
      <w:w w:val="90"/>
      <w:kern w:val="0"/>
      <w:sz w:val="28"/>
      <w:szCs w:val="20"/>
    </w:rPr>
  </w:style>
  <w:style w:type="character" w:default="1" w:styleId="37">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195"/>
    <w:qFormat/>
    <w:uiPriority w:val="0"/>
    <w:rPr>
      <w:szCs w:val="20"/>
    </w:rPr>
  </w:style>
  <w:style w:type="paragraph" w:styleId="8">
    <w:name w:val="caption"/>
    <w:basedOn w:val="1"/>
    <w:next w:val="1"/>
    <w:link w:val="178"/>
    <w:unhideWhenUsed/>
    <w:qFormat/>
    <w:uiPriority w:val="0"/>
    <w:pPr>
      <w:spacing w:line="240" w:lineRule="auto"/>
      <w:ind w:firstLine="0" w:firstLineChars="0"/>
      <w:jc w:val="center"/>
    </w:pPr>
    <w:rPr>
      <w:b/>
      <w:szCs w:val="20"/>
    </w:rPr>
  </w:style>
  <w:style w:type="paragraph" w:styleId="9">
    <w:name w:val="annotation text"/>
    <w:basedOn w:val="1"/>
    <w:link w:val="142"/>
    <w:qFormat/>
    <w:uiPriority w:val="99"/>
    <w:pPr>
      <w:jc w:val="left"/>
    </w:pPr>
  </w:style>
  <w:style w:type="paragraph" w:styleId="10">
    <w:name w:val="Body Text"/>
    <w:basedOn w:val="1"/>
    <w:link w:val="185"/>
    <w:qFormat/>
    <w:uiPriority w:val="99"/>
    <w:pPr>
      <w:spacing w:beforeLines="50" w:afterLines="50" w:line="240" w:lineRule="auto"/>
      <w:jc w:val="center"/>
    </w:pPr>
    <w:rPr>
      <w:rFonts w:ascii="仿宋_GB2312" w:eastAsia="仿宋_GB2312"/>
      <w:b/>
      <w:sz w:val="28"/>
    </w:rPr>
  </w:style>
  <w:style w:type="paragraph" w:styleId="11">
    <w:name w:val="Body Text Indent"/>
    <w:basedOn w:val="1"/>
    <w:link w:val="183"/>
    <w:qFormat/>
    <w:uiPriority w:val="99"/>
    <w:pPr>
      <w:spacing w:after="120"/>
      <w:ind w:left="420" w:leftChars="200"/>
    </w:pPr>
  </w:style>
  <w:style w:type="paragraph" w:styleId="12">
    <w:name w:val="List 2"/>
    <w:basedOn w:val="1"/>
    <w:qFormat/>
    <w:uiPriority w:val="0"/>
    <w:pPr>
      <w:adjustRightInd w:val="0"/>
      <w:snapToGrid w:val="0"/>
      <w:spacing w:line="240" w:lineRule="auto"/>
      <w:ind w:firstLine="0" w:firstLineChars="0"/>
      <w:jc w:val="center"/>
    </w:pPr>
    <w:rPr>
      <w:sz w:val="21"/>
      <w:szCs w:val="20"/>
    </w:rPr>
  </w:style>
  <w:style w:type="paragraph" w:styleId="13">
    <w:name w:val="List Continue"/>
    <w:basedOn w:val="1"/>
    <w:qFormat/>
    <w:uiPriority w:val="0"/>
    <w:pPr>
      <w:spacing w:after="120"/>
      <w:ind w:left="420" w:leftChars="200" w:firstLine="200"/>
      <w:jc w:val="left"/>
    </w:pPr>
  </w:style>
  <w:style w:type="paragraph" w:styleId="14">
    <w:name w:val="toc 3"/>
    <w:basedOn w:val="1"/>
    <w:next w:val="1"/>
    <w:unhideWhenUsed/>
    <w:qFormat/>
    <w:uiPriority w:val="39"/>
    <w:pPr>
      <w:adjustRightInd w:val="0"/>
      <w:snapToGrid w:val="0"/>
      <w:spacing w:line="480" w:lineRule="exact"/>
      <w:ind w:left="840" w:leftChars="400" w:firstLine="200"/>
    </w:pPr>
    <w:rPr>
      <w:rFonts w:ascii="等线" w:hAnsi="等线"/>
      <w:szCs w:val="22"/>
    </w:rPr>
  </w:style>
  <w:style w:type="paragraph" w:styleId="15">
    <w:name w:val="Plain Text"/>
    <w:basedOn w:val="1"/>
    <w:link w:val="206"/>
    <w:qFormat/>
    <w:uiPriority w:val="99"/>
    <w:rPr>
      <w:rFonts w:hint="eastAsia" w:ascii="宋体"/>
      <w:szCs w:val="20"/>
    </w:rPr>
  </w:style>
  <w:style w:type="paragraph" w:styleId="16">
    <w:name w:val="List Bullet 5"/>
    <w:basedOn w:val="1"/>
    <w:qFormat/>
    <w:uiPriority w:val="0"/>
    <w:pPr>
      <w:numPr>
        <w:ilvl w:val="0"/>
        <w:numId w:val="1"/>
      </w:numPr>
    </w:pPr>
  </w:style>
  <w:style w:type="paragraph" w:styleId="17">
    <w:name w:val="Date"/>
    <w:basedOn w:val="1"/>
    <w:next w:val="1"/>
    <w:link w:val="214"/>
    <w:qFormat/>
    <w:uiPriority w:val="0"/>
    <w:pPr>
      <w:ind w:left="100" w:leftChars="2500"/>
    </w:pPr>
  </w:style>
  <w:style w:type="paragraph" w:styleId="18">
    <w:name w:val="Body Text Indent 2"/>
    <w:basedOn w:val="1"/>
    <w:qFormat/>
    <w:uiPriority w:val="0"/>
    <w:pPr>
      <w:spacing w:line="560" w:lineRule="exact"/>
      <w:ind w:firstLine="560"/>
    </w:pPr>
    <w:rPr>
      <w:rFonts w:ascii="楷体_GB2312" w:eastAsia="楷体_GB2312"/>
      <w:sz w:val="28"/>
    </w:rPr>
  </w:style>
  <w:style w:type="paragraph" w:styleId="19">
    <w:name w:val="footer"/>
    <w:basedOn w:val="1"/>
    <w:link w:val="180"/>
    <w:qFormat/>
    <w:uiPriority w:val="99"/>
    <w:pPr>
      <w:tabs>
        <w:tab w:val="center" w:pos="4153"/>
        <w:tab w:val="right" w:pos="8306"/>
      </w:tabs>
      <w:snapToGrid w:val="0"/>
      <w:jc w:val="left"/>
    </w:pPr>
    <w:rPr>
      <w:sz w:val="18"/>
    </w:rPr>
  </w:style>
  <w:style w:type="paragraph" w:styleId="20">
    <w:name w:val="header"/>
    <w:basedOn w:val="1"/>
    <w:next w:val="1"/>
    <w:link w:val="17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1">
    <w:name w:val="toc 1"/>
    <w:basedOn w:val="1"/>
    <w:next w:val="1"/>
    <w:qFormat/>
    <w:uiPriority w:val="39"/>
  </w:style>
  <w:style w:type="paragraph" w:styleId="22">
    <w:name w:val="List Continue 4"/>
    <w:basedOn w:val="1"/>
    <w:next w:val="1"/>
    <w:qFormat/>
    <w:uiPriority w:val="0"/>
    <w:pPr>
      <w:spacing w:after="120"/>
      <w:ind w:left="1680" w:leftChars="800"/>
    </w:pPr>
    <w:rPr>
      <w:rFonts w:ascii="??" w:hAnsi="??" w:eastAsia="華康中楷體" w:cs="??"/>
      <w:szCs w:val="24"/>
    </w:rPr>
  </w:style>
  <w:style w:type="paragraph" w:styleId="23">
    <w:name w:val="index heading"/>
    <w:basedOn w:val="1"/>
    <w:next w:val="24"/>
    <w:qFormat/>
    <w:uiPriority w:val="0"/>
  </w:style>
  <w:style w:type="paragraph" w:styleId="24">
    <w:name w:val="index 1"/>
    <w:basedOn w:val="1"/>
    <w:next w:val="1"/>
    <w:qFormat/>
    <w:uiPriority w:val="0"/>
  </w:style>
  <w:style w:type="paragraph" w:styleId="25">
    <w:name w:val="List"/>
    <w:basedOn w:val="1"/>
    <w:next w:val="1"/>
    <w:qFormat/>
    <w:uiPriority w:val="99"/>
    <w:pPr>
      <w:ind w:left="200" w:hanging="200" w:hangingChars="200"/>
    </w:pPr>
  </w:style>
  <w:style w:type="paragraph" w:styleId="26">
    <w:name w:val="toc 2"/>
    <w:basedOn w:val="1"/>
    <w:next w:val="1"/>
    <w:qFormat/>
    <w:uiPriority w:val="39"/>
    <w:pPr>
      <w:ind w:left="420" w:leftChars="200"/>
    </w:pPr>
  </w:style>
  <w:style w:type="paragraph" w:styleId="27">
    <w:name w:val="Body Text 2"/>
    <w:basedOn w:val="1"/>
    <w:unhideWhenUsed/>
    <w:qFormat/>
    <w:uiPriority w:val="99"/>
    <w:pPr>
      <w:spacing w:after="120" w:line="480" w:lineRule="auto"/>
    </w:pPr>
  </w:style>
  <w:style w:type="paragraph" w:styleId="28">
    <w:name w:val="Normal (Web)"/>
    <w:basedOn w:val="1"/>
    <w:qFormat/>
    <w:uiPriority w:val="99"/>
    <w:pPr>
      <w:widowControl/>
      <w:spacing w:before="100" w:beforeAutospacing="1" w:after="100" w:afterAutospacing="1"/>
      <w:jc w:val="left"/>
    </w:pPr>
    <w:rPr>
      <w:rFonts w:ascii="宋体" w:hAnsi="宋体"/>
      <w:kern w:val="0"/>
    </w:rPr>
  </w:style>
  <w:style w:type="paragraph" w:styleId="29">
    <w:name w:val="Title"/>
    <w:basedOn w:val="1"/>
    <w:next w:val="1"/>
    <w:link w:val="170"/>
    <w:qFormat/>
    <w:uiPriority w:val="10"/>
    <w:pPr>
      <w:spacing w:before="240" w:after="60"/>
      <w:jc w:val="center"/>
      <w:outlineLvl w:val="0"/>
    </w:pPr>
    <w:rPr>
      <w:rFonts w:ascii="等线 Light" w:hAnsi="等线 Light" w:cs="Times New Roman"/>
      <w:b/>
      <w:bCs/>
      <w:kern w:val="0"/>
      <w:szCs w:val="32"/>
    </w:rPr>
  </w:style>
  <w:style w:type="paragraph" w:styleId="30">
    <w:name w:val="annotation subject"/>
    <w:basedOn w:val="9"/>
    <w:next w:val="9"/>
    <w:link w:val="143"/>
    <w:qFormat/>
    <w:uiPriority w:val="99"/>
    <w:rPr>
      <w:b/>
      <w:bCs/>
    </w:rPr>
  </w:style>
  <w:style w:type="paragraph" w:styleId="31">
    <w:name w:val="Body Text First Indent"/>
    <w:basedOn w:val="10"/>
    <w:next w:val="32"/>
    <w:link w:val="200"/>
    <w:qFormat/>
    <w:uiPriority w:val="99"/>
    <w:pPr>
      <w:ind w:firstLine="100" w:firstLineChars="100"/>
    </w:pPr>
  </w:style>
  <w:style w:type="paragraph" w:styleId="32">
    <w:name w:val="Body Text First Indent 2"/>
    <w:basedOn w:val="1"/>
    <w:link w:val="182"/>
    <w:qFormat/>
    <w:uiPriority w:val="0"/>
    <w:pPr>
      <w:adjustRightInd w:val="0"/>
      <w:spacing w:line="440" w:lineRule="exact"/>
      <w:jc w:val="left"/>
    </w:pPr>
    <w:rPr>
      <w:spacing w:val="6"/>
      <w:kern w:val="18"/>
      <w:szCs w:val="28"/>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Theme"/>
    <w:basedOn w:val="33"/>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styleId="36">
    <w:name w:val="Table Grid 6"/>
    <w:basedOn w:val="33"/>
    <w:semiHidden/>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8">
    <w:name w:val="Strong"/>
    <w:qFormat/>
    <w:uiPriority w:val="22"/>
    <w:rPr>
      <w:b/>
      <w:bCs/>
    </w:rPr>
  </w:style>
  <w:style w:type="character" w:styleId="39">
    <w:name w:val="page number"/>
    <w:basedOn w:val="37"/>
    <w:qFormat/>
    <w:uiPriority w:val="0"/>
  </w:style>
  <w:style w:type="character" w:styleId="40">
    <w:name w:val="FollowedHyperlink"/>
    <w:basedOn w:val="37"/>
    <w:unhideWhenUsed/>
    <w:qFormat/>
    <w:uiPriority w:val="99"/>
    <w:rPr>
      <w:color w:val="954F72"/>
      <w:u w:val="single"/>
    </w:rPr>
  </w:style>
  <w:style w:type="character" w:styleId="41">
    <w:name w:val="Emphasis"/>
    <w:basedOn w:val="37"/>
    <w:qFormat/>
    <w:uiPriority w:val="20"/>
    <w:rPr>
      <w:i/>
    </w:rPr>
  </w:style>
  <w:style w:type="character" w:styleId="42">
    <w:name w:val="Hyperlink"/>
    <w:basedOn w:val="37"/>
    <w:qFormat/>
    <w:uiPriority w:val="99"/>
    <w:rPr>
      <w:color w:val="0000FF"/>
      <w:u w:val="single"/>
    </w:rPr>
  </w:style>
  <w:style w:type="character" w:styleId="43">
    <w:name w:val="annotation reference"/>
    <w:qFormat/>
    <w:uiPriority w:val="99"/>
    <w:rPr>
      <w:sz w:val="21"/>
      <w:szCs w:val="21"/>
    </w:rPr>
  </w:style>
  <w:style w:type="character" w:customStyle="1" w:styleId="44">
    <w:name w:val="标题 4 字符"/>
    <w:basedOn w:val="37"/>
    <w:link w:val="5"/>
    <w:qFormat/>
    <w:uiPriority w:val="9"/>
    <w:rPr>
      <w:rFonts w:cstheme="minorBidi"/>
      <w:kern w:val="2"/>
      <w:sz w:val="21"/>
      <w:szCs w:val="21"/>
    </w:rPr>
  </w:style>
  <w:style w:type="character" w:customStyle="1" w:styleId="45">
    <w:name w:val="font11"/>
    <w:basedOn w:val="37"/>
    <w:qFormat/>
    <w:uiPriority w:val="0"/>
    <w:rPr>
      <w:rFonts w:hint="eastAsia" w:ascii="宋体" w:hAnsi="宋体" w:eastAsia="宋体" w:cs="宋体"/>
      <w:color w:val="FF0000"/>
      <w:sz w:val="21"/>
      <w:szCs w:val="21"/>
      <w:u w:val="none"/>
    </w:rPr>
  </w:style>
  <w:style w:type="paragraph" w:customStyle="1" w:styleId="46">
    <w:name w:val="A-z正文"/>
    <w:basedOn w:val="1"/>
    <w:qFormat/>
    <w:uiPriority w:val="0"/>
    <w:pPr>
      <w:spacing w:line="360" w:lineRule="auto"/>
      <w:ind w:firstLine="200" w:firstLineChars="200"/>
    </w:pPr>
    <w:rPr>
      <w:rFonts w:ascii="Times New Roman" w:hAnsi="Times New Roman" w:cs="宋体"/>
      <w:sz w:val="24"/>
      <w:szCs w:val="20"/>
    </w:rPr>
  </w:style>
  <w:style w:type="paragraph" w:customStyle="1" w:styleId="47">
    <w:name w:val="样式 正文首行缩进 + 首行缩进:  2 字符1"/>
    <w:basedOn w:val="31"/>
    <w:next w:val="21"/>
    <w:qFormat/>
    <w:uiPriority w:val="0"/>
    <w:pPr>
      <w:spacing w:line="360" w:lineRule="auto"/>
      <w:ind w:firstLine="480" w:firstLineChars="200"/>
    </w:pPr>
    <w:rPr>
      <w:sz w:val="24"/>
    </w:rPr>
  </w:style>
  <w:style w:type="paragraph" w:customStyle="1" w:styleId="48">
    <w:name w:val="表头"/>
    <w:basedOn w:val="49"/>
    <w:next w:val="1"/>
    <w:link w:val="181"/>
    <w:qFormat/>
    <w:uiPriority w:val="0"/>
    <w:pPr>
      <w:spacing w:before="120" w:after="120"/>
    </w:pPr>
    <w:rPr>
      <w:rFonts w:ascii="Times New Roman" w:cs="Times New Roman"/>
      <w:sz w:val="24"/>
    </w:rPr>
  </w:style>
  <w:style w:type="paragraph" w:customStyle="1" w:styleId="49">
    <w:name w:val="表格"/>
    <w:basedOn w:val="7"/>
    <w:next w:val="1"/>
    <w:link w:val="190"/>
    <w:qFormat/>
    <w:uiPriority w:val="0"/>
    <w:pPr>
      <w:widowControl/>
      <w:spacing w:line="280" w:lineRule="atLeast"/>
      <w:jc w:val="center"/>
    </w:pPr>
    <w:rPr>
      <w:rFonts w:ascii="宋体" w:hAnsi="宋体"/>
      <w:kern w:val="0"/>
      <w:sz w:val="21"/>
    </w:rPr>
  </w:style>
  <w:style w:type="paragraph" w:customStyle="1" w:styleId="50">
    <w:name w:val="Default"/>
    <w:basedOn w:val="51"/>
    <w:next w:val="1"/>
    <w:qFormat/>
    <w:uiPriority w:val="0"/>
    <w:pPr>
      <w:autoSpaceDE w:val="0"/>
      <w:autoSpaceDN w:val="0"/>
      <w:adjustRightInd w:val="0"/>
    </w:pPr>
    <w:rPr>
      <w:rFonts w:hAnsi="Times New Roman" w:cs="宋体"/>
    </w:rPr>
  </w:style>
  <w:style w:type="paragraph" w:customStyle="1" w:styleId="51">
    <w:name w:val="纯文本1"/>
    <w:basedOn w:val="1"/>
    <w:qFormat/>
    <w:uiPriority w:val="0"/>
    <w:rPr>
      <w:rFonts w:ascii="宋体" w:hAnsi="Courier New"/>
    </w:rPr>
  </w:style>
  <w:style w:type="paragraph" w:customStyle="1" w:styleId="52">
    <w:name w:val="样式1"/>
    <w:basedOn w:val="23"/>
    <w:next w:val="1"/>
    <w:qFormat/>
    <w:uiPriority w:val="0"/>
    <w:pPr>
      <w:snapToGrid w:val="0"/>
      <w:jc w:val="center"/>
    </w:pPr>
    <w:rPr>
      <w:rFonts w:ascii="宋体"/>
      <w:szCs w:val="20"/>
    </w:rPr>
  </w:style>
  <w:style w:type="paragraph" w:customStyle="1" w:styleId="53">
    <w:name w:val="样式 正文缩进正文缩进2正文缩进 Char Char正文缩进 Char Char Char Char正文缩进 Char ..."/>
    <w:basedOn w:val="7"/>
    <w:qFormat/>
    <w:uiPriority w:val="0"/>
    <w:pPr>
      <w:ind w:firstLine="200"/>
    </w:pPr>
    <w:rPr>
      <w:rFonts w:cs="宋体"/>
    </w:rPr>
  </w:style>
  <w:style w:type="paragraph" w:customStyle="1" w:styleId="54">
    <w:name w:val="xl27"/>
    <w:basedOn w:val="1"/>
    <w:qFormat/>
    <w:uiPriority w:val="0"/>
    <w:pPr>
      <w:widowControl/>
      <w:pBdr>
        <w:bottom w:val="single" w:color="auto" w:sz="12" w:space="0"/>
      </w:pBdr>
      <w:adjustRightInd w:val="0"/>
      <w:spacing w:before="100" w:after="100"/>
      <w:ind w:firstLine="576"/>
      <w:jc w:val="center"/>
    </w:pPr>
    <w:rPr>
      <w:rFonts w:ascii="宋体" w:hAnsi="宋体" w:eastAsia="仿宋_GB2312"/>
      <w:spacing w:val="4"/>
      <w:kern w:val="0"/>
    </w:rPr>
  </w:style>
  <w:style w:type="paragraph" w:customStyle="1" w:styleId="55">
    <w:name w:val="标题2"/>
    <w:basedOn w:val="3"/>
    <w:qFormat/>
    <w:uiPriority w:val="0"/>
    <w:pPr>
      <w:numPr>
        <w:ilvl w:val="1"/>
        <w:numId w:val="2"/>
      </w:numPr>
    </w:pPr>
    <w:rPr>
      <w:kern w:val="0"/>
    </w:rPr>
  </w:style>
  <w:style w:type="paragraph" w:customStyle="1" w:styleId="5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7">
    <w:name w:val="WPSOffice手动目录 1"/>
    <w:qFormat/>
    <w:uiPriority w:val="0"/>
    <w:rPr>
      <w:rFonts w:ascii="Calibri" w:hAnsi="Calibri" w:eastAsia="宋体" w:cs="Times New Roman"/>
      <w:lang w:val="en-US" w:eastAsia="zh-CN" w:bidi="ar-SA"/>
    </w:rPr>
  </w:style>
  <w:style w:type="paragraph" w:customStyle="1" w:styleId="58">
    <w:name w:val="WPSOffice手动目录 2"/>
    <w:qFormat/>
    <w:uiPriority w:val="0"/>
    <w:pPr>
      <w:ind w:left="200" w:leftChars="200"/>
    </w:pPr>
    <w:rPr>
      <w:rFonts w:ascii="Calibri" w:hAnsi="Calibri" w:eastAsia="宋体" w:cs="Times New Roman"/>
      <w:lang w:val="en-US" w:eastAsia="zh-CN" w:bidi="ar-SA"/>
    </w:rPr>
  </w:style>
  <w:style w:type="character" w:customStyle="1" w:styleId="59">
    <w:name w:val="标题 1 字符"/>
    <w:link w:val="2"/>
    <w:qFormat/>
    <w:uiPriority w:val="9"/>
    <w:rPr>
      <w:rFonts w:eastAsia="黑体"/>
      <w:b/>
      <w:kern w:val="44"/>
      <w:sz w:val="30"/>
    </w:rPr>
  </w:style>
  <w:style w:type="paragraph" w:customStyle="1" w:styleId="60">
    <w:name w:val="正文01"/>
    <w:basedOn w:val="1"/>
    <w:qFormat/>
    <w:uiPriority w:val="0"/>
    <w:pPr>
      <w:spacing w:before="60" w:line="460" w:lineRule="exact"/>
      <w:ind w:firstLine="200"/>
    </w:pPr>
    <w:rPr>
      <w:bCs/>
    </w:rPr>
  </w:style>
  <w:style w:type="paragraph" w:customStyle="1" w:styleId="61">
    <w:name w:val="缩进"/>
    <w:basedOn w:val="1"/>
    <w:qFormat/>
    <w:uiPriority w:val="0"/>
    <w:pPr>
      <w:autoSpaceDE w:val="0"/>
      <w:autoSpaceDN w:val="0"/>
      <w:adjustRightInd w:val="0"/>
      <w:spacing w:line="400" w:lineRule="atLeast"/>
      <w:ind w:firstLine="425"/>
      <w:textAlignment w:val="baseline"/>
    </w:pPr>
    <w:rPr>
      <w:kern w:val="0"/>
      <w:szCs w:val="20"/>
    </w:rPr>
  </w:style>
  <w:style w:type="paragraph" w:customStyle="1" w:styleId="62">
    <w:name w:val="常用表格样式"/>
    <w:basedOn w:val="63"/>
    <w:next w:val="63"/>
    <w:qFormat/>
    <w:uiPriority w:val="0"/>
    <w:pPr>
      <w:spacing w:line="240" w:lineRule="auto"/>
      <w:ind w:firstLine="0"/>
      <w:jc w:val="center"/>
    </w:pPr>
    <w:rPr>
      <w:spacing w:val="2"/>
      <w:sz w:val="18"/>
    </w:rPr>
  </w:style>
  <w:style w:type="paragraph" w:customStyle="1" w:styleId="63">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64">
    <w:name w:val="5图表标题"/>
    <w:basedOn w:val="65"/>
    <w:next w:val="66"/>
    <w:qFormat/>
    <w:uiPriority w:val="0"/>
    <w:pPr>
      <w:spacing w:line="360" w:lineRule="auto"/>
    </w:pPr>
    <w:rPr>
      <w:rFonts w:eastAsia="黑体"/>
      <w:b/>
    </w:rPr>
  </w:style>
  <w:style w:type="paragraph" w:customStyle="1" w:styleId="65">
    <w:name w:val="6表格内容"/>
    <w:basedOn w:val="66"/>
    <w:next w:val="66"/>
    <w:qFormat/>
    <w:uiPriority w:val="0"/>
    <w:pPr>
      <w:spacing w:line="240" w:lineRule="auto"/>
      <w:ind w:firstLine="0" w:firstLineChars="0"/>
      <w:jc w:val="center"/>
    </w:pPr>
    <w:rPr>
      <w:sz w:val="21"/>
      <w:szCs w:val="24"/>
    </w:rPr>
  </w:style>
  <w:style w:type="paragraph" w:customStyle="1" w:styleId="66">
    <w:name w:val="0报告正文"/>
    <w:basedOn w:val="1"/>
    <w:qFormat/>
    <w:uiPriority w:val="0"/>
    <w:rPr>
      <w:szCs w:val="22"/>
    </w:rPr>
  </w:style>
  <w:style w:type="paragraph" w:customStyle="1" w:styleId="67">
    <w:name w:val="样式 表格 + 黑色"/>
    <w:basedOn w:val="49"/>
    <w:qFormat/>
    <w:uiPriority w:val="0"/>
    <w:pPr>
      <w:widowControl w:val="0"/>
      <w:adjustRightInd w:val="0"/>
      <w:snapToGrid w:val="0"/>
      <w:spacing w:line="240" w:lineRule="auto"/>
      <w:ind w:firstLine="0" w:firstLineChars="0"/>
    </w:pPr>
    <w:rPr>
      <w:rFonts w:ascii="Times New Roman" w:hAnsi="Times New Roman"/>
      <w:snapToGrid w:val="0"/>
      <w:color w:val="000000"/>
      <w:spacing w:val="-4"/>
      <w:szCs w:val="21"/>
    </w:rPr>
  </w:style>
  <w:style w:type="paragraph" w:customStyle="1" w:styleId="68">
    <w:name w:val="表格中文字"/>
    <w:basedOn w:val="1"/>
    <w:qFormat/>
    <w:uiPriority w:val="0"/>
    <w:pPr>
      <w:adjustRightInd w:val="0"/>
      <w:snapToGrid w:val="0"/>
      <w:jc w:val="center"/>
    </w:pPr>
    <w:rPr>
      <w:kern w:val="18"/>
      <w:szCs w:val="21"/>
    </w:rPr>
  </w:style>
  <w:style w:type="paragraph" w:customStyle="1" w:styleId="69">
    <w:name w:val="表"/>
    <w:basedOn w:val="1"/>
    <w:qFormat/>
    <w:uiPriority w:val="0"/>
    <w:pPr>
      <w:snapToGrid w:val="0"/>
      <w:jc w:val="center"/>
    </w:pPr>
    <w:rPr>
      <w:spacing w:val="2"/>
      <w:szCs w:val="20"/>
    </w:rPr>
  </w:style>
  <w:style w:type="paragraph" w:customStyle="1" w:styleId="70">
    <w:name w:val="正文(邵)"/>
    <w:basedOn w:val="1"/>
    <w:qFormat/>
    <w:uiPriority w:val="0"/>
    <w:pPr>
      <w:widowControl/>
      <w:adjustRightInd w:val="0"/>
      <w:snapToGrid w:val="0"/>
      <w:ind w:firstLine="480"/>
      <w:jc w:val="left"/>
    </w:pPr>
    <w:rPr>
      <w:kern w:val="0"/>
      <w:lang w:bidi="en-US"/>
    </w:rPr>
  </w:style>
  <w:style w:type="paragraph" w:customStyle="1" w:styleId="71">
    <w:name w:val="表格标题新"/>
    <w:basedOn w:val="1"/>
    <w:qFormat/>
    <w:uiPriority w:val="0"/>
    <w:pPr>
      <w:tabs>
        <w:tab w:val="left" w:pos="0"/>
      </w:tabs>
      <w:adjustRightInd w:val="0"/>
      <w:snapToGrid w:val="0"/>
      <w:spacing w:before="120" w:beforeLines="50"/>
      <w:ind w:firstLine="562"/>
      <w:jc w:val="center"/>
    </w:pPr>
    <w:rPr>
      <w:rFonts w:ascii="仿宋_GB2312" w:eastAsia="黑体"/>
      <w:b/>
      <w:snapToGrid w:val="0"/>
      <w:spacing w:val="4"/>
      <w:kern w:val="0"/>
    </w:rPr>
  </w:style>
  <w:style w:type="paragraph" w:customStyle="1" w:styleId="72">
    <w:name w:val="表格内文字"/>
    <w:basedOn w:val="48"/>
    <w:qFormat/>
    <w:uiPriority w:val="0"/>
    <w:pPr>
      <w:spacing w:before="100" w:after="100" w:line="320" w:lineRule="exact"/>
    </w:pPr>
    <w:rPr>
      <w:spacing w:val="10"/>
      <w:szCs w:val="20"/>
    </w:rPr>
  </w:style>
  <w:style w:type="paragraph" w:customStyle="1" w:styleId="73">
    <w:name w:val="D图表小四"/>
    <w:basedOn w:val="1"/>
    <w:qFormat/>
    <w:uiPriority w:val="0"/>
    <w:pPr>
      <w:spacing w:line="240" w:lineRule="auto"/>
      <w:jc w:val="center"/>
    </w:pPr>
    <w:rPr>
      <w:rFonts w:cs="Times New Roman"/>
      <w:b/>
      <w:bCs/>
    </w:rPr>
  </w:style>
  <w:style w:type="paragraph" w:customStyle="1" w:styleId="74">
    <w:name w:val="Table Paragraph"/>
    <w:basedOn w:val="1"/>
    <w:unhideWhenUsed/>
    <w:qFormat/>
    <w:uiPriority w:val="1"/>
  </w:style>
  <w:style w:type="paragraph" w:customStyle="1" w:styleId="75">
    <w:name w:val="表格正文"/>
    <w:basedOn w:val="1"/>
    <w:qFormat/>
    <w:uiPriority w:val="0"/>
    <w:pPr>
      <w:spacing w:line="360" w:lineRule="exact"/>
      <w:jc w:val="center"/>
    </w:pPr>
  </w:style>
  <w:style w:type="paragraph" w:customStyle="1" w:styleId="76">
    <w:name w:val="正本文字"/>
    <w:basedOn w:val="1"/>
    <w:qFormat/>
    <w:uiPriority w:val="0"/>
    <w:pPr>
      <w:adjustRightInd w:val="0"/>
      <w:snapToGrid w:val="0"/>
      <w:ind w:firstLine="480"/>
      <w:jc w:val="left"/>
    </w:pPr>
    <w:rPr>
      <w:rFonts w:cs="宋体"/>
      <w:kern w:val="18"/>
      <w:szCs w:val="20"/>
    </w:rPr>
  </w:style>
  <w:style w:type="paragraph" w:customStyle="1" w:styleId="77">
    <w:name w:val="表格文字"/>
    <w:basedOn w:val="13"/>
    <w:next w:val="1"/>
    <w:qFormat/>
    <w:uiPriority w:val="0"/>
    <w:pPr>
      <w:adjustRightInd w:val="0"/>
      <w:snapToGrid w:val="0"/>
      <w:jc w:val="center"/>
    </w:pPr>
    <w:rPr>
      <w:rFonts w:ascii="仿宋_GB2312" w:hAnsi="Arial Black" w:eastAsia="仿宋_GB2312"/>
      <w:kern w:val="44"/>
      <w:szCs w:val="20"/>
    </w:rPr>
  </w:style>
  <w:style w:type="table" w:customStyle="1" w:styleId="78">
    <w:name w:val="标准表格"/>
    <w:basedOn w:val="33"/>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CAEACE"/>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宋体"/>
        <w:sz w:val="18"/>
      </w:rPr>
      <w:tblPr/>
      <w:trPr>
        <w:tblHeader/>
      </w:trPr>
    </w:tblStylePr>
    <w:tblStylePr w:type="firstCol">
      <w:pPr>
        <w:jc w:val="center"/>
      </w:pPr>
    </w:tblStylePr>
  </w:style>
  <w:style w:type="paragraph" w:customStyle="1" w:styleId="79">
    <w:name w:val="表头1111111111"/>
    <w:basedOn w:val="71"/>
    <w:qFormat/>
    <w:uiPriority w:val="0"/>
    <w:pPr>
      <w:spacing w:before="0" w:beforeLines="0"/>
      <w:ind w:firstLine="0"/>
    </w:pPr>
    <w:rPr>
      <w:rFonts w:ascii="Times New Roman"/>
      <w:b w:val="0"/>
      <w:spacing w:val="0"/>
    </w:rPr>
  </w:style>
  <w:style w:type="paragraph" w:customStyle="1" w:styleId="80">
    <w:name w:val="正文001"/>
    <w:basedOn w:val="1"/>
    <w:qFormat/>
    <w:uiPriority w:val="0"/>
    <w:pPr>
      <w:spacing w:before="60" w:line="460" w:lineRule="exact"/>
      <w:ind w:firstLine="482"/>
    </w:pPr>
    <w:rPr>
      <w:szCs w:val="20"/>
    </w:rPr>
  </w:style>
  <w:style w:type="paragraph" w:customStyle="1" w:styleId="81">
    <w:name w:val="魏秀珍   正文"/>
    <w:basedOn w:val="7"/>
    <w:qFormat/>
    <w:uiPriority w:val="0"/>
    <w:pPr>
      <w:adjustRightInd w:val="0"/>
      <w:snapToGrid w:val="0"/>
      <w:ind w:firstLine="480"/>
    </w:pPr>
    <w:rPr>
      <w:rFonts w:hAnsi="宋体"/>
      <w:bCs/>
      <w:kern w:val="0"/>
    </w:rPr>
  </w:style>
  <w:style w:type="paragraph" w:customStyle="1" w:styleId="82">
    <w:name w:val="列表段落1"/>
    <w:basedOn w:val="1"/>
    <w:qFormat/>
    <w:uiPriority w:val="99"/>
    <w:rPr>
      <w:rFonts w:ascii="Calibri" w:hAnsi="Calibri"/>
      <w:szCs w:val="22"/>
    </w:rPr>
  </w:style>
  <w:style w:type="paragraph" w:customStyle="1" w:styleId="83">
    <w:name w:val="Char"/>
    <w:basedOn w:val="1"/>
    <w:qFormat/>
    <w:uiPriority w:val="0"/>
    <w:pPr>
      <w:snapToGrid w:val="0"/>
    </w:pPr>
    <w:rPr>
      <w:kern w:val="18"/>
    </w:rPr>
  </w:style>
  <w:style w:type="paragraph" w:customStyle="1" w:styleId="84">
    <w:name w:val="表（左）"/>
    <w:basedOn w:val="1"/>
    <w:semiHidden/>
    <w:qFormat/>
    <w:uiPriority w:val="0"/>
    <w:pPr>
      <w:widowControl/>
      <w:jc w:val="center"/>
    </w:pPr>
    <w:rPr>
      <w:rFonts w:ascii="Calibri" w:hAnsi="Calibri"/>
      <w:szCs w:val="21"/>
      <w:lang w:eastAsia="en-US" w:bidi="en-US"/>
    </w:rPr>
  </w:style>
  <w:style w:type="paragraph" w:customStyle="1" w:styleId="85">
    <w:name w:val="正文标准样式"/>
    <w:basedOn w:val="1"/>
    <w:qFormat/>
    <w:uiPriority w:val="0"/>
    <w:pPr>
      <w:adjustRightInd w:val="0"/>
      <w:spacing w:line="300" w:lineRule="auto"/>
      <w:ind w:firstLine="482"/>
      <w:textAlignment w:val="baseline"/>
    </w:pPr>
    <w:rPr>
      <w:kern w:val="0"/>
      <w:szCs w:val="20"/>
    </w:rPr>
  </w:style>
  <w:style w:type="paragraph" w:customStyle="1" w:styleId="86">
    <w:name w:val="book"/>
    <w:basedOn w:val="1"/>
    <w:qFormat/>
    <w:uiPriority w:val="0"/>
    <w:pPr>
      <w:spacing w:line="360" w:lineRule="exact"/>
      <w:jc w:val="center"/>
    </w:pPr>
  </w:style>
  <w:style w:type="paragraph" w:customStyle="1" w:styleId="87">
    <w:name w:val="表头徐氏"/>
    <w:basedOn w:val="1"/>
    <w:semiHidden/>
    <w:qFormat/>
    <w:uiPriority w:val="0"/>
    <w:pPr>
      <w:spacing w:before="120" w:beforeLines="50"/>
      <w:jc w:val="center"/>
    </w:pPr>
    <w:rPr>
      <w:rFonts w:hAnsi="宋体"/>
      <w:b/>
      <w:kern w:val="0"/>
      <w:szCs w:val="20"/>
    </w:rPr>
  </w:style>
  <w:style w:type="paragraph" w:customStyle="1" w:styleId="88">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89">
    <w:name w:val="Char Char Char"/>
    <w:basedOn w:val="1"/>
    <w:qFormat/>
    <w:uiPriority w:val="0"/>
  </w:style>
  <w:style w:type="paragraph" w:customStyle="1" w:styleId="90">
    <w:name w:val="文章正文样式 Char Char"/>
    <w:basedOn w:val="1"/>
    <w:qFormat/>
    <w:uiPriority w:val="0"/>
    <w:pPr>
      <w:spacing w:line="520" w:lineRule="exact"/>
      <w:ind w:firstLine="480"/>
      <w:jc w:val="left"/>
    </w:pPr>
    <w:rPr>
      <w:rFonts w:ascii="宋体" w:hAnsi="宋体" w:cs="宋体"/>
    </w:rPr>
  </w:style>
  <w:style w:type="paragraph" w:customStyle="1" w:styleId="91">
    <w:name w:val="报告正文-连续目录"/>
    <w:basedOn w:val="1"/>
    <w:qFormat/>
    <w:uiPriority w:val="0"/>
    <w:pPr>
      <w:spacing w:line="440" w:lineRule="exact"/>
      <w:ind w:firstLine="200"/>
    </w:pPr>
    <w:rPr>
      <w:rFonts w:ascii="Arial" w:hAnsi="Arial"/>
      <w:snapToGrid w:val="0"/>
      <w:kern w:val="0"/>
    </w:rPr>
  </w:style>
  <w:style w:type="paragraph" w:customStyle="1" w:styleId="92">
    <w:name w:val="样式 样式 正文缩进正文（首行缩进两字） Char Char Char Char Char Char Char表格标题标题4文...."/>
    <w:basedOn w:val="1"/>
    <w:qFormat/>
    <w:uiPriority w:val="0"/>
    <w:pPr>
      <w:overflowPunct w:val="0"/>
      <w:adjustRightInd w:val="0"/>
      <w:snapToGrid w:val="0"/>
      <w:spacing w:line="500" w:lineRule="exact"/>
      <w:textAlignment w:val="baseline"/>
    </w:pPr>
    <w:rPr>
      <w:rFonts w:eastAsia="仿宋_GB2312" w:cs="宋体"/>
      <w:kern w:val="0"/>
      <w:sz w:val="28"/>
    </w:rPr>
  </w:style>
  <w:style w:type="paragraph" w:customStyle="1" w:styleId="93">
    <w:name w:val="表内容"/>
    <w:basedOn w:val="7"/>
    <w:next w:val="1"/>
    <w:qFormat/>
    <w:uiPriority w:val="0"/>
    <w:pPr>
      <w:adjustRightInd w:val="0"/>
      <w:snapToGrid w:val="0"/>
      <w:jc w:val="center"/>
    </w:pPr>
    <w:rPr>
      <w:kern w:val="0"/>
      <w:szCs w:val="21"/>
    </w:rPr>
  </w:style>
  <w:style w:type="paragraph" w:customStyle="1" w:styleId="94">
    <w:name w:val="九晟正文"/>
    <w:basedOn w:val="1"/>
    <w:qFormat/>
    <w:uiPriority w:val="0"/>
    <w:pPr>
      <w:ind w:firstLine="480"/>
      <w:jc w:val="left"/>
    </w:pPr>
  </w:style>
  <w:style w:type="paragraph" w:customStyle="1" w:styleId="95">
    <w:name w:val="表内格式"/>
    <w:basedOn w:val="1"/>
    <w:qFormat/>
    <w:uiPriority w:val="0"/>
    <w:pPr>
      <w:spacing w:line="280" w:lineRule="exact"/>
      <w:jc w:val="center"/>
    </w:pPr>
    <w:rPr>
      <w:rFonts w:ascii="宋体"/>
      <w:szCs w:val="20"/>
    </w:rPr>
  </w:style>
  <w:style w:type="paragraph" w:customStyle="1" w:styleId="96">
    <w:name w:val="标正"/>
    <w:basedOn w:val="70"/>
    <w:qFormat/>
    <w:uiPriority w:val="0"/>
    <w:pPr>
      <w:ind w:firstLine="200"/>
      <w:jc w:val="both"/>
    </w:pPr>
  </w:style>
  <w:style w:type="paragraph" w:customStyle="1" w:styleId="97">
    <w:name w:val="表文"/>
    <w:qFormat/>
    <w:uiPriority w:val="0"/>
    <w:pPr>
      <w:snapToGrid w:val="0"/>
      <w:spacing w:line="240" w:lineRule="exact"/>
      <w:jc w:val="center"/>
    </w:pPr>
    <w:rPr>
      <w:rFonts w:ascii="宋体" w:hAnsi="Times New Roman" w:eastAsia="宋体" w:cs="Times New Roman"/>
      <w:sz w:val="15"/>
      <w:lang w:val="en-US" w:eastAsia="zh-CN" w:bidi="ar-SA"/>
    </w:rPr>
  </w:style>
  <w:style w:type="paragraph" w:customStyle="1" w:styleId="98">
    <w:name w:val="报告正文"/>
    <w:basedOn w:val="1"/>
    <w:link w:val="220"/>
    <w:qFormat/>
    <w:uiPriority w:val="0"/>
    <w:pPr>
      <w:adjustRightInd w:val="0"/>
      <w:spacing w:before="25" w:beforeLines="25"/>
      <w:ind w:firstLine="482"/>
      <w:textAlignment w:val="baseline"/>
    </w:pPr>
    <w:rPr>
      <w:rFonts w:ascii="宋体" w:hAnsi="宋体"/>
      <w:snapToGrid w:val="0"/>
      <w:kern w:val="24"/>
      <w:szCs w:val="20"/>
    </w:rPr>
  </w:style>
  <w:style w:type="paragraph" w:customStyle="1" w:styleId="99">
    <w:name w:val="博泵1"/>
    <w:basedOn w:val="1"/>
    <w:qFormat/>
    <w:uiPriority w:val="0"/>
    <w:pPr>
      <w:adjustRightInd w:val="0"/>
      <w:spacing w:line="480" w:lineRule="exact"/>
      <w:ind w:firstLine="200"/>
      <w:jc w:val="left"/>
      <w:textAlignment w:val="baseline"/>
    </w:pPr>
    <w:rPr>
      <w:rFonts w:hAnsi="宋体" w:eastAsia="Times New Roman"/>
      <w:color w:val="000000"/>
      <w:kern w:val="0"/>
      <w:szCs w:val="20"/>
    </w:rPr>
  </w:style>
  <w:style w:type="paragraph" w:customStyle="1" w:styleId="100">
    <w:name w:val="表格下方正文"/>
    <w:basedOn w:val="1"/>
    <w:qFormat/>
    <w:uiPriority w:val="0"/>
    <w:pPr>
      <w:spacing w:before="200" w:line="460" w:lineRule="exact"/>
      <w:ind w:firstLine="200"/>
    </w:pPr>
  </w:style>
  <w:style w:type="paragraph" w:customStyle="1" w:styleId="101">
    <w:name w:val="样式 内容 + 首行缩进:  2 字符"/>
    <w:basedOn w:val="1"/>
    <w:qFormat/>
    <w:uiPriority w:val="0"/>
    <w:pPr>
      <w:ind w:firstLine="480"/>
      <w:jc w:val="left"/>
    </w:pPr>
    <w:rPr>
      <w:rFonts w:cs="宋体"/>
      <w:szCs w:val="20"/>
    </w:rPr>
  </w:style>
  <w:style w:type="paragraph" w:customStyle="1" w:styleId="102">
    <w:name w:val="A表内"/>
    <w:basedOn w:val="1"/>
    <w:qFormat/>
    <w:uiPriority w:val="0"/>
    <w:pPr>
      <w:spacing w:line="0" w:lineRule="atLeast"/>
      <w:jc w:val="center"/>
    </w:pPr>
    <w:rPr>
      <w:rFonts w:cs="宋体"/>
      <w:szCs w:val="20"/>
    </w:rPr>
  </w:style>
  <w:style w:type="paragraph" w:customStyle="1" w:styleId="103">
    <w:name w:val="正文对的"/>
    <w:basedOn w:val="1"/>
    <w:link w:val="111"/>
    <w:qFormat/>
    <w:uiPriority w:val="0"/>
    <w:pPr>
      <w:spacing w:line="400" w:lineRule="exact"/>
      <w:ind w:firstLine="200"/>
    </w:pPr>
    <w:rPr>
      <w:rFonts w:hAnsi="宋体"/>
    </w:rPr>
  </w:style>
  <w:style w:type="paragraph" w:customStyle="1" w:styleId="104">
    <w:name w:val="正文11111111111111"/>
    <w:basedOn w:val="1"/>
    <w:qFormat/>
    <w:uiPriority w:val="0"/>
    <w:pPr>
      <w:adjustRightInd w:val="0"/>
      <w:snapToGrid w:val="0"/>
      <w:ind w:firstLine="480"/>
    </w:pPr>
    <w:rPr>
      <w:color w:val="000000"/>
    </w:rPr>
  </w:style>
  <w:style w:type="paragraph" w:customStyle="1" w:styleId="105">
    <w:name w:val="样式 本正文 + 首行缩进:  2 字符"/>
    <w:basedOn w:val="1"/>
    <w:qFormat/>
    <w:uiPriority w:val="0"/>
    <w:pPr>
      <w:ind w:firstLine="560"/>
    </w:pPr>
    <w:rPr>
      <w:rFonts w:cs="宋体"/>
      <w:sz w:val="28"/>
      <w:szCs w:val="20"/>
    </w:rPr>
  </w:style>
  <w:style w:type="paragraph" w:customStyle="1" w:styleId="106">
    <w:name w:val="报告书正文"/>
    <w:basedOn w:val="1"/>
    <w:link w:val="150"/>
    <w:qFormat/>
    <w:uiPriority w:val="0"/>
  </w:style>
  <w:style w:type="paragraph" w:customStyle="1" w:styleId="107">
    <w:name w:val="表头表格"/>
    <w:basedOn w:val="1"/>
    <w:qFormat/>
    <w:uiPriority w:val="0"/>
    <w:pPr>
      <w:snapToGrid w:val="0"/>
      <w:spacing w:beforeLines="50"/>
      <w:jc w:val="center"/>
    </w:pPr>
    <w:rPr>
      <w:b/>
      <w:bCs/>
      <w:color w:val="000000"/>
      <w:sz w:val="21"/>
      <w:szCs w:val="21"/>
    </w:rPr>
  </w:style>
  <w:style w:type="paragraph" w:customStyle="1" w:styleId="108">
    <w:name w:val="表格文本"/>
    <w:basedOn w:val="109"/>
    <w:qFormat/>
    <w:uiPriority w:val="0"/>
    <w:pPr>
      <w:adjustRightInd w:val="0"/>
      <w:snapToGrid w:val="0"/>
      <w:spacing w:line="240" w:lineRule="auto"/>
      <w:ind w:firstLine="0" w:firstLineChars="0"/>
      <w:jc w:val="center"/>
    </w:pPr>
    <w:rPr>
      <w:sz w:val="21"/>
      <w:szCs w:val="21"/>
    </w:rPr>
  </w:style>
  <w:style w:type="paragraph" w:customStyle="1" w:styleId="109">
    <w:name w:val="文本"/>
    <w:basedOn w:val="1"/>
    <w:qFormat/>
    <w:uiPriority w:val="0"/>
    <w:pPr>
      <w:ind w:firstLine="480"/>
    </w:pPr>
  </w:style>
  <w:style w:type="character" w:customStyle="1" w:styleId="110">
    <w:name w:val="D正文 Char"/>
    <w:basedOn w:val="111"/>
    <w:link w:val="112"/>
    <w:qFormat/>
    <w:uiPriority w:val="0"/>
    <w:rPr>
      <w:rFonts w:hAnsi="Times New Roman"/>
      <w:sz w:val="24"/>
    </w:rPr>
  </w:style>
  <w:style w:type="character" w:customStyle="1" w:styleId="111">
    <w:name w:val="正文对的 Char"/>
    <w:link w:val="103"/>
    <w:qFormat/>
    <w:uiPriority w:val="0"/>
    <w:rPr>
      <w:rFonts w:hAnsi="宋体"/>
      <w:sz w:val="24"/>
    </w:rPr>
  </w:style>
  <w:style w:type="paragraph" w:customStyle="1" w:styleId="112">
    <w:name w:val="D正文"/>
    <w:basedOn w:val="103"/>
    <w:link w:val="110"/>
    <w:qFormat/>
    <w:uiPriority w:val="0"/>
    <w:pPr>
      <w:adjustRightInd w:val="0"/>
      <w:snapToGrid w:val="0"/>
      <w:spacing w:line="360" w:lineRule="auto"/>
    </w:pPr>
    <w:rPr>
      <w:rFonts w:hAnsi="Times New Roman"/>
    </w:rPr>
  </w:style>
  <w:style w:type="paragraph" w:customStyle="1" w:styleId="113">
    <w:name w:val="!正文(alt+c)"/>
    <w:qFormat/>
    <w:uiPriority w:val="0"/>
    <w:pPr>
      <w:spacing w:line="300" w:lineRule="auto"/>
      <w:ind w:firstLine="480" w:firstLineChars="200"/>
    </w:pPr>
    <w:rPr>
      <w:rFonts w:ascii="宋体" w:hAnsi="宋体" w:eastAsia="宋体" w:cs="Times New Roman"/>
      <w:sz w:val="24"/>
      <w:szCs w:val="24"/>
      <w:lang w:val="en-US" w:eastAsia="zh-CN" w:bidi="ar-SA"/>
    </w:rPr>
  </w:style>
  <w:style w:type="paragraph" w:customStyle="1" w:styleId="114">
    <w:name w:val="表2.3-1"/>
    <w:basedOn w:val="1"/>
    <w:qFormat/>
    <w:uiPriority w:val="0"/>
    <w:pPr>
      <w:numPr>
        <w:ilvl w:val="0"/>
        <w:numId w:val="3"/>
      </w:numPr>
      <w:adjustRightInd w:val="0"/>
      <w:snapToGrid w:val="0"/>
      <w:spacing w:line="320" w:lineRule="exact"/>
      <w:jc w:val="center"/>
      <w:outlineLvl w:val="4"/>
    </w:pPr>
    <w:rPr>
      <w:rFonts w:ascii="Arial" w:hAnsi="Arial"/>
      <w:szCs w:val="21"/>
    </w:rPr>
  </w:style>
  <w:style w:type="table" w:customStyle="1" w:styleId="115">
    <w:name w:val="表格样式"/>
    <w:basedOn w:val="33"/>
    <w:qFormat/>
    <w:uiPriority w:val="99"/>
    <w:pPr>
      <w:adjustRightInd w:val="0"/>
      <w:snapToGrid w:val="0"/>
      <w:jc w:val="center"/>
    </w:pPr>
    <w:rPr>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vAlign w:val="center"/>
    </w:tcPr>
    <w:tblStylePr w:type="firstRow">
      <w:pPr>
        <w:jc w:val="center"/>
      </w:pPr>
      <w:rPr>
        <w:rFonts w:ascii="Times New Roman" w:hAnsi="Times New Roman" w:eastAsia="宋体"/>
        <w:b/>
        <w:i w:val="0"/>
        <w:sz w:val="24"/>
      </w:r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pct10" w:color="auto" w:fill="auto"/>
      </w:tcPr>
    </w:tblStylePr>
  </w:style>
  <w:style w:type="paragraph" w:customStyle="1" w:styleId="116">
    <w:name w:val="标题5-ckg"/>
    <w:basedOn w:val="6"/>
    <w:qFormat/>
    <w:uiPriority w:val="0"/>
    <w:pPr>
      <w:tabs>
        <w:tab w:val="clear" w:pos="1008"/>
      </w:tabs>
      <w:adjustRightInd/>
      <w:spacing w:before="0" w:after="0" w:line="460" w:lineRule="exact"/>
      <w:ind w:left="0" w:firstLine="0"/>
      <w:jc w:val="center"/>
    </w:pPr>
    <w:rPr>
      <w:rFonts w:ascii="Times New Roman"/>
      <w:color w:val="auto"/>
      <w:w w:val="100"/>
      <w:kern w:val="2"/>
      <w:sz w:val="24"/>
      <w:szCs w:val="21"/>
    </w:rPr>
  </w:style>
  <w:style w:type="character" w:customStyle="1" w:styleId="117">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118">
    <w:name w:val="!表格标题"/>
    <w:basedOn w:val="10"/>
    <w:next w:val="10"/>
    <w:qFormat/>
    <w:uiPriority w:val="0"/>
    <w:pPr>
      <w:keepNext/>
      <w:snapToGrid w:val="0"/>
      <w:ind w:firstLine="0" w:firstLineChars="0"/>
    </w:pPr>
    <w:rPr>
      <w:lang w:val="zh-CN"/>
    </w:rPr>
  </w:style>
  <w:style w:type="paragraph" w:customStyle="1" w:styleId="119">
    <w:name w:val="表格内容"/>
    <w:basedOn w:val="120"/>
    <w:qFormat/>
    <w:uiPriority w:val="0"/>
    <w:rPr>
      <w:b w:val="0"/>
      <w:sz w:val="21"/>
    </w:rPr>
  </w:style>
  <w:style w:type="paragraph" w:customStyle="1" w:styleId="120">
    <w:name w:val="表格标题"/>
    <w:basedOn w:val="1"/>
    <w:qFormat/>
    <w:uiPriority w:val="0"/>
    <w:pPr>
      <w:spacing w:line="240" w:lineRule="auto"/>
      <w:ind w:firstLine="0" w:firstLineChars="0"/>
      <w:jc w:val="center"/>
    </w:pPr>
    <w:rPr>
      <w:b/>
    </w:rPr>
  </w:style>
  <w:style w:type="table" w:customStyle="1" w:styleId="121">
    <w:name w:val="Table Normal"/>
    <w:semiHidden/>
    <w:unhideWhenUsed/>
    <w:qFormat/>
    <w:uiPriority w:val="0"/>
    <w:tblPr>
      <w:tblCellMar>
        <w:top w:w="0" w:type="dxa"/>
        <w:left w:w="0" w:type="dxa"/>
        <w:bottom w:w="0" w:type="dxa"/>
        <w:right w:w="0" w:type="dxa"/>
      </w:tblCellMar>
    </w:tblPr>
  </w:style>
  <w:style w:type="paragraph" w:customStyle="1" w:styleId="122">
    <w:name w:val="表格内文字 小5"/>
    <w:basedOn w:val="1"/>
    <w:next w:val="10"/>
    <w:qFormat/>
    <w:uiPriority w:val="0"/>
    <w:pPr>
      <w:widowControl/>
      <w:tabs>
        <w:tab w:val="left" w:pos="3345"/>
      </w:tabs>
      <w:spacing w:line="240" w:lineRule="auto"/>
      <w:ind w:firstLine="0" w:firstLineChars="0"/>
      <w:jc w:val="center"/>
    </w:pPr>
    <w:rPr>
      <w:rFonts w:eastAsia="方正书宋"/>
      <w:iCs/>
      <w:snapToGrid w:val="0"/>
      <w:color w:val="000000"/>
      <w:kern w:val="0"/>
      <w:sz w:val="18"/>
      <w:szCs w:val="18"/>
    </w:rPr>
  </w:style>
  <w:style w:type="table" w:customStyle="1" w:styleId="123">
    <w:name w:val="省环科院表格模板"/>
    <w:basedOn w:val="33"/>
    <w:qFormat/>
    <w:uiPriority w:val="99"/>
    <w:pPr>
      <w:topLinePunct/>
      <w:adjustRightInd w:val="0"/>
      <w:snapToGrid w:val="0"/>
      <w:jc w:val="center"/>
    </w:pPr>
    <w:rPr>
      <w:snapToGrid w:val="0"/>
      <w:sz w:val="18"/>
    </w:rPr>
    <w:tblPr>
      <w:jc w:val="center"/>
      <w:tblBorders>
        <w:top w:val="single" w:color="auto" w:sz="12" w:space="0"/>
        <w:bottom w:val="single" w:color="auto" w:sz="12" w:space="0"/>
        <w:insideH w:val="single" w:color="auto" w:sz="4" w:space="0"/>
        <w:insideV w:val="single" w:color="auto" w:sz="4" w:space="0"/>
      </w:tblBorders>
      <w:tblCellMar>
        <w:left w:w="0" w:type="dxa"/>
        <w:right w:w="0" w:type="dxa"/>
      </w:tblCellMar>
    </w:tblPr>
    <w:trPr>
      <w:jc w:val="center"/>
    </w:trPr>
    <w:tcPr>
      <w:vAlign w:val="center"/>
    </w:tcPr>
    <w:tblStylePr w:type="firstRow">
      <w:rPr>
        <w:b/>
      </w:rPr>
    </w:tblStylePr>
  </w:style>
  <w:style w:type="character" w:customStyle="1" w:styleId="124">
    <w:name w:val="font31"/>
    <w:basedOn w:val="37"/>
    <w:qFormat/>
    <w:uiPriority w:val="0"/>
    <w:rPr>
      <w:rFonts w:hint="default" w:ascii="Times New Roman" w:hAnsi="Times New Roman" w:cs="Times New Roman"/>
      <w:color w:val="000000"/>
      <w:sz w:val="13"/>
      <w:szCs w:val="13"/>
      <w:u w:val="none"/>
    </w:rPr>
  </w:style>
  <w:style w:type="character" w:customStyle="1" w:styleId="125">
    <w:name w:val="font21"/>
    <w:basedOn w:val="37"/>
    <w:qFormat/>
    <w:uiPriority w:val="0"/>
    <w:rPr>
      <w:rFonts w:hint="default" w:ascii="Times New Roman" w:hAnsi="Times New Roman" w:cs="Times New Roman"/>
      <w:color w:val="000000"/>
      <w:sz w:val="21"/>
      <w:szCs w:val="21"/>
      <w:u w:val="none"/>
    </w:rPr>
  </w:style>
  <w:style w:type="character" w:customStyle="1" w:styleId="126">
    <w:name w:val="font41"/>
    <w:basedOn w:val="37"/>
    <w:qFormat/>
    <w:uiPriority w:val="0"/>
    <w:rPr>
      <w:rFonts w:hint="default" w:ascii="Times New Roman" w:hAnsi="Times New Roman" w:cs="Times New Roman"/>
      <w:color w:val="000000"/>
      <w:sz w:val="13"/>
      <w:szCs w:val="13"/>
      <w:u w:val="none"/>
    </w:rPr>
  </w:style>
  <w:style w:type="character" w:customStyle="1" w:styleId="127">
    <w:name w:val="font01"/>
    <w:basedOn w:val="37"/>
    <w:qFormat/>
    <w:uiPriority w:val="0"/>
    <w:rPr>
      <w:rFonts w:hint="default" w:ascii="Times New Roman" w:hAnsi="Times New Roman" w:cs="Times New Roman"/>
      <w:color w:val="000000"/>
      <w:sz w:val="13"/>
      <w:szCs w:val="13"/>
      <w:u w:val="none"/>
    </w:rPr>
  </w:style>
  <w:style w:type="paragraph" w:customStyle="1" w:styleId="128">
    <w:name w:val="ZM 表内格式"/>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paragraph" w:customStyle="1" w:styleId="129">
    <w:name w:val="正文 楷体"/>
    <w:basedOn w:val="1"/>
    <w:link w:val="145"/>
    <w:qFormat/>
    <w:uiPriority w:val="0"/>
    <w:pPr>
      <w:spacing w:line="500" w:lineRule="exact"/>
      <w:ind w:firstLine="200"/>
    </w:pPr>
    <w:rPr>
      <w:rFonts w:ascii="楷体_GB2312" w:hAnsi="楷体_GB2312" w:eastAsia="楷体_GB2312" w:cs="宋体"/>
    </w:rPr>
  </w:style>
  <w:style w:type="paragraph" w:customStyle="1" w:styleId="130">
    <w:name w:val="表格文字邓"/>
    <w:basedOn w:val="1"/>
    <w:qFormat/>
    <w:uiPriority w:val="0"/>
    <w:pPr>
      <w:snapToGrid w:val="0"/>
      <w:jc w:val="center"/>
    </w:pPr>
    <w:rPr>
      <w:rFonts w:ascii="宋体" w:hAnsi="宋体" w:cs="Times New Roman"/>
      <w:snapToGrid w:val="0"/>
      <w:color w:val="000000"/>
      <w:sz w:val="18"/>
      <w:szCs w:val="21"/>
    </w:rPr>
  </w:style>
  <w:style w:type="character" w:customStyle="1" w:styleId="131">
    <w:name w:val="fontstyle01"/>
    <w:qFormat/>
    <w:uiPriority w:val="0"/>
    <w:rPr>
      <w:rFonts w:hint="eastAsia" w:ascii="宋体" w:hAnsi="宋体" w:eastAsia="宋体"/>
      <w:color w:val="000000"/>
      <w:sz w:val="24"/>
      <w:szCs w:val="24"/>
    </w:rPr>
  </w:style>
  <w:style w:type="paragraph" w:customStyle="1" w:styleId="132">
    <w:name w:val="正文！"/>
    <w:basedOn w:val="1"/>
    <w:qFormat/>
    <w:uiPriority w:val="0"/>
    <w:pPr>
      <w:spacing w:line="500" w:lineRule="exact"/>
      <w:ind w:firstLine="482"/>
    </w:pPr>
    <w:rPr>
      <w:rFonts w:ascii="楷体_GB2312" w:cs="宋体"/>
      <w:szCs w:val="20"/>
    </w:rPr>
  </w:style>
  <w:style w:type="paragraph" w:customStyle="1" w:styleId="133">
    <w:name w:val="正文A"/>
    <w:basedOn w:val="134"/>
    <w:qFormat/>
    <w:uiPriority w:val="0"/>
    <w:rPr>
      <w:rFonts w:cs="华文仿宋"/>
    </w:rPr>
  </w:style>
  <w:style w:type="paragraph" w:customStyle="1" w:styleId="134">
    <w:name w:val="正文!!!!!!!!!!!"/>
    <w:basedOn w:val="129"/>
    <w:qFormat/>
    <w:uiPriority w:val="0"/>
    <w:pPr>
      <w:ind w:firstLine="480"/>
    </w:pPr>
    <w:rPr>
      <w:rFonts w:ascii="华文仿宋" w:hAnsi="华文仿宋" w:eastAsia="华文仿宋" w:cs="Times New Roman"/>
    </w:rPr>
  </w:style>
  <w:style w:type="paragraph" w:customStyle="1" w:styleId="135">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36">
    <w:name w:val="样式7"/>
    <w:basedOn w:val="1"/>
    <w:qFormat/>
    <w:uiPriority w:val="0"/>
    <w:pPr>
      <w:spacing w:line="620" w:lineRule="exact"/>
      <w:ind w:firstLine="200"/>
    </w:pPr>
    <w:rPr>
      <w:rFonts w:ascii="宋体" w:hAnsi="宋体"/>
      <w:sz w:val="28"/>
    </w:rPr>
  </w:style>
  <w:style w:type="paragraph" w:customStyle="1" w:styleId="137">
    <w:name w:val="表中文字"/>
    <w:qFormat/>
    <w:uiPriority w:val="0"/>
    <w:pPr>
      <w:spacing w:line="360" w:lineRule="exact"/>
      <w:jc w:val="center"/>
      <w:textAlignment w:val="center"/>
    </w:pPr>
    <w:rPr>
      <w:rFonts w:ascii="Times New Roman" w:hAnsi="Times New Roman" w:eastAsia="宋体" w:cs="Times New Roman"/>
      <w:color w:val="000000"/>
      <w:sz w:val="21"/>
      <w:szCs w:val="21"/>
      <w:lang w:val="en-US" w:eastAsia="zh-CN" w:bidi="ar-SA"/>
    </w:rPr>
  </w:style>
  <w:style w:type="paragraph" w:customStyle="1" w:styleId="138">
    <w:name w:val="正文2"/>
    <w:basedOn w:val="1"/>
    <w:qFormat/>
    <w:uiPriority w:val="0"/>
    <w:pPr>
      <w:adjustRightInd w:val="0"/>
      <w:spacing w:line="520" w:lineRule="exact"/>
      <w:ind w:firstLine="440"/>
    </w:pPr>
    <w:rPr>
      <w:spacing w:val="-10"/>
    </w:rPr>
  </w:style>
  <w:style w:type="paragraph" w:customStyle="1" w:styleId="139">
    <w:name w:val="阜华生物-表头标题"/>
    <w:qFormat/>
    <w:uiPriority w:val="0"/>
    <w:pPr>
      <w:widowControl w:val="0"/>
      <w:spacing w:before="25" w:beforeLines="25"/>
      <w:jc w:val="center"/>
    </w:pPr>
    <w:rPr>
      <w:rFonts w:ascii="Times New Roman" w:hAnsi="Times New Roman" w:eastAsia="宋体" w:cs="Times New Roman"/>
      <w:b/>
      <w:bCs/>
      <w:color w:val="E36C0A"/>
      <w:kern w:val="2"/>
      <w:sz w:val="24"/>
      <w:szCs w:val="24"/>
      <w:lang w:val="en-US" w:eastAsia="zh-CN" w:bidi="ar-SA"/>
    </w:rPr>
  </w:style>
  <w:style w:type="paragraph" w:customStyle="1" w:styleId="140">
    <w:name w:val="正文 小四 行距: 1.5 倍行距"/>
    <w:basedOn w:val="1"/>
    <w:qFormat/>
    <w:uiPriority w:val="0"/>
    <w:pPr>
      <w:ind w:firstLine="480"/>
    </w:pPr>
    <w:rPr>
      <w:rFonts w:cs="宋体"/>
      <w:szCs w:val="20"/>
    </w:rPr>
  </w:style>
  <w:style w:type="paragraph" w:customStyle="1" w:styleId="141">
    <w:name w:val="标题二A"/>
    <w:basedOn w:val="1"/>
    <w:qFormat/>
    <w:uiPriority w:val="0"/>
    <w:pPr>
      <w:spacing w:before="120" w:after="120" w:line="500" w:lineRule="exact"/>
      <w:outlineLvl w:val="1"/>
    </w:pPr>
    <w:rPr>
      <w:rFonts w:cs="楷体_GB2312"/>
      <w:b/>
      <w:bCs/>
      <w:sz w:val="30"/>
      <w:szCs w:val="30"/>
    </w:rPr>
  </w:style>
  <w:style w:type="character" w:customStyle="1" w:styleId="142">
    <w:name w:val="批注文字 字符"/>
    <w:basedOn w:val="37"/>
    <w:link w:val="9"/>
    <w:qFormat/>
    <w:uiPriority w:val="99"/>
    <w:rPr>
      <w:rFonts w:cstheme="minorBidi"/>
      <w:kern w:val="2"/>
      <w:sz w:val="24"/>
      <w:szCs w:val="24"/>
    </w:rPr>
  </w:style>
  <w:style w:type="character" w:customStyle="1" w:styleId="143">
    <w:name w:val="批注主题 字符"/>
    <w:basedOn w:val="142"/>
    <w:link w:val="30"/>
    <w:qFormat/>
    <w:uiPriority w:val="99"/>
    <w:rPr>
      <w:rFonts w:cstheme="minorBidi"/>
      <w:b/>
      <w:bCs/>
      <w:kern w:val="2"/>
      <w:sz w:val="24"/>
      <w:szCs w:val="24"/>
    </w:rPr>
  </w:style>
  <w:style w:type="paragraph" w:styleId="144">
    <w:name w:val="List Paragraph"/>
    <w:basedOn w:val="1"/>
    <w:unhideWhenUsed/>
    <w:qFormat/>
    <w:uiPriority w:val="34"/>
  </w:style>
  <w:style w:type="character" w:customStyle="1" w:styleId="145">
    <w:name w:val="正文 楷体 Char"/>
    <w:link w:val="129"/>
    <w:qFormat/>
    <w:uiPriority w:val="0"/>
    <w:rPr>
      <w:rFonts w:ascii="楷体_GB2312" w:hAnsi="楷体_GB2312" w:eastAsia="楷体_GB2312" w:cs="宋体"/>
      <w:kern w:val="2"/>
      <w:sz w:val="24"/>
      <w:szCs w:val="24"/>
    </w:rPr>
  </w:style>
  <w:style w:type="character" w:customStyle="1" w:styleId="146">
    <w:name w:val="YJ题注 Char"/>
    <w:link w:val="147"/>
    <w:qFormat/>
    <w:uiPriority w:val="0"/>
    <w:rPr>
      <w:rFonts w:ascii="黑体" w:hAnsi="黑体" w:eastAsia="黑体"/>
      <w:b/>
      <w:kern w:val="2"/>
      <w:sz w:val="21"/>
      <w:szCs w:val="22"/>
    </w:rPr>
  </w:style>
  <w:style w:type="paragraph" w:customStyle="1" w:styleId="147">
    <w:name w:val="YJ题注"/>
    <w:basedOn w:val="8"/>
    <w:link w:val="146"/>
    <w:qFormat/>
    <w:uiPriority w:val="0"/>
    <w:pPr>
      <w:spacing w:line="520" w:lineRule="exact"/>
    </w:pPr>
    <w:rPr>
      <w:rFonts w:ascii="黑体" w:hAnsi="黑体" w:eastAsia="黑体" w:cs="Times New Roman"/>
      <w:sz w:val="21"/>
      <w:szCs w:val="22"/>
    </w:rPr>
  </w:style>
  <w:style w:type="character" w:customStyle="1" w:styleId="148">
    <w:name w:val="YJ正文* 字符"/>
    <w:link w:val="149"/>
    <w:qFormat/>
    <w:uiPriority w:val="0"/>
    <w:rPr>
      <w:rFonts w:ascii="宋体" w:hAnsi="宋体"/>
      <w:kern w:val="2"/>
      <w:sz w:val="24"/>
      <w:szCs w:val="24"/>
    </w:rPr>
  </w:style>
  <w:style w:type="paragraph" w:customStyle="1" w:styleId="149">
    <w:name w:val="YJ正文*"/>
    <w:basedOn w:val="1"/>
    <w:link w:val="148"/>
    <w:qFormat/>
    <w:uiPriority w:val="0"/>
    <w:pPr>
      <w:spacing w:line="500" w:lineRule="exact"/>
      <w:ind w:firstLine="200"/>
    </w:pPr>
    <w:rPr>
      <w:rFonts w:ascii="宋体" w:hAnsi="宋体" w:cs="Times New Roman"/>
    </w:rPr>
  </w:style>
  <w:style w:type="character" w:customStyle="1" w:styleId="150">
    <w:name w:val="报告书正文 Char"/>
    <w:link w:val="106"/>
    <w:qFormat/>
    <w:uiPriority w:val="0"/>
    <w:rPr>
      <w:rFonts w:cstheme="minorBidi"/>
      <w:kern w:val="2"/>
      <w:sz w:val="24"/>
      <w:szCs w:val="24"/>
    </w:rPr>
  </w:style>
  <w:style w:type="character" w:customStyle="1" w:styleId="151">
    <w:name w:val="YJ-正文 Char"/>
    <w:link w:val="152"/>
    <w:qFormat/>
    <w:uiPriority w:val="0"/>
    <w:rPr>
      <w:rFonts w:ascii="宋体" w:hAnsi="宋体"/>
      <w:sz w:val="24"/>
      <w:szCs w:val="21"/>
    </w:rPr>
  </w:style>
  <w:style w:type="paragraph" w:customStyle="1" w:styleId="152">
    <w:name w:val="YJ-正文"/>
    <w:basedOn w:val="1"/>
    <w:link w:val="151"/>
    <w:qFormat/>
    <w:uiPriority w:val="0"/>
    <w:pPr>
      <w:widowControl/>
      <w:spacing w:line="500" w:lineRule="exact"/>
      <w:ind w:firstLine="200"/>
      <w:jc w:val="left"/>
      <w:outlineLvl w:val="1"/>
    </w:pPr>
    <w:rPr>
      <w:rFonts w:ascii="宋体" w:hAnsi="宋体" w:cs="Times New Roman"/>
      <w:kern w:val="0"/>
      <w:szCs w:val="21"/>
    </w:rPr>
  </w:style>
  <w:style w:type="character" w:customStyle="1" w:styleId="153">
    <w:name w:val="MEL正文* 字符"/>
    <w:link w:val="154"/>
    <w:qFormat/>
    <w:uiPriority w:val="0"/>
    <w:rPr>
      <w:rFonts w:ascii="宋体" w:hAnsi="宋体"/>
      <w:sz w:val="24"/>
      <w:szCs w:val="24"/>
    </w:rPr>
  </w:style>
  <w:style w:type="paragraph" w:customStyle="1" w:styleId="154">
    <w:name w:val="MEL正文*"/>
    <w:basedOn w:val="1"/>
    <w:link w:val="153"/>
    <w:qFormat/>
    <w:uiPriority w:val="0"/>
    <w:pPr>
      <w:spacing w:line="500" w:lineRule="exact"/>
      <w:ind w:firstLine="200"/>
    </w:pPr>
    <w:rPr>
      <w:rFonts w:ascii="宋体" w:hAnsi="宋体" w:cs="Times New Roman"/>
      <w:kern w:val="0"/>
    </w:rPr>
  </w:style>
  <w:style w:type="paragraph" w:customStyle="1" w:styleId="155">
    <w:name w:val="正文(首行缩进)"/>
    <w:basedOn w:val="1"/>
    <w:next w:val="1"/>
    <w:link w:val="191"/>
    <w:qFormat/>
    <w:uiPriority w:val="0"/>
    <w:pPr>
      <w:adjustRightInd w:val="0"/>
      <w:ind w:firstLine="540" w:firstLineChars="225"/>
      <w:textAlignment w:val="baseline"/>
    </w:pPr>
    <w:rPr>
      <w:rFonts w:ascii="Calibri" w:hAnsi="Calibri" w:cs="Times New Roman"/>
      <w:color w:val="000000"/>
      <w:kern w:val="0"/>
    </w:rPr>
  </w:style>
  <w:style w:type="character" w:customStyle="1" w:styleId="156">
    <w:name w:val="4刘群正文* Char"/>
    <w:link w:val="157"/>
    <w:qFormat/>
    <w:uiPriority w:val="0"/>
    <w:rPr>
      <w:sz w:val="24"/>
      <w:szCs w:val="24"/>
      <w:lang w:val="zh-CN"/>
    </w:rPr>
  </w:style>
  <w:style w:type="paragraph" w:customStyle="1" w:styleId="157">
    <w:name w:val="4刘群正文*"/>
    <w:basedOn w:val="1"/>
    <w:link w:val="156"/>
    <w:qFormat/>
    <w:uiPriority w:val="0"/>
    <w:pPr>
      <w:adjustRightInd w:val="0"/>
      <w:snapToGrid w:val="0"/>
      <w:spacing w:line="520" w:lineRule="exact"/>
      <w:ind w:firstLine="480"/>
    </w:pPr>
    <w:rPr>
      <w:rFonts w:cs="Times New Roman"/>
      <w:kern w:val="0"/>
      <w:lang w:val="zh-CN"/>
    </w:rPr>
  </w:style>
  <w:style w:type="paragraph" w:customStyle="1" w:styleId="158">
    <w:name w:val="A正文"/>
    <w:basedOn w:val="1"/>
    <w:link w:val="159"/>
    <w:qFormat/>
    <w:uiPriority w:val="0"/>
    <w:pPr>
      <w:widowControl/>
      <w:adjustRightInd w:val="0"/>
      <w:snapToGrid w:val="0"/>
      <w:ind w:firstLine="200"/>
    </w:pPr>
    <w:rPr>
      <w:rFonts w:cs="Times New Roman"/>
      <w:color w:val="000000" w:themeColor="text1"/>
      <w14:textFill>
        <w14:solidFill>
          <w14:schemeClr w14:val="tx1"/>
        </w14:solidFill>
      </w14:textFill>
    </w:rPr>
  </w:style>
  <w:style w:type="character" w:customStyle="1" w:styleId="159">
    <w:name w:val="A正文 Char"/>
    <w:basedOn w:val="37"/>
    <w:link w:val="158"/>
    <w:qFormat/>
    <w:uiPriority w:val="0"/>
    <w:rPr>
      <w:color w:val="000000" w:themeColor="text1"/>
      <w:kern w:val="2"/>
      <w:sz w:val="24"/>
      <w:szCs w:val="24"/>
      <w14:textFill>
        <w14:solidFill>
          <w14:schemeClr w14:val="tx1"/>
        </w14:solidFill>
      </w14:textFill>
    </w:rPr>
  </w:style>
  <w:style w:type="table" w:customStyle="1" w:styleId="160">
    <w:name w:val="网格型4"/>
    <w:basedOn w:val="3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1">
    <w:name w:val="TOC 71"/>
    <w:basedOn w:val="1"/>
    <w:next w:val="1"/>
    <w:unhideWhenUsed/>
    <w:qFormat/>
    <w:uiPriority w:val="39"/>
    <w:pPr>
      <w:spacing w:line="240" w:lineRule="auto"/>
      <w:ind w:left="2520" w:leftChars="1200" w:firstLine="0" w:firstLineChars="0"/>
    </w:pPr>
    <w:rPr>
      <w:rFonts w:ascii="等线" w:hAnsi="等线" w:eastAsia="等线"/>
      <w:sz w:val="21"/>
      <w:szCs w:val="22"/>
    </w:rPr>
  </w:style>
  <w:style w:type="paragraph" w:customStyle="1" w:styleId="162">
    <w:name w:val="TOC 51"/>
    <w:basedOn w:val="1"/>
    <w:next w:val="1"/>
    <w:unhideWhenUsed/>
    <w:qFormat/>
    <w:uiPriority w:val="39"/>
    <w:pPr>
      <w:spacing w:line="240" w:lineRule="auto"/>
      <w:ind w:left="1680" w:leftChars="800" w:firstLine="0" w:firstLineChars="0"/>
    </w:pPr>
    <w:rPr>
      <w:rFonts w:ascii="等线" w:hAnsi="等线" w:eastAsia="等线"/>
      <w:sz w:val="21"/>
      <w:szCs w:val="22"/>
    </w:rPr>
  </w:style>
  <w:style w:type="paragraph" w:customStyle="1" w:styleId="163">
    <w:name w:val="TOC 81"/>
    <w:basedOn w:val="1"/>
    <w:next w:val="1"/>
    <w:unhideWhenUsed/>
    <w:qFormat/>
    <w:uiPriority w:val="39"/>
    <w:pPr>
      <w:spacing w:line="240" w:lineRule="auto"/>
      <w:ind w:left="2940" w:leftChars="1400" w:firstLine="0" w:firstLineChars="0"/>
    </w:pPr>
    <w:rPr>
      <w:rFonts w:ascii="等线" w:hAnsi="等线" w:eastAsia="等线"/>
      <w:sz w:val="21"/>
      <w:szCs w:val="22"/>
    </w:rPr>
  </w:style>
  <w:style w:type="paragraph" w:customStyle="1" w:styleId="164">
    <w:name w:val="TOC 41"/>
    <w:basedOn w:val="1"/>
    <w:next w:val="1"/>
    <w:unhideWhenUsed/>
    <w:qFormat/>
    <w:uiPriority w:val="39"/>
    <w:pPr>
      <w:spacing w:line="240" w:lineRule="auto"/>
      <w:ind w:left="1260" w:leftChars="600" w:firstLine="0" w:firstLineChars="0"/>
    </w:pPr>
    <w:rPr>
      <w:rFonts w:ascii="等线" w:hAnsi="等线" w:eastAsia="等线"/>
      <w:sz w:val="21"/>
      <w:szCs w:val="22"/>
    </w:rPr>
  </w:style>
  <w:style w:type="paragraph" w:customStyle="1" w:styleId="165">
    <w:name w:val="TOC 61"/>
    <w:basedOn w:val="1"/>
    <w:next w:val="1"/>
    <w:unhideWhenUsed/>
    <w:qFormat/>
    <w:uiPriority w:val="39"/>
    <w:pPr>
      <w:spacing w:line="240" w:lineRule="auto"/>
      <w:ind w:left="2100" w:leftChars="1000" w:firstLine="0" w:firstLineChars="0"/>
    </w:pPr>
    <w:rPr>
      <w:rFonts w:ascii="等线" w:hAnsi="等线" w:eastAsia="等线"/>
      <w:sz w:val="21"/>
      <w:szCs w:val="22"/>
    </w:rPr>
  </w:style>
  <w:style w:type="paragraph" w:customStyle="1" w:styleId="166">
    <w:name w:val="TOC 91"/>
    <w:basedOn w:val="1"/>
    <w:next w:val="1"/>
    <w:unhideWhenUsed/>
    <w:qFormat/>
    <w:uiPriority w:val="39"/>
    <w:pPr>
      <w:spacing w:line="240" w:lineRule="auto"/>
      <w:ind w:left="3360" w:leftChars="1600" w:firstLine="0" w:firstLineChars="0"/>
    </w:pPr>
    <w:rPr>
      <w:rFonts w:ascii="等线" w:hAnsi="等线" w:eastAsia="等线"/>
      <w:sz w:val="21"/>
      <w:szCs w:val="22"/>
    </w:rPr>
  </w:style>
  <w:style w:type="paragraph" w:customStyle="1" w:styleId="167">
    <w:name w:val="标题1"/>
    <w:basedOn w:val="1"/>
    <w:next w:val="1"/>
    <w:qFormat/>
    <w:uiPriority w:val="10"/>
    <w:pPr>
      <w:adjustRightInd w:val="0"/>
      <w:snapToGrid w:val="0"/>
      <w:spacing w:line="480" w:lineRule="exact"/>
      <w:ind w:firstLine="200"/>
      <w:jc w:val="center"/>
      <w:outlineLvl w:val="0"/>
    </w:pPr>
    <w:rPr>
      <w:rFonts w:ascii="等线 Light" w:hAnsi="等线 Light" w:cs="Times New Roman"/>
      <w:b/>
      <w:bCs/>
      <w:szCs w:val="32"/>
    </w:rPr>
  </w:style>
  <w:style w:type="table" w:customStyle="1" w:styleId="168">
    <w:name w:val="网格型1"/>
    <w:basedOn w:val="33"/>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9">
    <w:name w:val="标题 2 字符"/>
    <w:basedOn w:val="37"/>
    <w:link w:val="3"/>
    <w:qFormat/>
    <w:uiPriority w:val="9"/>
    <w:rPr>
      <w:rFonts w:eastAsia="黑体" w:cstheme="minorBidi"/>
      <w:b/>
      <w:kern w:val="2"/>
      <w:sz w:val="28"/>
      <w:szCs w:val="28"/>
    </w:rPr>
  </w:style>
  <w:style w:type="character" w:customStyle="1" w:styleId="170">
    <w:name w:val="标题 字符"/>
    <w:basedOn w:val="37"/>
    <w:link w:val="29"/>
    <w:qFormat/>
    <w:uiPriority w:val="10"/>
    <w:rPr>
      <w:rFonts w:ascii="等线 Light" w:hAnsi="等线 Light"/>
      <w:b/>
      <w:bCs/>
      <w:sz w:val="24"/>
      <w:szCs w:val="32"/>
    </w:rPr>
  </w:style>
  <w:style w:type="character" w:customStyle="1" w:styleId="171">
    <w:name w:val="标题 3 字符"/>
    <w:basedOn w:val="37"/>
    <w:link w:val="4"/>
    <w:qFormat/>
    <w:uiPriority w:val="9"/>
    <w:rPr>
      <w:rFonts w:cstheme="minorBidi"/>
      <w:b/>
      <w:bCs/>
      <w:kern w:val="2"/>
      <w:sz w:val="24"/>
      <w:szCs w:val="24"/>
    </w:rPr>
  </w:style>
  <w:style w:type="character" w:customStyle="1" w:styleId="172">
    <w:name w:val="MEL表字-书 字符"/>
    <w:link w:val="173"/>
    <w:qFormat/>
    <w:uiPriority w:val="0"/>
    <w:rPr>
      <w:rFonts w:ascii="宋体" w:hAnsi="宋体"/>
      <w:szCs w:val="21"/>
    </w:rPr>
  </w:style>
  <w:style w:type="paragraph" w:customStyle="1" w:styleId="173">
    <w:name w:val="MEL表字-书"/>
    <w:basedOn w:val="1"/>
    <w:link w:val="172"/>
    <w:qFormat/>
    <w:uiPriority w:val="0"/>
    <w:pPr>
      <w:spacing w:line="240" w:lineRule="exact"/>
      <w:ind w:firstLine="0" w:firstLineChars="0"/>
      <w:jc w:val="center"/>
    </w:pPr>
    <w:rPr>
      <w:rFonts w:ascii="宋体" w:hAnsi="宋体" w:cs="Times New Roman"/>
      <w:kern w:val="0"/>
      <w:sz w:val="20"/>
      <w:szCs w:val="21"/>
    </w:rPr>
  </w:style>
  <w:style w:type="character" w:customStyle="1" w:styleId="174">
    <w:name w:val="表字-书 Char"/>
    <w:link w:val="175"/>
    <w:qFormat/>
    <w:uiPriority w:val="0"/>
    <w:rPr>
      <w:rFonts w:ascii="宋体" w:hAnsi="宋体"/>
    </w:rPr>
  </w:style>
  <w:style w:type="paragraph" w:customStyle="1" w:styleId="175">
    <w:name w:val="表字-书"/>
    <w:basedOn w:val="1"/>
    <w:link w:val="174"/>
    <w:qFormat/>
    <w:uiPriority w:val="0"/>
    <w:pPr>
      <w:spacing w:line="240" w:lineRule="exact"/>
      <w:ind w:firstLine="0" w:firstLineChars="0"/>
      <w:jc w:val="center"/>
    </w:pPr>
    <w:rPr>
      <w:rFonts w:ascii="宋体" w:hAnsi="宋体" w:cs="Times New Roman"/>
      <w:kern w:val="0"/>
      <w:sz w:val="20"/>
      <w:szCs w:val="20"/>
    </w:rPr>
  </w:style>
  <w:style w:type="character" w:customStyle="1" w:styleId="176">
    <w:name w:val="YJ表中字体 Char"/>
    <w:link w:val="177"/>
    <w:qFormat/>
    <w:uiPriority w:val="0"/>
    <w:rPr>
      <w:rFonts w:ascii="宋体" w:hAnsi="宋体"/>
    </w:rPr>
  </w:style>
  <w:style w:type="paragraph" w:customStyle="1" w:styleId="177">
    <w:name w:val="YJ表中字体"/>
    <w:basedOn w:val="7"/>
    <w:link w:val="176"/>
    <w:qFormat/>
    <w:uiPriority w:val="0"/>
    <w:pPr>
      <w:tabs>
        <w:tab w:val="left" w:pos="8176"/>
      </w:tabs>
      <w:spacing w:line="240" w:lineRule="exact"/>
      <w:ind w:firstLine="0" w:firstLineChars="0"/>
      <w:jc w:val="center"/>
    </w:pPr>
    <w:rPr>
      <w:rFonts w:ascii="宋体" w:hAnsi="宋体" w:cs="Times New Roman"/>
      <w:kern w:val="0"/>
      <w:sz w:val="20"/>
    </w:rPr>
  </w:style>
  <w:style w:type="character" w:customStyle="1" w:styleId="178">
    <w:name w:val="题注 字符"/>
    <w:link w:val="8"/>
    <w:qFormat/>
    <w:uiPriority w:val="0"/>
    <w:rPr>
      <w:rFonts w:cstheme="minorBidi"/>
      <w:b/>
      <w:kern w:val="2"/>
      <w:sz w:val="24"/>
    </w:rPr>
  </w:style>
  <w:style w:type="character" w:customStyle="1" w:styleId="179">
    <w:name w:val="页眉 字符"/>
    <w:basedOn w:val="37"/>
    <w:link w:val="20"/>
    <w:qFormat/>
    <w:uiPriority w:val="99"/>
    <w:rPr>
      <w:rFonts w:cstheme="minorBidi"/>
      <w:kern w:val="2"/>
      <w:sz w:val="18"/>
      <w:szCs w:val="24"/>
    </w:rPr>
  </w:style>
  <w:style w:type="character" w:customStyle="1" w:styleId="180">
    <w:name w:val="页脚 字符"/>
    <w:basedOn w:val="37"/>
    <w:link w:val="19"/>
    <w:qFormat/>
    <w:uiPriority w:val="99"/>
    <w:rPr>
      <w:rFonts w:cstheme="minorBidi"/>
      <w:kern w:val="2"/>
      <w:sz w:val="18"/>
      <w:szCs w:val="24"/>
    </w:rPr>
  </w:style>
  <w:style w:type="character" w:customStyle="1" w:styleId="181">
    <w:name w:val="表头 Char2"/>
    <w:basedOn w:val="37"/>
    <w:link w:val="48"/>
    <w:qFormat/>
    <w:uiPriority w:val="0"/>
    <w:rPr>
      <w:rFonts w:eastAsia="仿宋_GB2312"/>
      <w:b/>
      <w:kern w:val="2"/>
      <w:sz w:val="24"/>
      <w:szCs w:val="24"/>
    </w:rPr>
  </w:style>
  <w:style w:type="character" w:customStyle="1" w:styleId="182">
    <w:name w:val="正文文本首行缩进 2 字符"/>
    <w:basedOn w:val="37"/>
    <w:link w:val="32"/>
    <w:qFormat/>
    <w:uiPriority w:val="0"/>
    <w:rPr>
      <w:rFonts w:cstheme="minorBidi"/>
      <w:spacing w:val="6"/>
      <w:kern w:val="18"/>
      <w:sz w:val="24"/>
      <w:szCs w:val="28"/>
    </w:rPr>
  </w:style>
  <w:style w:type="character" w:customStyle="1" w:styleId="183">
    <w:name w:val="正文文本缩进 字符"/>
    <w:basedOn w:val="37"/>
    <w:link w:val="11"/>
    <w:qFormat/>
    <w:uiPriority w:val="99"/>
    <w:rPr>
      <w:rFonts w:cstheme="minorBidi"/>
      <w:kern w:val="2"/>
      <w:sz w:val="24"/>
      <w:szCs w:val="24"/>
    </w:rPr>
  </w:style>
  <w:style w:type="character" w:customStyle="1" w:styleId="184">
    <w:name w:val="正文文本首行缩进 2 字符1"/>
    <w:basedOn w:val="183"/>
    <w:semiHidden/>
    <w:qFormat/>
    <w:uiPriority w:val="99"/>
    <w:rPr>
      <w:rFonts w:cstheme="minorBidi"/>
      <w:kern w:val="2"/>
      <w:sz w:val="24"/>
      <w:szCs w:val="24"/>
    </w:rPr>
  </w:style>
  <w:style w:type="character" w:customStyle="1" w:styleId="185">
    <w:name w:val="正文文本 字符"/>
    <w:basedOn w:val="37"/>
    <w:link w:val="10"/>
    <w:qFormat/>
    <w:uiPriority w:val="99"/>
    <w:rPr>
      <w:rFonts w:ascii="仿宋_GB2312" w:eastAsia="仿宋_GB2312" w:cstheme="minorBidi"/>
      <w:b/>
      <w:kern w:val="2"/>
      <w:sz w:val="28"/>
      <w:szCs w:val="24"/>
    </w:rPr>
  </w:style>
  <w:style w:type="table" w:customStyle="1" w:styleId="186">
    <w:name w:val="网格型浅色1"/>
    <w:basedOn w:val="33"/>
    <w:qFormat/>
    <w:uiPriority w:val="40"/>
    <w:rPr>
      <w:rFonts w:ascii="等线" w:hAnsi="等线" w:eastAsia="等线"/>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187">
    <w:name w:val="D表内1磅"/>
    <w:basedOn w:val="1"/>
    <w:qFormat/>
    <w:uiPriority w:val="0"/>
    <w:pPr>
      <w:spacing w:before="20" w:after="20" w:line="240" w:lineRule="auto"/>
      <w:ind w:firstLine="0" w:firstLineChars="0"/>
      <w:jc w:val="center"/>
    </w:pPr>
    <w:rPr>
      <w:rFonts w:cs="Times New Roman"/>
      <w:sz w:val="21"/>
      <w:szCs w:val="21"/>
    </w:rPr>
  </w:style>
  <w:style w:type="paragraph" w:customStyle="1" w:styleId="188">
    <w:name w:val="表格样式1"/>
    <w:basedOn w:val="1"/>
    <w:qFormat/>
    <w:uiPriority w:val="0"/>
    <w:pPr>
      <w:adjustRightInd w:val="0"/>
      <w:spacing w:line="20" w:lineRule="atLeast"/>
      <w:ind w:firstLine="0" w:firstLineChars="0"/>
      <w:jc w:val="center"/>
      <w:textAlignment w:val="baseline"/>
    </w:pPr>
    <w:rPr>
      <w:rFonts w:ascii="宋体" w:cs="Times New Roman"/>
      <w:kern w:val="0"/>
      <w:sz w:val="26"/>
      <w:szCs w:val="20"/>
    </w:rPr>
  </w:style>
  <w:style w:type="paragraph" w:customStyle="1" w:styleId="189">
    <w:name w:val="！正文"/>
    <w:basedOn w:val="1"/>
    <w:qFormat/>
    <w:uiPriority w:val="0"/>
    <w:pPr>
      <w:spacing w:line="500" w:lineRule="exact"/>
      <w:ind w:firstLine="200"/>
    </w:pPr>
    <w:rPr>
      <w:rFonts w:eastAsia="华文中宋" w:cs="Times New Roman"/>
    </w:rPr>
  </w:style>
  <w:style w:type="character" w:customStyle="1" w:styleId="190">
    <w:name w:val="表格 Char"/>
    <w:link w:val="49"/>
    <w:qFormat/>
    <w:uiPriority w:val="0"/>
    <w:rPr>
      <w:rFonts w:ascii="宋体" w:hAnsi="宋体" w:cstheme="minorBidi"/>
      <w:sz w:val="21"/>
      <w:szCs w:val="24"/>
    </w:rPr>
  </w:style>
  <w:style w:type="character" w:customStyle="1" w:styleId="191">
    <w:name w:val="正文(首行缩进) Char"/>
    <w:link w:val="155"/>
    <w:qFormat/>
    <w:uiPriority w:val="0"/>
    <w:rPr>
      <w:rFonts w:ascii="Calibri" w:hAnsi="Calibri"/>
      <w:color w:val="000000"/>
      <w:sz w:val="24"/>
      <w:szCs w:val="24"/>
    </w:rPr>
  </w:style>
  <w:style w:type="character" w:customStyle="1" w:styleId="192">
    <w:name w:val="正文（首行式样2） Char"/>
    <w:link w:val="193"/>
    <w:qFormat/>
    <w:uiPriority w:val="0"/>
    <w:rPr>
      <w:rFonts w:ascii="宋体" w:hAnsi="宋体"/>
      <w:color w:val="000000"/>
      <w:sz w:val="24"/>
      <w:szCs w:val="24"/>
    </w:rPr>
  </w:style>
  <w:style w:type="paragraph" w:customStyle="1" w:styleId="193">
    <w:name w:val="正文（首行式样2）"/>
    <w:basedOn w:val="7"/>
    <w:link w:val="192"/>
    <w:qFormat/>
    <w:uiPriority w:val="0"/>
    <w:pPr>
      <w:snapToGrid w:val="0"/>
      <w:ind w:right="-13" w:rightChars="-6" w:firstLine="526" w:firstLineChars="219"/>
    </w:pPr>
    <w:rPr>
      <w:rFonts w:ascii="宋体" w:hAnsi="宋体" w:cs="Times New Roman"/>
      <w:color w:val="000000"/>
      <w:kern w:val="0"/>
      <w:szCs w:val="24"/>
    </w:rPr>
  </w:style>
  <w:style w:type="table" w:customStyle="1" w:styleId="194">
    <w:name w:val="报告书表格样式1"/>
    <w:basedOn w:val="33"/>
    <w:qFormat/>
    <w:uiPriority w:val="0"/>
    <w:pPr>
      <w:adjustRightInd w:val="0"/>
      <w:snapToGrid w:val="0"/>
      <w:spacing w:line="300" w:lineRule="exact"/>
      <w:jc w:val="center"/>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character" w:customStyle="1" w:styleId="195">
    <w:name w:val="正文缩进 字符"/>
    <w:link w:val="7"/>
    <w:qFormat/>
    <w:uiPriority w:val="0"/>
    <w:rPr>
      <w:rFonts w:cstheme="minorBidi"/>
      <w:kern w:val="2"/>
      <w:sz w:val="24"/>
    </w:rPr>
  </w:style>
  <w:style w:type="paragraph" w:customStyle="1" w:styleId="196">
    <w:name w:val="兴化美联正文样式"/>
    <w:basedOn w:val="1"/>
    <w:qFormat/>
    <w:uiPriority w:val="0"/>
    <w:pPr>
      <w:widowControl/>
      <w:spacing w:line="560" w:lineRule="exact"/>
      <w:ind w:firstLine="480"/>
      <w:jc w:val="left"/>
    </w:pPr>
    <w:rPr>
      <w:rFonts w:ascii="宋体" w:hAnsi="宋体" w:cs="宋体"/>
      <w:color w:val="000000"/>
      <w:kern w:val="0"/>
    </w:rPr>
  </w:style>
  <w:style w:type="paragraph" w:customStyle="1" w:styleId="197">
    <w:name w:val="图标"/>
    <w:basedOn w:val="1"/>
    <w:qFormat/>
    <w:uiPriority w:val="0"/>
    <w:pPr>
      <w:spacing w:line="500" w:lineRule="exact"/>
      <w:ind w:firstLine="0" w:firstLineChars="0"/>
      <w:jc w:val="center"/>
    </w:pPr>
    <w:rPr>
      <w:rFonts w:ascii="宋体" w:hAnsi="宋体" w:cs="Times New Roman"/>
      <w:b/>
      <w:sz w:val="21"/>
      <w:szCs w:val="21"/>
    </w:rPr>
  </w:style>
  <w:style w:type="table" w:customStyle="1" w:styleId="198">
    <w:name w:val="无格式表格 21"/>
    <w:basedOn w:val="33"/>
    <w:qFormat/>
    <w:uiPriority w:val="42"/>
    <w:rPr>
      <w:rFonts w:ascii="等线" w:hAnsi="等线" w:eastAsia="等线"/>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99">
    <w:name w:val="网格型11"/>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0">
    <w:name w:val="正文文本首行缩进 字符"/>
    <w:basedOn w:val="185"/>
    <w:link w:val="31"/>
    <w:qFormat/>
    <w:uiPriority w:val="99"/>
    <w:rPr>
      <w:rFonts w:ascii="仿宋_GB2312" w:eastAsia="仿宋_GB2312" w:cstheme="minorBidi"/>
      <w:kern w:val="2"/>
      <w:sz w:val="28"/>
      <w:szCs w:val="24"/>
    </w:rPr>
  </w:style>
  <w:style w:type="paragraph" w:customStyle="1" w:styleId="201">
    <w:name w:val="TOC 标题1"/>
    <w:basedOn w:val="2"/>
    <w:next w:val="1"/>
    <w:unhideWhenUsed/>
    <w:qFormat/>
    <w:uiPriority w:val="39"/>
    <w:pPr>
      <w:widowControl/>
      <w:spacing w:before="240" w:line="259" w:lineRule="auto"/>
      <w:jc w:val="left"/>
      <w:outlineLvl w:val="9"/>
    </w:pPr>
    <w:rPr>
      <w:rFonts w:ascii="等线 Light" w:hAnsi="等线 Light" w:eastAsia="等线 Light" w:cs="Times New Roman"/>
      <w:b w:val="0"/>
      <w:color w:val="2F5496"/>
      <w:kern w:val="0"/>
      <w:sz w:val="32"/>
      <w:szCs w:val="32"/>
    </w:rPr>
  </w:style>
  <w:style w:type="character" w:customStyle="1" w:styleId="202">
    <w:name w:val="未处理的提及1"/>
    <w:basedOn w:val="37"/>
    <w:semiHidden/>
    <w:unhideWhenUsed/>
    <w:qFormat/>
    <w:uiPriority w:val="99"/>
    <w:rPr>
      <w:color w:val="605E5C"/>
      <w:shd w:val="clear" w:color="auto" w:fill="E1DFDD"/>
    </w:rPr>
  </w:style>
  <w:style w:type="paragraph" w:customStyle="1" w:styleId="203">
    <w:name w:val="列表段落2"/>
    <w:basedOn w:val="1"/>
    <w:unhideWhenUsed/>
    <w:qFormat/>
    <w:uiPriority w:val="99"/>
    <w:pPr>
      <w:spacing w:line="240" w:lineRule="auto"/>
    </w:pPr>
    <w:rPr>
      <w:rFonts w:ascii="Calibri" w:hAnsi="Calibri" w:cs="Times New Roman"/>
      <w:sz w:val="21"/>
      <w:szCs w:val="22"/>
    </w:rPr>
  </w:style>
  <w:style w:type="paragraph" w:customStyle="1" w:styleId="204">
    <w:name w:val="正文1"/>
    <w:qFormat/>
    <w:uiPriority w:val="0"/>
    <w:pPr>
      <w:jc w:val="both"/>
    </w:pPr>
    <w:rPr>
      <w:rFonts w:ascii="Calibri" w:hAnsi="Calibri" w:eastAsia="宋体" w:cs="Calibri"/>
      <w:kern w:val="2"/>
      <w:sz w:val="21"/>
      <w:szCs w:val="21"/>
      <w:lang w:val="en-US" w:eastAsia="zh-CN" w:bidi="ar-SA"/>
    </w:rPr>
  </w:style>
  <w:style w:type="paragraph" w:customStyle="1" w:styleId="205">
    <w:name w:val="正文首行缩进 21"/>
    <w:basedOn w:val="11"/>
    <w:next w:val="15"/>
    <w:qFormat/>
    <w:uiPriority w:val="0"/>
    <w:pPr>
      <w:widowControl/>
      <w:autoSpaceDE w:val="0"/>
      <w:autoSpaceDN w:val="0"/>
      <w:adjustRightInd w:val="0"/>
      <w:spacing w:before="100" w:beforeAutospacing="1" w:after="200"/>
      <w:ind w:left="0" w:leftChars="0"/>
      <w:jc w:val="left"/>
      <w:textAlignment w:val="baseline"/>
    </w:pPr>
    <w:rPr>
      <w:rFonts w:cs="Times New Roman"/>
      <w:kern w:val="0"/>
    </w:rPr>
  </w:style>
  <w:style w:type="character" w:customStyle="1" w:styleId="206">
    <w:name w:val="纯文本 字符"/>
    <w:basedOn w:val="37"/>
    <w:link w:val="15"/>
    <w:qFormat/>
    <w:uiPriority w:val="99"/>
    <w:rPr>
      <w:rFonts w:ascii="宋体" w:cstheme="minorBidi"/>
      <w:kern w:val="2"/>
      <w:sz w:val="24"/>
    </w:rPr>
  </w:style>
  <w:style w:type="paragraph" w:customStyle="1" w:styleId="207">
    <w:name w:val="我的正文"/>
    <w:basedOn w:val="1"/>
    <w:qFormat/>
    <w:uiPriority w:val="0"/>
    <w:pPr>
      <w:spacing w:beforeLines="25" w:afterLines="25" w:line="324" w:lineRule="auto"/>
      <w:ind w:firstLine="200"/>
    </w:pPr>
    <w:rPr>
      <w:rFonts w:ascii="Calibri" w:hAnsi="Calibri" w:cs="Calibri"/>
      <w:kern w:val="0"/>
    </w:rPr>
  </w:style>
  <w:style w:type="paragraph" w:customStyle="1" w:styleId="208">
    <w:name w:val="修订1"/>
    <w:hidden/>
    <w:semiHidden/>
    <w:qFormat/>
    <w:uiPriority w:val="99"/>
    <w:rPr>
      <w:rFonts w:ascii="等线" w:hAnsi="等线" w:eastAsia="宋体" w:cs="Times New Roman"/>
      <w:kern w:val="2"/>
      <w:sz w:val="24"/>
      <w:szCs w:val="22"/>
      <w:lang w:val="en-US" w:eastAsia="zh-CN" w:bidi="ar-SA"/>
    </w:rPr>
  </w:style>
  <w:style w:type="paragraph" w:customStyle="1" w:styleId="209">
    <w:name w:val="4刘群正文 *"/>
    <w:basedOn w:val="1"/>
    <w:qFormat/>
    <w:uiPriority w:val="0"/>
    <w:pPr>
      <w:spacing w:line="520" w:lineRule="exact"/>
      <w:ind w:firstLine="480"/>
    </w:pPr>
    <w:rPr>
      <w:rFonts w:cs="Times New Roman"/>
    </w:rPr>
  </w:style>
  <w:style w:type="character" w:customStyle="1" w:styleId="210">
    <w:name w:val="标题 字符1"/>
    <w:basedOn w:val="37"/>
    <w:qFormat/>
    <w:uiPriority w:val="0"/>
    <w:rPr>
      <w:rFonts w:asciiTheme="majorHAnsi" w:hAnsiTheme="majorHAnsi" w:eastAsiaTheme="majorEastAsia" w:cstheme="majorBidi"/>
      <w:b/>
      <w:bCs/>
      <w:kern w:val="2"/>
      <w:sz w:val="32"/>
      <w:szCs w:val="32"/>
    </w:rPr>
  </w:style>
  <w:style w:type="paragraph" w:customStyle="1" w:styleId="211">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table" w:customStyle="1" w:styleId="212">
    <w:name w:val="报告书表格样式11"/>
    <w:basedOn w:val="33"/>
    <w:qFormat/>
    <w:uiPriority w:val="0"/>
    <w:tblPr>
      <w:tblBorders>
        <w:top w:val="single" w:color="auto" w:sz="12" w:space="0"/>
        <w:bottom w:val="single" w:color="auto" w:sz="12" w:space="0"/>
        <w:insideH w:val="single" w:color="auto" w:sz="6" w:space="0"/>
        <w:insideV w:val="single" w:color="auto" w:sz="6" w:space="0"/>
      </w:tblBorders>
    </w:tblPr>
  </w:style>
  <w:style w:type="paragraph" w:customStyle="1" w:styleId="213">
    <w:name w:val="表格内"/>
    <w:basedOn w:val="1"/>
    <w:qFormat/>
    <w:uiPriority w:val="0"/>
    <w:pPr>
      <w:widowControl/>
      <w:adjustRightInd w:val="0"/>
      <w:snapToGrid w:val="0"/>
      <w:spacing w:after="200" w:line="360" w:lineRule="exact"/>
      <w:ind w:firstLine="720"/>
      <w:jc w:val="center"/>
    </w:pPr>
    <w:rPr>
      <w:rFonts w:ascii="Calibri" w:hAnsi="Calibri" w:eastAsia="微软雅黑" w:cs="Times New Roman"/>
      <w:kern w:val="0"/>
      <w:sz w:val="22"/>
      <w:szCs w:val="21"/>
    </w:rPr>
  </w:style>
  <w:style w:type="character" w:customStyle="1" w:styleId="214">
    <w:name w:val="日期 字符"/>
    <w:basedOn w:val="37"/>
    <w:link w:val="17"/>
    <w:qFormat/>
    <w:uiPriority w:val="0"/>
    <w:rPr>
      <w:rFonts w:cstheme="minorBidi"/>
      <w:kern w:val="2"/>
      <w:sz w:val="24"/>
      <w:szCs w:val="24"/>
    </w:rPr>
  </w:style>
  <w:style w:type="paragraph" w:customStyle="1" w:styleId="215">
    <w:name w:val="正文3"/>
    <w:qFormat/>
    <w:uiPriority w:val="0"/>
    <w:pPr>
      <w:jc w:val="both"/>
    </w:pPr>
    <w:rPr>
      <w:rFonts w:ascii="Calibri" w:hAnsi="Calibri" w:eastAsia="宋体" w:cs="Calibri"/>
      <w:kern w:val="2"/>
      <w:sz w:val="21"/>
      <w:szCs w:val="21"/>
      <w:lang w:val="en-US" w:eastAsia="zh-CN" w:bidi="ar-SA"/>
    </w:rPr>
  </w:style>
  <w:style w:type="table" w:customStyle="1" w:styleId="216">
    <w:name w:val="报告书表格样式"/>
    <w:basedOn w:val="33"/>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table" w:customStyle="1" w:styleId="217">
    <w:name w:val="网格型2"/>
    <w:basedOn w:val="33"/>
    <w:unhideWhenUsed/>
    <w:qFormat/>
    <w:uiPriority w:val="0"/>
    <w:pPr>
      <w:widowControl w:val="0"/>
      <w:jc w:val="both"/>
    </w:pPr>
    <w:rPr>
      <w:rFonts w:ascii="宋体" w:hAnsi="宋体"/>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218">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219">
    <w:name w:val="Body text|1"/>
    <w:basedOn w:val="1"/>
    <w:qFormat/>
    <w:uiPriority w:val="0"/>
    <w:pPr>
      <w:spacing w:line="470" w:lineRule="exact"/>
      <w:ind w:firstLine="560" w:firstLineChars="0"/>
    </w:pPr>
    <w:rPr>
      <w:rFonts w:ascii="宋体" w:hAnsi="宋体" w:cs="宋体"/>
      <w:sz w:val="20"/>
      <w:szCs w:val="20"/>
      <w:lang w:val="zh-TW" w:eastAsia="zh-TW" w:bidi="zh-TW"/>
    </w:rPr>
  </w:style>
  <w:style w:type="character" w:customStyle="1" w:styleId="220">
    <w:name w:val="报告正文 Char"/>
    <w:link w:val="98"/>
    <w:qFormat/>
    <w:locked/>
    <w:uiPriority w:val="0"/>
    <w:rPr>
      <w:rFonts w:ascii="宋体" w:hAnsi="宋体" w:cstheme="minorBidi"/>
      <w:snapToGrid w:val="0"/>
      <w:kern w:val="24"/>
      <w:sz w:val="24"/>
    </w:rPr>
  </w:style>
  <w:style w:type="character" w:customStyle="1" w:styleId="221">
    <w:name w:val="报告表正文 Char1"/>
    <w:link w:val="222"/>
    <w:qFormat/>
    <w:locked/>
    <w:uiPriority w:val="0"/>
    <w:rPr>
      <w:sz w:val="24"/>
      <w:szCs w:val="28"/>
    </w:rPr>
  </w:style>
  <w:style w:type="paragraph" w:customStyle="1" w:styleId="222">
    <w:name w:val="报告表正文"/>
    <w:basedOn w:val="1"/>
    <w:link w:val="221"/>
    <w:qFormat/>
    <w:uiPriority w:val="0"/>
    <w:pPr>
      <w:adjustRightInd w:val="0"/>
      <w:snapToGrid w:val="0"/>
      <w:ind w:firstLine="482"/>
    </w:pPr>
    <w:rPr>
      <w:rFonts w:cs="Times New Roman"/>
      <w:kern w:val="0"/>
      <w:szCs w:val="28"/>
    </w:rPr>
  </w:style>
  <w:style w:type="character" w:customStyle="1" w:styleId="223">
    <w:name w:val="Body text|2_"/>
    <w:basedOn w:val="37"/>
    <w:link w:val="224"/>
    <w:qFormat/>
    <w:locked/>
    <w:uiPriority w:val="0"/>
    <w:rPr>
      <w:rFonts w:ascii="宋体" w:hAnsi="宋体" w:cs="宋体"/>
      <w:kern w:val="2"/>
      <w:lang w:val="zh-TW" w:eastAsia="zh-TW" w:bidi="zh-TW"/>
    </w:rPr>
  </w:style>
  <w:style w:type="paragraph" w:customStyle="1" w:styleId="224">
    <w:name w:val="Body text|2"/>
    <w:basedOn w:val="1"/>
    <w:link w:val="223"/>
    <w:qFormat/>
    <w:uiPriority w:val="0"/>
    <w:pPr>
      <w:spacing w:line="465" w:lineRule="auto"/>
      <w:ind w:firstLine="400" w:firstLineChars="0"/>
    </w:pPr>
    <w:rPr>
      <w:rFonts w:ascii="宋体" w:hAnsi="宋体" w:cs="宋体"/>
      <w:sz w:val="20"/>
      <w:szCs w:val="20"/>
      <w:lang w:val="zh-TW" w:eastAsia="zh-TW" w:bidi="zh-TW"/>
    </w:rPr>
  </w:style>
  <w:style w:type="paragraph" w:customStyle="1" w:styleId="225">
    <w:name w:val="Table Text"/>
    <w:basedOn w:val="1"/>
    <w:semiHidden/>
    <w:qFormat/>
    <w:uiPriority w:val="0"/>
    <w:rPr>
      <w:rFonts w:ascii="宋体" w:hAnsi="宋体" w:eastAsia="宋体" w:cs="宋体"/>
      <w:sz w:val="20"/>
      <w:szCs w:val="20"/>
      <w:lang w:val="en-US" w:eastAsia="en-US" w:bidi="ar-SA"/>
    </w:rPr>
  </w:style>
  <w:style w:type="paragraph" w:customStyle="1" w:styleId="226">
    <w:name w:val="A表内容"/>
    <w:basedOn w:val="227"/>
    <w:qFormat/>
    <w:uiPriority w:val="0"/>
    <w:pPr>
      <w:spacing w:line="340" w:lineRule="exact"/>
      <w:ind w:firstLine="0" w:firstLineChars="0"/>
      <w:jc w:val="center"/>
    </w:pPr>
    <w:rPr>
      <w:rFonts w:ascii="Times New Roman"/>
      <w:sz w:val="21"/>
      <w:szCs w:val="21"/>
    </w:rPr>
  </w:style>
  <w:style w:type="paragraph" w:customStyle="1" w:styleId="227">
    <w:name w:val="正文格式"/>
    <w:basedOn w:val="228"/>
    <w:qFormat/>
    <w:uiPriority w:val="0"/>
    <w:pPr>
      <w:spacing w:line="360" w:lineRule="auto"/>
      <w:ind w:firstLine="482"/>
    </w:pPr>
    <w:rPr>
      <w:rFonts w:ascii="宋体" w:hAnsi="宋体"/>
      <w:color w:val="000000"/>
    </w:rPr>
  </w:style>
  <w:style w:type="paragraph" w:customStyle="1" w:styleId="228">
    <w:name w:val="正文文本首行缩进"/>
    <w:basedOn w:val="10"/>
    <w:qFormat/>
    <w:uiPriority w:val="0"/>
    <w:pPr>
      <w:ind w:firstLine="420" w:firstLineChars="100"/>
    </w:pPr>
  </w:style>
  <w:style w:type="paragraph" w:customStyle="1" w:styleId="229">
    <w:name w:val="ENFI正文"/>
    <w:basedOn w:val="1"/>
    <w:qFormat/>
    <w:uiPriority w:val="0"/>
    <w:pPr>
      <w:adjustRightInd w:val="0"/>
      <w:snapToGrid w:val="0"/>
      <w:spacing w:line="500" w:lineRule="exact"/>
      <w:ind w:firstLine="567"/>
    </w:pPr>
    <w:rPr>
      <w:rFonts w:ascii="Times New Roman" w:hAnsi="Times New Roman" w:eastAsia="仿宋_GB2312" w:cs="Times New Roman"/>
      <w:bCs/>
      <w:color w:val="000000"/>
      <w:kern w:val="0"/>
      <w:sz w:val="28"/>
      <w:szCs w:val="32"/>
    </w:rPr>
  </w:style>
  <w:style w:type="paragraph" w:customStyle="1" w:styleId="230">
    <w:name w:val="ENFI表体"/>
    <w:basedOn w:val="1"/>
    <w:qFormat/>
    <w:uiPriority w:val="0"/>
    <w:pPr>
      <w:widowControl/>
      <w:adjustRightInd w:val="0"/>
      <w:snapToGrid w:val="0"/>
      <w:spacing w:line="240" w:lineRule="atLeast"/>
      <w:jc w:val="center"/>
    </w:pPr>
    <w:rPr>
      <w:rFonts w:ascii="Times New Roman" w:hAnsi="Times New Roman" w:eastAsia="仿宋_GB2312" w:cs="Times New Roman"/>
      <w:kern w:val="0"/>
      <w:szCs w:val="20"/>
    </w:rPr>
  </w:style>
  <w:style w:type="paragraph" w:customStyle="1" w:styleId="231">
    <w:name w:val="A-表格文字"/>
    <w:basedOn w:val="1"/>
    <w:qFormat/>
    <w:uiPriority w:val="0"/>
    <w:pPr>
      <w:autoSpaceDE w:val="0"/>
      <w:autoSpaceDN w:val="0"/>
      <w:adjustRightInd w:val="0"/>
      <w:snapToGrid w:val="0"/>
      <w:jc w:val="center"/>
      <w:textAlignment w:val="center"/>
    </w:pPr>
    <w:rPr>
      <w:rFonts w:ascii="Times New Roman" w:hAnsi="Times New Roman"/>
      <w:kern w:val="0"/>
    </w:rPr>
  </w:style>
  <w:style w:type="paragraph" w:customStyle="1" w:styleId="232">
    <w:name w:val="02表格文字-环评报告"/>
    <w:basedOn w:val="1"/>
    <w:qFormat/>
    <w:uiPriority w:val="0"/>
    <w:pPr>
      <w:adjustRightInd w:val="0"/>
      <w:snapToGrid w:val="0"/>
      <w:spacing w:line="240" w:lineRule="auto"/>
      <w:ind w:firstLine="0" w:firstLineChars="0"/>
      <w:jc w:val="center"/>
    </w:pPr>
    <w:rPr>
      <w:sz w:val="21"/>
      <w:szCs w:val="21"/>
    </w:rPr>
  </w:style>
  <w:style w:type="table" w:customStyle="1" w:styleId="233">
    <w:name w:val="环评报告表格样式1"/>
    <w:basedOn w:val="33"/>
    <w:qFormat/>
    <w:uiPriority w:val="99"/>
    <w:pPr>
      <w:jc w:val="center"/>
    </w:pPr>
    <w:rPr>
      <w:rFonts w:ascii="Times New Roman" w:hAnsi="Times New Roman" w:eastAsia="宋体"/>
      <w:szCs w:val="24"/>
    </w:rPr>
    <w:tblPr>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
    <w:trPr>
      <w:jc w:val="center"/>
    </w:trPr>
    <w:tcPr>
      <w:vAlign w:val="center"/>
    </w:tcPr>
  </w:style>
  <w:style w:type="paragraph" w:customStyle="1" w:styleId="234">
    <w:name w:val="表头标题"/>
    <w:basedOn w:val="1"/>
    <w:qFormat/>
    <w:uiPriority w:val="0"/>
    <w:pPr>
      <w:tabs>
        <w:tab w:val="left" w:pos="905"/>
      </w:tabs>
      <w:snapToGrid w:val="0"/>
      <w:jc w:val="center"/>
    </w:pPr>
    <w:rPr>
      <w:rFonts w:ascii="黑体" w:eastAsia="黑体"/>
      <w:bCs/>
      <w:color w:val="FF0000"/>
      <w:kern w:val="0"/>
      <w:sz w:val="20"/>
      <w:szCs w:val="21"/>
      <w:lang w:val="zh-CN"/>
    </w:rPr>
  </w:style>
  <w:style w:type="paragraph" w:customStyle="1" w:styleId="235">
    <w:name w:val="B表内字"/>
    <w:basedOn w:val="1"/>
    <w:qFormat/>
    <w:uiPriority w:val="0"/>
    <w:pPr>
      <w:widowControl/>
      <w:jc w:val="center"/>
    </w:pPr>
    <w:rPr>
      <w:rFonts w:ascii="Times New Roman" w:hAnsi="Times New Roman" w:cs="宋体"/>
      <w:kern w:val="0"/>
      <w:szCs w:val="24"/>
    </w:rPr>
  </w:style>
  <w:style w:type="paragraph" w:customStyle="1" w:styleId="236">
    <w:name w:val="word"/>
    <w:basedOn w:val="1"/>
    <w:qFormat/>
    <w:uiPriority w:val="99"/>
    <w:pPr>
      <w:widowControl/>
      <w:spacing w:before="100" w:beforeAutospacing="1" w:after="100" w:afterAutospacing="1"/>
      <w:jc w:val="left"/>
    </w:pPr>
    <w:rPr>
      <w:rFonts w:ascii="宋体" w:hAnsi="宋体" w:cs="Times New Roman"/>
      <w:color w:val="000000"/>
      <w:kern w:val="0"/>
      <w:szCs w:val="24"/>
    </w:rPr>
  </w:style>
  <w:style w:type="paragraph" w:customStyle="1" w:styleId="237">
    <w:name w:val="A-表格名"/>
    <w:basedOn w:val="1"/>
    <w:qFormat/>
    <w:uiPriority w:val="0"/>
    <w:pPr>
      <w:spacing w:before="50" w:beforeLines="50"/>
      <w:jc w:val="center"/>
    </w:pPr>
    <w:rPr>
      <w:rFonts w:ascii="Times New Roman" w:hAnsi="Times New Roman" w:eastAsia="黑体" w:cs="Arial"/>
      <w:b/>
      <w:szCs w:val="20"/>
    </w:rPr>
  </w:style>
  <w:style w:type="paragraph" w:customStyle="1" w:styleId="238">
    <w:name w:val="段落"/>
    <w:basedOn w:val="1"/>
    <w:qFormat/>
    <w:uiPriority w:val="99"/>
    <w:pPr>
      <w:spacing w:line="360" w:lineRule="auto"/>
      <w:ind w:firstLine="480" w:firstLineChars="200"/>
    </w:pPr>
    <w:rPr>
      <w:rFonts w:ascii="Cambria Math" w:hAnsi="Cambria Math" w:eastAsia="華康中楷體" w:cs="??"/>
      <w:szCs w:val="20"/>
    </w:rPr>
  </w:style>
  <w:style w:type="paragraph" w:customStyle="1" w:styleId="239">
    <w:name w:val="Other|1"/>
    <w:basedOn w:val="1"/>
    <w:qFormat/>
    <w:uiPriority w:val="0"/>
    <w:pPr>
      <w:jc w:val="left"/>
    </w:pPr>
    <w:rPr>
      <w:rFonts w:ascii="宋体" w:hAnsi="宋体" w:cs="宋体"/>
      <w:sz w:val="20"/>
      <w:szCs w:val="20"/>
      <w:lang w:val="zh-TW" w:eastAsia="zh-TW" w:bidi="zh-TW"/>
    </w:rPr>
  </w:style>
  <w:style w:type="character" w:customStyle="1" w:styleId="240">
    <w:name w:val="font61"/>
    <w:autoRedefine/>
    <w:qFormat/>
    <w:uiPriority w:val="0"/>
    <w:rPr>
      <w:rFonts w:hint="eastAsia" w:ascii="宋体" w:hAnsi="宋体" w:eastAsia="宋体" w:cs="宋体"/>
      <w:color w:val="000000"/>
      <w:sz w:val="20"/>
      <w:szCs w:val="20"/>
      <w:u w:val="none"/>
      <w:vertAlign w:val="superscript"/>
    </w:rPr>
  </w:style>
  <w:style w:type="character" w:customStyle="1" w:styleId="241">
    <w:name w:val="font51"/>
    <w:basedOn w:val="37"/>
    <w:autoRedefine/>
    <w:qFormat/>
    <w:uiPriority w:val="0"/>
    <w:rPr>
      <w:rFonts w:hint="eastAsia" w:ascii="宋体" w:hAnsi="宋体" w:eastAsia="宋体" w:cs="宋体"/>
      <w:color w:val="000000"/>
      <w:sz w:val="20"/>
      <w:szCs w:val="20"/>
      <w:u w:val="none"/>
    </w:rPr>
  </w:style>
  <w:style w:type="paragraph" w:customStyle="1" w:styleId="242">
    <w:name w:val="样式 表内容 + 行距: 固定值 28 磅"/>
    <w:basedOn w:val="93"/>
    <w:qFormat/>
    <w:uiPriority w:val="0"/>
    <w:pPr>
      <w:spacing w:line="240" w:lineRule="auto"/>
    </w:pPr>
    <w:rPr>
      <w:rFonts w:cs="宋体"/>
      <w:szCs w:val="20"/>
    </w:rPr>
  </w:style>
  <w:style w:type="paragraph" w:customStyle="1" w:styleId="243">
    <w:name w:val="_正文格式"/>
    <w:basedOn w:val="1"/>
    <w:qFormat/>
    <w:uiPriority w:val="0"/>
    <w:pPr>
      <w:spacing w:line="560" w:lineRule="exact"/>
      <w:ind w:firstLine="200" w:firstLineChars="200"/>
    </w:pPr>
    <w:rPr>
      <w:rFonts w:eastAsia="仿宋_GB2312"/>
      <w:sz w:val="28"/>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38.png"/><Relationship Id="rId98" Type="http://schemas.openxmlformats.org/officeDocument/2006/relationships/image" Target="media/image37.png"/><Relationship Id="rId97" Type="http://schemas.openxmlformats.org/officeDocument/2006/relationships/image" Target="media/image36.jpeg"/><Relationship Id="rId96" Type="http://schemas.openxmlformats.org/officeDocument/2006/relationships/image" Target="media/image35.jpeg"/><Relationship Id="rId95" Type="http://schemas.openxmlformats.org/officeDocument/2006/relationships/image" Target="media/image34.jpeg"/><Relationship Id="rId94" Type="http://schemas.openxmlformats.org/officeDocument/2006/relationships/image" Target="media/image33.png"/><Relationship Id="rId93" Type="http://schemas.openxmlformats.org/officeDocument/2006/relationships/image" Target="media/image32.png"/><Relationship Id="rId92" Type="http://schemas.openxmlformats.org/officeDocument/2006/relationships/image" Target="media/image31.wmf"/><Relationship Id="rId91" Type="http://schemas.openxmlformats.org/officeDocument/2006/relationships/oleObject" Target="embeddings/oleObject27.bin"/><Relationship Id="rId90" Type="http://schemas.openxmlformats.org/officeDocument/2006/relationships/image" Target="media/image30.wmf"/><Relationship Id="rId9" Type="http://schemas.openxmlformats.org/officeDocument/2006/relationships/footer" Target="footer3.xml"/><Relationship Id="rId89" Type="http://schemas.openxmlformats.org/officeDocument/2006/relationships/oleObject" Target="embeddings/oleObject26.bin"/><Relationship Id="rId88" Type="http://schemas.openxmlformats.org/officeDocument/2006/relationships/image" Target="media/image29.wmf"/><Relationship Id="rId87" Type="http://schemas.openxmlformats.org/officeDocument/2006/relationships/oleObject" Target="embeddings/oleObject25.bin"/><Relationship Id="rId86" Type="http://schemas.openxmlformats.org/officeDocument/2006/relationships/image" Target="media/image28.wmf"/><Relationship Id="rId85" Type="http://schemas.openxmlformats.org/officeDocument/2006/relationships/oleObject" Target="embeddings/oleObject24.bin"/><Relationship Id="rId84" Type="http://schemas.openxmlformats.org/officeDocument/2006/relationships/image" Target="media/image27.wmf"/><Relationship Id="rId83" Type="http://schemas.openxmlformats.org/officeDocument/2006/relationships/oleObject" Target="embeddings/oleObject23.bin"/><Relationship Id="rId82" Type="http://schemas.openxmlformats.org/officeDocument/2006/relationships/image" Target="media/image26.wmf"/><Relationship Id="rId81" Type="http://schemas.openxmlformats.org/officeDocument/2006/relationships/oleObject" Target="embeddings/oleObject22.bin"/><Relationship Id="rId80" Type="http://schemas.openxmlformats.org/officeDocument/2006/relationships/image" Target="media/image25.wmf"/><Relationship Id="rId8" Type="http://schemas.openxmlformats.org/officeDocument/2006/relationships/footer" Target="footer2.xml"/><Relationship Id="rId79" Type="http://schemas.openxmlformats.org/officeDocument/2006/relationships/oleObject" Target="embeddings/oleObject21.bin"/><Relationship Id="rId78" Type="http://schemas.openxmlformats.org/officeDocument/2006/relationships/image" Target="media/image24.wmf"/><Relationship Id="rId77" Type="http://schemas.openxmlformats.org/officeDocument/2006/relationships/oleObject" Target="embeddings/oleObject20.bin"/><Relationship Id="rId76" Type="http://schemas.openxmlformats.org/officeDocument/2006/relationships/image" Target="media/image23.wmf"/><Relationship Id="rId75" Type="http://schemas.openxmlformats.org/officeDocument/2006/relationships/oleObject" Target="embeddings/oleObject19.bin"/><Relationship Id="rId74" Type="http://schemas.openxmlformats.org/officeDocument/2006/relationships/image" Target="media/image22.wmf"/><Relationship Id="rId73" Type="http://schemas.openxmlformats.org/officeDocument/2006/relationships/oleObject" Target="embeddings/oleObject18.bin"/><Relationship Id="rId72" Type="http://schemas.openxmlformats.org/officeDocument/2006/relationships/image" Target="media/image21.wmf"/><Relationship Id="rId71" Type="http://schemas.openxmlformats.org/officeDocument/2006/relationships/oleObject" Target="embeddings/oleObject17.bin"/><Relationship Id="rId70" Type="http://schemas.openxmlformats.org/officeDocument/2006/relationships/image" Target="media/image20.wmf"/><Relationship Id="rId7" Type="http://schemas.openxmlformats.org/officeDocument/2006/relationships/footer" Target="footer1.xml"/><Relationship Id="rId69" Type="http://schemas.openxmlformats.org/officeDocument/2006/relationships/oleObject" Target="embeddings/oleObject16.bin"/><Relationship Id="rId68" Type="http://schemas.openxmlformats.org/officeDocument/2006/relationships/image" Target="media/image19.wmf"/><Relationship Id="rId67" Type="http://schemas.openxmlformats.org/officeDocument/2006/relationships/oleObject" Target="embeddings/oleObject15.bin"/><Relationship Id="rId66" Type="http://schemas.openxmlformats.org/officeDocument/2006/relationships/image" Target="media/image18.wmf"/><Relationship Id="rId65" Type="http://schemas.openxmlformats.org/officeDocument/2006/relationships/oleObject" Target="embeddings/oleObject14.bin"/><Relationship Id="rId64" Type="http://schemas.openxmlformats.org/officeDocument/2006/relationships/image" Target="media/image17.wmf"/><Relationship Id="rId63" Type="http://schemas.openxmlformats.org/officeDocument/2006/relationships/oleObject" Target="embeddings/oleObject13.bin"/><Relationship Id="rId62" Type="http://schemas.openxmlformats.org/officeDocument/2006/relationships/image" Target="media/image16.wmf"/><Relationship Id="rId61" Type="http://schemas.openxmlformats.org/officeDocument/2006/relationships/oleObject" Target="embeddings/oleObject12.bin"/><Relationship Id="rId60" Type="http://schemas.openxmlformats.org/officeDocument/2006/relationships/oleObject" Target="embeddings/oleObject11.bin"/><Relationship Id="rId6" Type="http://schemas.openxmlformats.org/officeDocument/2006/relationships/header" Target="header2.xml"/><Relationship Id="rId59" Type="http://schemas.openxmlformats.org/officeDocument/2006/relationships/image" Target="media/image15.wmf"/><Relationship Id="rId58" Type="http://schemas.openxmlformats.org/officeDocument/2006/relationships/oleObject" Target="embeddings/oleObject10.bin"/><Relationship Id="rId57" Type="http://schemas.openxmlformats.org/officeDocument/2006/relationships/image" Target="media/image14.wmf"/><Relationship Id="rId56" Type="http://schemas.openxmlformats.org/officeDocument/2006/relationships/oleObject" Target="embeddings/oleObject9.bin"/><Relationship Id="rId55" Type="http://schemas.openxmlformats.org/officeDocument/2006/relationships/image" Target="media/image13.wmf"/><Relationship Id="rId54" Type="http://schemas.openxmlformats.org/officeDocument/2006/relationships/oleObject" Target="embeddings/oleObject8.bin"/><Relationship Id="rId53" Type="http://schemas.openxmlformats.org/officeDocument/2006/relationships/image" Target="media/image12.wmf"/><Relationship Id="rId52" Type="http://schemas.openxmlformats.org/officeDocument/2006/relationships/oleObject" Target="embeddings/oleObject7.bin"/><Relationship Id="rId51" Type="http://schemas.openxmlformats.org/officeDocument/2006/relationships/image" Target="media/image11.wmf"/><Relationship Id="rId50" Type="http://schemas.openxmlformats.org/officeDocument/2006/relationships/image" Target="media/image10.wmf"/><Relationship Id="rId5" Type="http://schemas.openxmlformats.org/officeDocument/2006/relationships/header" Target="header1.xml"/><Relationship Id="rId49" Type="http://schemas.openxmlformats.org/officeDocument/2006/relationships/image" Target="media/image9.wmf"/><Relationship Id="rId48" Type="http://schemas.openxmlformats.org/officeDocument/2006/relationships/oleObject" Target="embeddings/oleObject6.bin"/><Relationship Id="rId47" Type="http://schemas.openxmlformats.org/officeDocument/2006/relationships/image" Target="media/image8.wmf"/><Relationship Id="rId46" Type="http://schemas.openxmlformats.org/officeDocument/2006/relationships/oleObject" Target="embeddings/oleObject5.bin"/><Relationship Id="rId45" Type="http://schemas.openxmlformats.org/officeDocument/2006/relationships/image" Target="media/image7.wmf"/><Relationship Id="rId44" Type="http://schemas.openxmlformats.org/officeDocument/2006/relationships/image" Target="media/image6.wmf"/><Relationship Id="rId43" Type="http://schemas.openxmlformats.org/officeDocument/2006/relationships/oleObject" Target="embeddings/oleObject4.bin"/><Relationship Id="rId42" Type="http://schemas.openxmlformats.org/officeDocument/2006/relationships/image" Target="media/image5.wmf"/><Relationship Id="rId41" Type="http://schemas.openxmlformats.org/officeDocument/2006/relationships/oleObject" Target="embeddings/oleObject3.bin"/><Relationship Id="rId40" Type="http://schemas.openxmlformats.org/officeDocument/2006/relationships/image" Target="media/image4.wmf"/><Relationship Id="rId4" Type="http://schemas.openxmlformats.org/officeDocument/2006/relationships/endnotes" Target="endnotes.xml"/><Relationship Id="rId39" Type="http://schemas.openxmlformats.org/officeDocument/2006/relationships/oleObject" Target="embeddings/oleObject2.bin"/><Relationship Id="rId38" Type="http://schemas.openxmlformats.org/officeDocument/2006/relationships/image" Target="media/image3.png"/><Relationship Id="rId37" Type="http://schemas.openxmlformats.org/officeDocument/2006/relationships/image" Target="media/image2.wmf"/><Relationship Id="rId36" Type="http://schemas.openxmlformats.org/officeDocument/2006/relationships/oleObject" Target="embeddings/oleObject1.bin"/><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header" Target="header6.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customXml" Target="../customXml/item3.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39.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74a25162-0a46-46e6-8e0d-5d2751c74ed6</errorID>
      <errorWord>文化自然遗产</errorWord>
      <group>L1_Knowledge</group>
      <groupName>知识性问题</groupName>
      <ability>L2_Knowledge</ability>
      <abilityName>其他知识</abilityName>
      <candidateList>
        <item>文化和自然遗产</item>
      </candidateList>
      <explain/>
      <paraID>7F6859F8</paraID>
      <start>84</start>
      <end>90</end>
      <status>unmodified</status>
      <modifiedWord/>
      <trackRevisions>false</trackRevisions>
    </reviewItem>
    <reviewItem>
      <errorID>2b291941-c372-458c-8fca-d7c7a5f73127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64</start>
      <end>65</end>
      <status>unmodified</status>
      <modifiedWord/>
      <trackRevisions>false</trackRevisions>
    </reviewItem>
    <reviewItem>
      <errorID>4bdce620-ef25-4b2e-86e3-9db967291ff2</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69</start>
      <end>70</end>
      <status>unmodified</status>
      <modifiedWord/>
      <trackRevisions>false</trackRevisions>
    </reviewItem>
    <reviewItem>
      <errorID>eac5e47d-5f32-45b0-8c62-abeb9c435517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303</start>
      <end>304</end>
      <status>unmodified</status>
      <modifiedWord/>
      <trackRevisions>false</trackRevisions>
    </reviewItem>
    <reviewItem>
      <errorID>42784662-3a4f-498c-9e02-c9b2bd2b9bf6</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308</start>
      <end>309</end>
      <status>unmodified</status>
      <modifiedWord/>
      <trackRevisions>false</trackRevisions>
    </reviewItem>
    <reviewItem>
      <errorID>7a1cdb2c-7eeb-4fd3-915a-90ca54246b67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330</start>
      <end>331</end>
      <status>unmodified</status>
      <modifiedWord/>
      <trackRevisions>false</trackRevisions>
    </reviewItem>
    <reviewItem>
      <errorID>e60820ca-d83a-4aca-a2d8-5f4573285eb8</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335</start>
      <end>336</end>
      <status>unmodified</status>
      <modifiedWord/>
      <trackRevisions>false</trackRevisions>
    </reviewItem>
    <reviewItem>
      <errorID>133d8a6c-92ed-4d7d-a6c6-8c481fa3e7b4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454</start>
      <end>455</end>
      <status>unmodified</status>
      <modifiedWord/>
      <trackRevisions>false</trackRevisions>
    </reviewItem>
    <reviewItem>
      <errorID>f78cca66-73dc-4bd1-b14c-ad64dfffcc74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457</start>
      <end>458</end>
      <status>unmodified</status>
      <modifiedWord/>
      <trackRevisions>false</trackRevisions>
    </reviewItem>
    <reviewItem>
      <errorID>5eb806fd-eb61-4a35-93a5-3bcaa4cc0b38</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475</start>
      <end>476</end>
      <status>unmodified</status>
      <modifiedWord/>
      <trackRevisions>false</trackRevisions>
    </reviewItem>
    <reviewItem>
      <errorID>600393e8-3a94-40ee-98a0-651fd3be3884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495</start>
      <end>496</end>
      <status>unmodified</status>
      <modifiedWord/>
      <trackRevisions>false</trackRevisions>
    </reviewItem>
    <reviewItem>
      <errorID>dab41ab7-4d37-4fb6-91e4-e2cde0538536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2249D7A</paraID>
      <start>26</start>
      <end>27</end>
      <status>unmodified</status>
      <modifiedWord/>
      <trackRevisions>false</trackRevisions>
    </reviewItem>
    <reviewItem>
      <errorID>e736036e-04a0-467c-8dd4-11b0520daa95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39DADF18</paraID>
      <start>39</start>
      <end>40</end>
      <status>unmodified</status>
      <modifiedWord/>
      <trackRevisions>false</trackRevisions>
    </reviewItem>
    <reviewItem>
      <errorID>06ec0d58-19e4-4554-b751-47dc9f60f994</errorID>
      <errorWord>第二十条、</errorWord>
      <group>L1_Punc</group>
      <groupName>标点问题</groupName>
      <ability>L2_Punc</ability>
      <abilityName>标点符号检查</abilityName>
      <candidateList>
        <item>第二十条，</item>
      </candidateList>
      <explain>连接词前后不宜使用顿号，建议使用逗号。</explain>
      <paraID>2B0E9C29</paraID>
      <start>0</start>
      <end>5</end>
      <status>unmodified</status>
      <modifiedWord/>
      <trackRevisions>false</trackRevisions>
    </reviewItem>
    <reviewItem>
      <errorID>b13991f9-cb49-4a67-926b-7e7e26b28452</errorID>
      <errorWord>电解业</errorWord>
      <group>L1_Word</group>
      <groupName>字词问题</groupName>
      <ability>L2_Typo</ability>
      <abilityName>字词错误</abilityName>
      <candidateList>
        <item>电解液</item>
      </candidateList>
      <explain>存在发音相同字词的误用。</explain>
      <paraID>41C15294</paraID>
      <start>3</start>
      <end>6</end>
      <status>unmodified</status>
      <modifiedWord/>
      <trackRevisions>false</trackRevisions>
    </reviewItem>
    <reviewItem>
      <errorID>28d3d3ff-a39c-4d9e-9de2-9ddc3ab1b8de</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134CC44F</paraID>
      <start>1</start>
      <end>8</end>
      <status>unmodified</status>
      <modifiedWord/>
      <trackRevisions>false</trackRevisions>
    </reviewItem>
    <reviewItem>
      <errorID>9f7386be-24f9-4ebc-9ddd-e3d7f0c2c104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36CC5FD</paraID>
      <start>18</start>
      <end>19</end>
      <status>unmodified</status>
      <modifiedWord/>
      <trackRevisions>false</trackRevisions>
    </reviewItem>
    <reviewItem>
      <errorID>f1e216eb-a2b7-4cca-ae33-4b33f3c48485</errorID>
      <errorWord>新疆自治区</errorWord>
      <group>L1_Sensitive</group>
      <groupName>敏感问题</groupName>
      <ability>L2_UserSensitive</ability>
      <abilityName>自定义敏感词</abilityName>
      <candidateList/>
      <explain>来自自定义敏感词库。</explain>
      <paraID>19C89E5A</paraID>
      <start>5</start>
      <end>10</end>
      <status>ignored</status>
      <modifiedWord/>
      <trackRevisions>false</trackRevisions>
    </reviewItem>
    <reviewItem>
      <errorID>1b82d6aa-ddc7-4abb-9aa7-183bdfe30973</errorID>
      <errorWord>六价铬</errorWord>
      <group>L1_Other</group>
      <groupName>其他问题</groupName>
      <ability>L2_UserTypo</ability>
      <abilityName>自定义错误</abilityName>
      <candidateList>
        <item>铬（六价）</item>
      </candidateList>
      <explain>来自自定义错词库。</explain>
      <paraID>43F4FD21</paraID>
      <start>30</start>
      <end>33</end>
      <status>unmodified</status>
      <modifiedWord/>
      <trackRevisions>false</trackRevisions>
    </reviewItem>
    <reviewItem>
      <errorID>33d687a8-6028-49bb-91cf-5afee9980e0a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7F188FF2</paraID>
      <start>0</start>
      <end>2</end>
      <status>unmodified</status>
      <modifiedWord/>
      <trackRevisions>false</trackRevisions>
    </reviewItem>
    <reviewItem>
      <errorID>d574f9fe-60c4-4d49-bbfc-3a1f2062ef28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1071F69C</paraID>
      <start>0</start>
      <end>2</end>
      <status>unmodified</status>
      <modifiedWord/>
      <trackRevisions>false</trackRevisions>
    </reviewItem>
    <reviewItem>
      <errorID>70346261-202a-47dd-aea5-4b326a24dc21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76DFD0D6</paraID>
      <start>0</start>
      <end>2</end>
      <status>unmodified</status>
      <modifiedWord/>
      <trackRevisions>false</trackRevisions>
    </reviewItem>
    <reviewItem>
      <errorID>1aae4f25-f443-463a-a680-4f3929d1f077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6744E3F3</paraID>
      <start>0</start>
      <end>2</end>
      <status>unmodified</status>
      <modifiedWord/>
      <trackRevisions>false</trackRevisions>
    </reviewItem>
    <reviewItem>
      <errorID>47a657b5-483c-4cca-88b8-594dcdb48d9a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2516659F</paraID>
      <start>0</start>
      <end>2</end>
      <status>unmodified</status>
      <modifiedWord/>
      <trackRevisions>false</trackRevisions>
    </reviewItem>
    <reviewItem>
      <errorID>30795125-77f0-47f2-ba22-c50d98564f6d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66F440AD</paraID>
      <start>0</start>
      <end>2</end>
      <status>unmodified</status>
      <modifiedWord/>
      <trackRevisions>false</trackRevisions>
    </reviewItem>
    <reviewItem>
      <errorID>d431f11b-6edd-4d0a-ab5f-887763e9e368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763FA7A9</paraID>
      <start>0</start>
      <end>2</end>
      <status>unmodified</status>
      <modifiedWord/>
      <trackRevisions>false</trackRevisions>
    </reviewItem>
    <reviewItem>
      <errorID>f006e5ed-612d-43d2-b79a-814ee73b65eb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B7A609F</paraID>
      <start>0</start>
      <end>2</end>
      <status>unmodified</status>
      <modifiedWord/>
      <trackRevisions>false</trackRevisions>
    </reviewItem>
    <reviewItem>
      <errorID>3badefde-a14d-4dbe-ac18-a4d76f9c6aab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3FF02448</paraID>
      <start>0</start>
      <end>2</end>
      <status>unmodified</status>
      <modifiedWord/>
      <trackRevisions>false</trackRevisions>
    </reviewItem>
    <reviewItem>
      <errorID>377048b5-2db7-4b9f-a81c-d084694cf91a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6F1E7E73</paraID>
      <start>0</start>
      <end>2</end>
      <status>unmodified</status>
      <modifiedWord/>
      <trackRevisions>false</trackRevisions>
    </reviewItem>
    <reviewItem>
      <errorID>34374f59-15b2-4410-84ed-4618a22cc301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445312E7</paraID>
      <start>0</start>
      <end>2</end>
      <status>unmodified</status>
      <modifiedWord/>
      <trackRevisions>false</trackRevisions>
    </reviewItem>
    <reviewItem>
      <errorID>d3696fec-1e0c-4f7c-b1e0-f16a0c33c483</errorID>
      <errorWord>目</errorWord>
      <group>L1_Word</group>
      <groupName>字词问题</groupName>
      <ability>L2_Typo</ability>
      <abilityName>字词错误</abilityName>
      <candidateList>
        <item>目是</item>
      </candidateList>
      <explain/>
      <paraID>4A48F760</paraID>
      <start>2</start>
      <end>3</end>
      <status>unmodified</status>
      <modifiedWord/>
      <trackRevisions>false</trackRevisions>
    </reviewItem>
    <reviewItem>
      <errorID>dff8d678-24d8-4427-bc6a-f45896b078e9</errorID>
      <errorWord>~</errorWord>
      <group>L1_Format</group>
      <groupName>格式问题</groupName>
      <ability>L2_HalfPunc</ability>
      <abilityName>全半角检查</abilityName>
      <candidateList>
        <item>～</item>
      </candidateList>
      <explain>文本全半角错误。</explain>
      <paraID> 76AF340</paraID>
      <start>33</start>
      <end>34</end>
      <status>unmodified</status>
      <modifiedWord/>
      <trackRevisions>false</trackRevisions>
    </reviewItem>
    <reviewItem>
      <errorID>4b832d3c-d692-4f1e-9bd2-6057acd24786</errorID>
      <errorWord>潜层</errorWord>
      <group>L1_Word</group>
      <groupName>字词问题</groupName>
      <ability>L2_Typo</ability>
      <abilityName>字词错误</abilityName>
      <candidateList>
        <item>浅层</item>
      </candidateList>
      <explain/>
      <paraID>1D618E2A</paraID>
      <start>18</start>
      <end>20</end>
      <status>unmodified</status>
      <modifiedWord/>
      <trackRevisions>false</trackRevisions>
    </reviewItem>
    <reviewItem>
      <errorID>0a9bcdd6-eda3-4f59-bb91-49c5fa41a5f3</errorID>
      <errorWord>返回破碎机</errorWord>
      <group>L1_Knowledge</group>
      <groupName>知识性问题</groupName>
      <ability>L2_Term</ability>
      <abilityName>专业术语</abilityName>
      <candidateList>
        <item>旋回破碎机</item>
      </candidateList>
      <explain/>
      <paraID>31B81268</paraID>
      <start>121</start>
      <end>126</end>
      <status>unmodified</status>
      <modifiedWord/>
      <trackRevisions>false</trackRevisions>
    </reviewItem>
    <reviewItem>
      <errorID>684dd3c3-e0fc-44d4-9cfb-6f9cb7fd025a</errorID>
      <errorWord>连续性生产</errorWord>
      <group>L1_Knowledge</group>
      <groupName>知识性问题</groupName>
      <ability>L2_Term</ability>
      <abilityName>专业术语</abilityName>
      <candidateList>
        <item>连续型生产</item>
      </candidateList>
      <explain/>
      <paraID>1BE9CCB3</paraID>
      <start>54</start>
      <end>59</end>
      <status>unmodified</status>
      <modifiedWord/>
      <trackRevisions>false</trackRevisions>
    </reviewItem>
    <reviewItem>
      <errorID>8e39146d-895a-489d-bd06-ae3278507b06</errorID>
      <errorWord>电积</errorWord>
      <group>L1_Word</group>
      <groupName>字词问题</groupName>
      <ability>L2_Typo</ability>
      <abilityName>字词错误</abilityName>
      <candidateList>
        <item>电解</item>
      </candidateList>
      <explain>存在发音相近字词的误用。</explain>
      <paraID>18E3B807</paraID>
      <start>3</start>
      <end>5</end>
      <status>unmodified</status>
      <modifiedWord/>
      <trackRevisions>false</trackRevisions>
    </reviewItem>
    <reviewItem>
      <errorID>40db2507-53e7-4afc-87e5-c0c62dfa0aaf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18E3B807</paraID>
      <start>67</start>
      <end>68</end>
      <status>unmodified</status>
      <modifiedWord/>
      <trackRevisions>false</trackRevisions>
    </reviewItem>
    <reviewItem>
      <errorID>06572513-6c2d-4565-aa22-654915da08d5</errorID>
      <errorWord>，</errorWord>
      <group>L1_Word</group>
      <groupName>字词问题</groupName>
      <ability>L2_Typo</ability>
      <abilityName>字词错误</abilityName>
      <candidateList>
        <item>，有</item>
      </candidateList>
      <explain/>
      <paraID>43A91D5A</paraID>
      <start>87</start>
      <end>88</end>
      <status>unmodified</status>
      <modifiedWord/>
      <trackRevisions>false</trackRevisions>
    </reviewItem>
    <reviewItem>
      <errorID>858668f1-4494-4bc6-985b-b2380ab6f082</errorID>
      <errorWord>(</errorWord>
      <group>L1_Format</group>
      <groupName>格式问题</groupName>
      <ability>L2_HalfPunc</ability>
      <abilityName>全半角检查</abilityName>
      <candidateList>
        <item>（</item>
      </candidateList>
      <explain>文本全半角错误。</explain>
      <paraID>6D923F45</paraID>
      <start>11</start>
      <end>12</end>
      <status>unmodified</status>
      <modifiedWord/>
      <trackRevisions>false</trackRevisions>
    </reviewItem>
    <reviewItem>
      <errorID>edcbc1af-5185-4508-a930-0397d92fcbc3</errorID>
      <errorWord>)</errorWord>
      <group>L1_Format</group>
      <groupName>格式问题</groupName>
      <ability>L2_HalfPunc</ability>
      <abilityName>全半角检查</abilityName>
      <candidateList>
        <item>）</item>
      </candidateList>
      <explain>文本全半角错误。</explain>
      <paraID>6D923F45</paraID>
      <start>21</start>
      <end>22</end>
      <status>unmodified</status>
      <modifiedWord/>
      <trackRevisions>false</trackRevisions>
    </reviewItem>
    <reviewItem>
      <errorID>d2c61de0-3c8b-4ffd-8276-67b328124437</errorID>
      <errorWord>4%~10%</errorWord>
      <group>L1_Knowledge</group>
      <groupName>知识性问题</groupName>
      <ability>L2_Knowledge</ability>
      <abilityName>其他知识</abilityName>
      <candidateList>
        <item>4%～10%</item>
      </candidateList>
      <explain>1. “4%~10%”中的单位“%”仅出现在后一个数字上，容易引起歧义；根据《现代汉语标点符号数字用法规范手册》，数字表示范围两边需要使用统一的格式。2. 根据标点国标 4.13 中的规则，数字、时间或地域连接符应使用（视觉上更长的）“—”或“～”。</explain>
      <paraID>6CC6C111</paraID>
      <start>66</start>
      <end>72</end>
      <status>unmodified</status>
      <modifiedWord/>
      <trackRevisions>false</trackRevisions>
    </reviewItem>
    <reviewItem>
      <errorID>e585d6a3-9e3e-46ea-9d01-9776aee54f70</errorID>
      <errorWord>2%~5%</errorWord>
      <group>L1_Knowledge</group>
      <groupName>知识性问题</groupName>
      <ability>L2_Knowledge</ability>
      <abilityName>其他知识</abilityName>
      <candidateList>
        <item>2%～5%</item>
      </candidateList>
      <explain>1. “2%~5%”中的单位“%”仅出现在后一个数字上，容易引起歧义；根据《现代汉语标点符号数字用法规范手册》，数字表示范围两边需要使用统一的格式。2. 根据标点国标 4.13 中的规则，数字、时间或地域连接符应使用（视觉上更长的）“—”或“～”。</explain>
      <paraID>6CC6C111</paraID>
      <start>85</start>
      <end>90</end>
      <status>unmodified</status>
      <modifiedWord/>
      <trackRevisions>false</trackRevisions>
    </reviewItem>
    <reviewItem>
      <errorID>33252b3c-e6af-4e6a-a3f9-cea925f5a2e2</errorID>
      <errorWord>1%~5%</errorWord>
      <group>L1_Knowledge</group>
      <groupName>知识性问题</groupName>
      <ability>L2_Knowledge</ability>
      <abilityName>其他知识</abilityName>
      <candidateList>
        <item>1%～5%</item>
      </candidateList>
      <explain>1. “1%~5%”中的单位“%”仅出现在后一个数字上，容易引起歧义；根据《现代汉语标点符号数字用法规范手册》，数字表示范围两边需要使用统一的格式。2. 根据标点国标 4.13 中的规则，数字、时间或地域连接符应使用（视觉上更长的）“—”或“～”。</explain>
      <paraID>6CC6C111</paraID>
      <start>108</start>
      <end>113</end>
      <status>unmodified</status>
      <modifiedWord/>
      <trackRevisions>false</trackRevisions>
    </reviewItem>
    <reviewItem>
      <errorID>1fe8285c-15aa-4a97-bd1e-f90e6e1e3f70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4E8787B</paraID>
      <start>105</start>
      <end>106</end>
      <status>unmodified</status>
      <modifiedWord/>
      <trackRevisions>false</trackRevisions>
    </reviewItem>
    <reviewItem>
      <errorID>bf868fcc-2e5d-4549-9329-89f5f897cf3f</errorID>
      <errorWord>二破</errorWord>
      <group>L1_Knowledge</group>
      <groupName>知识性问题</groupName>
      <ability>L2_Knowledge</ability>
      <abilityName>其他知识</abilityName>
      <candidateList>
        <item>二道</item>
      </candidateList>
      <explain/>
      <paraID>14AC6E1F</paraID>
      <start>64</start>
      <end>66</end>
      <status>unmodified</status>
      <modifiedWord/>
      <trackRevisions>false</trackRevisions>
    </reviewItem>
    <reviewItem>
      <errorID>0b776893-e58c-4a00-bbff-1cf632c55333</errorID>
      <errorWord>~</errorWord>
      <group>L1_Format</group>
      <groupName>格式问题</groupName>
      <ability>L2_HalfPunc</ability>
      <abilityName>全半角检查</abilityName>
      <candidateList>
        <item>～</item>
      </candidateList>
      <explain>文本全半角错误。</explain>
      <paraID>778D049D</paraID>
      <start>106</start>
      <end>107</end>
      <status>unmodified</status>
      <modifiedWord/>
      <trackRevisions>false</trackRevisions>
    </reviewItem>
    <reviewItem>
      <errorID>efcee830-b19c-4319-add3-3a5c1f8a309a</errorID>
      <errorWord>-</errorWord>
      <group>L1_Format</group>
      <groupName>格式问题</groupName>
      <ability>L2_HalfPunc</ability>
      <abilityName>全半角检查</abilityName>
      <candidateList>
        <item>－</item>
      </candidateList>
      <explain>文本全半角错误。</explain>
      <paraID>3AACF0E9</paraID>
      <start>1</start>
      <end>2</end>
      <status>unmodified</status>
      <modifiedWord/>
      <trackRevisions>false</trackRevisions>
    </reviewItem>
    <reviewItem>
      <errorID>e8f56028-f7c7-4a74-8b7c-270f776cfdbf</errorID>
      <errorWord>-</errorWord>
      <group>L1_Format</group>
      <groupName>格式问题</groupName>
      <ability>L2_HalfPunc</ability>
      <abilityName>全半角检查</abilityName>
      <candidateList>
        <item>－</item>
      </candidateList>
      <explain>文本全半角错误。</explain>
      <paraID>53BBDBCF</paraID>
      <start>1</start>
      <end>2</end>
      <status>unmodified</status>
      <modifiedWord/>
      <trackRevisions>false</trackRevisions>
    </reviewItem>
    <reviewItem>
      <errorID>8a909ef8-1a97-4e98-b0c8-f7b3bd91703c</errorID>
      <errorWord>-</errorWord>
      <group>L1_Format</group>
      <groupName>格式问题</groupName>
      <ability>L2_HalfPunc</ability>
      <abilityName>全半角检查</abilityName>
      <candidateList>
        <item>－</item>
      </candidateList>
      <explain>文本全半角错误。</explain>
      <paraID>2B29393D</paraID>
      <start>1</start>
      <end>2</end>
      <status>unmodified</status>
      <modifiedWord/>
      <trackRevisions>false</trackRevisions>
    </reviewItem>
    <reviewItem>
      <errorID>e7704114-ca67-4f5b-8abf-964b657bddd2</errorID>
      <errorWord>及选</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 6253239</paraID>
      <start>38</start>
      <end>40</end>
      <status>unmodified</status>
      <modifiedWord/>
      <trackRevisions>false</trackRevisions>
    </reviewItem>
    <reviewItem>
      <errorID>0579c344-5695-46e0-82dc-d9a12c1e8c69</errorID>
      <errorWord>-</errorWord>
      <group>L1_Format</group>
      <groupName>格式问题</groupName>
      <ability>L2_HalfPunc</ability>
      <abilityName>全半角检查</abilityName>
      <candidateList>
        <item>－</item>
      </candidateList>
      <explain>文本全半角错误。</explain>
      <paraID> 75C9CBD</paraID>
      <start>21</start>
      <end>22</end>
      <status>unmodified</status>
      <modifiedWord/>
      <trackRevisions>false</trackRevisions>
    </reviewItem>
    <reviewItem>
      <errorID>2a12fa87-55ef-4dda-8a59-a0fff20fea11</errorID>
      <errorWord>绕阻</errorWord>
      <group>L1_Word</group>
      <groupName>字词问题</groupName>
      <ability>L2_Typo</ability>
      <abilityName>字词错误</abilityName>
      <candidateList>
        <item>绕组</item>
      </candidateList>
      <explain>存在发音相同字词的误用。</explain>
      <paraID>62E621F2</paraID>
      <start>109</start>
      <end>111</end>
      <status>unmodified</status>
      <modifiedWord/>
      <trackRevisions>false</trackRevisions>
    </reviewItem>
    <reviewItem>
      <errorID>8755b143-f707-4d1a-9323-b0da83586e26</errorID>
      <errorWord>指标体系以</errorWord>
      <group>L1_Word</group>
      <groupName>字词问题</groupName>
      <ability>L2_Typo</ability>
      <abilityName>字词错误</abilityName>
      <candidateList>
        <item>指标体系</item>
      </candidateList>
      <explain/>
      <paraID>2438258D</paraID>
      <start>127</start>
      <end>132</end>
      <status>unmodified</status>
      <modifiedWord/>
      <trackRevisions>false</trackRevisions>
    </reviewItem>
    <reviewItem>
      <errorID>77c65b04-0af0-444d-9f71-70978fd263a2</errorID>
      <errorWord>-</errorWord>
      <group>L1_Format</group>
      <groupName>格式问题</groupName>
      <ability>L2_HalfPunc</ability>
      <abilityName>全半角检查</abilityName>
      <candidateList>
        <item>－</item>
      </candidateList>
      <explain>文本全半角错误。</explain>
      <paraID> 8A56E69</paraID>
      <start>2</start>
      <end>3</end>
      <status>unmodified</status>
      <modifiedWord/>
      <trackRevisions>false</trackRevisions>
    </reviewItem>
    <reviewItem>
      <errorID>dce7c535-cc05-4fb2-bb36-092bdba54819</errorID>
      <errorWord>*</errorWord>
      <group>L1_Punc</group>
      <groupName>标点问题</groupName>
      <ability>L2_Punc</ability>
      <abilityName>标点符号检查</abilityName>
      <candidateList/>
      <explain/>
      <paraID>686D4CE8</paraID>
      <start>0</start>
      <end>1</end>
      <status>unmodified</status>
      <modifiedWord/>
      <trackRevisions>false</trackRevisions>
    </reviewItem>
    <reviewItem>
      <errorID>dddd58e1-f5bd-4974-a684-e80645886c41</errorID>
      <errorWord>*</errorWord>
      <group>L1_Punc</group>
      <groupName>标点问题</groupName>
      <ability>L2_Punc</ability>
      <abilityName>标点符号检查</abilityName>
      <candidateList/>
      <explain/>
      <paraID>20D313B6</paraID>
      <start>0</start>
      <end>1</end>
      <status>unmodified</status>
      <modifiedWord/>
      <trackRevisions>false</trackRevisions>
    </reviewItem>
    <reviewItem>
      <errorID>ede71546-5b0e-4478-9ce0-8f1f7f1d4293</errorID>
      <errorWord>t/</errorWord>
      <group>L1_Format</group>
      <groupName>格式问题</groupName>
      <ability>L2_Ordinal</ability>
      <abilityName>序号格式</abilityName>
      <candidateList>
        <item>t.</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46A27EA2</paraID>
      <start>0</start>
      <end>2</end>
      <status>unmodified</status>
      <modifiedWord/>
      <trackRevisions>false</trackRevisions>
    </reviewItem>
    <reviewItem>
      <errorID>f632f4fd-88aa-4ece-a886-e0f663cc0279</errorID>
      <errorWord>*</errorWord>
      <group>L1_Punc</group>
      <groupName>标点问题</groupName>
      <ability>L2_Punc</ability>
      <abilityName>标点符号检查</abilityName>
      <candidateList/>
      <explain/>
      <paraID>4127BFDD</paraID>
      <start>0</start>
      <end>1</end>
      <status>unmodified</status>
      <modifiedWord/>
      <trackRevisions>false</trackRevisions>
    </reviewItem>
    <reviewItem>
      <errorID>e69307b5-3d13-4446-aa19-0f9a0bb3c767</errorID>
      <errorWord>法律、法规</errorWord>
      <group>L1_Word</group>
      <groupName>字词问题</groupName>
      <ability>L2_Typo</ability>
      <abilityName>字词错误</abilityName>
      <candidateList>
        <item>法律法规</item>
      </candidateList>
      <explain/>
      <paraID>19A4BC8D</paraID>
      <start>11</start>
      <end>16</end>
      <status>unmodified</status>
      <modifiedWord/>
      <trackRevisions>false</trackRevisions>
    </reviewItem>
    <reviewItem>
      <errorID>886dbdfb-7773-4df6-9666-838145cb9989</errorID>
      <errorWord>法律、法规</errorWord>
      <group>L1_Word</group>
      <groupName>字词问题</groupName>
      <ability>L2_Typo</ability>
      <abilityName>字词错误</abilityName>
      <candidateList>
        <item>法律法规</item>
      </candidateList>
      <explain/>
      <paraID>5ADA7445</paraID>
      <start>14</start>
      <end>19</end>
      <status>unmodified</status>
      <modifiedWord/>
      <trackRevisions>false</trackRevisions>
    </reviewItem>
    <reviewItem>
      <errorID>c4a3196f-c45e-4e14-ad4a-52183f640dbf</errorID>
      <errorWord>*</errorWord>
      <group>L1_Punc</group>
      <groupName>标点问题</groupName>
      <ability>L2_Punc</ability>
      <abilityName>标点符号检查</abilityName>
      <candidateList/>
      <explain/>
      <paraID>388869F0</paraID>
      <start>0</start>
      <end>1</end>
      <status>unmodified</status>
      <modifiedWord/>
      <trackRevisions>false</trackRevisions>
    </reviewItem>
    <reviewItem>
      <errorID>ca254e2c-9627-4aa0-a842-040447e7cb2c</errorID>
      <errorWord>制订有</errorWord>
      <group>L1_Word</group>
      <groupName>字词问题</groupName>
      <ability>L2_Typo</ability>
      <abilityName>字词错误</abilityName>
      <candidateList>
        <item>制订</item>
      </candidateList>
      <explain/>
      <paraID>6C94C050</paraID>
      <start>8</start>
      <end>11</end>
      <status>unmodified</status>
      <modifiedWord/>
      <trackRevisions>false</trackRevisions>
    </reviewItem>
    <reviewItem>
      <errorID>3a791b96-e1d6-4ae6-81f3-fa8703520c57</errorID>
      <errorWord>制订有</errorWord>
      <group>L1_Word</group>
      <groupName>字词问题</groupName>
      <ability>L2_Typo</ability>
      <abilityName>字词错误</abilityName>
      <candidateList>
        <item>制订</item>
      </candidateList>
      <explain/>
      <paraID>350D94F1</paraID>
      <start>8</start>
      <end>11</end>
      <status>unmodified</status>
      <modifiedWord/>
      <trackRevisions>false</trackRevisions>
    </reviewItem>
    <reviewItem>
      <errorID>d9d5086b-69bf-4ed8-b790-fb7c01c7d071</errorID>
      <errorWord>制订有</errorWord>
      <group>L1_Word</group>
      <groupName>字词问题</groupName>
      <ability>L2_Typo</ability>
      <abilityName>字词错误</abilityName>
      <candidateList>
        <item>制订</item>
      </candidateList>
      <explain/>
      <paraID>6633B205</paraID>
      <start>8</start>
      <end>11</end>
      <status>unmodified</status>
      <modifiedWord/>
      <trackRevisions>false</trackRevisions>
    </reviewItem>
    <reviewItem>
      <errorID>5206116e-4d1e-4c22-a35b-947eb8bab36b</errorID>
      <errorWord>*</errorWord>
      <group>L1_Punc</group>
      <groupName>标点问题</groupName>
      <ability>L2_Punc</ability>
      <abilityName>标点符号检查</abilityName>
      <candidateList/>
      <explain/>
      <paraID>7E3F52B7</paraID>
      <start>0</start>
      <end>1</end>
      <status>unmodified</status>
      <modifiedWord/>
      <trackRevisions>false</trackRevisions>
    </reviewItem>
    <reviewItem>
      <errorID>bba75868-cb6e-42bf-997f-bfede771c639</errorID>
      <errorWord>*</errorWord>
      <group>L1_Punc</group>
      <groupName>标点问题</groupName>
      <ability>L2_Punc</ability>
      <abilityName>标点符号检查</abilityName>
      <candidateList/>
      <explain/>
      <paraID>1280A5D1</paraID>
      <start>0</start>
      <end>1</end>
      <status>unmodified</status>
      <modifiedWord/>
      <trackRevisions>false</trackRevisions>
    </reviewItem>
    <reviewItem>
      <errorID>3e47b076-a2ee-4c39-b3e8-b3d8a6c9bf6a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6D548214</paraID>
      <start>165</start>
      <end>166</end>
      <status>unmodified</status>
      <modifiedWord/>
      <trackRevisions>false</trackRevisions>
    </reviewItem>
    <reviewItem>
      <errorID>beb44b99-1dbf-46d6-960c-058bf2f93528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268884F2</paraID>
      <start>111</start>
      <end>112</end>
      <status>unmodified</status>
      <modifiedWord/>
      <trackRevisions>false</trackRevisions>
    </reviewItem>
    <reviewItem>
      <errorID>ccdf8c53-a0e4-466c-9fbd-d7b0e423775f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268884F2</paraID>
      <start>162</start>
      <end>163</end>
      <status>unmodified</status>
      <modifiedWord/>
      <trackRevisions>false</trackRevisions>
    </reviewItem>
    <reviewItem>
      <errorID>9ea8d943-7cde-4dcb-9cf3-7e5cae48aaea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268884F2</paraID>
      <start>200</start>
      <end>201</end>
      <status>unmodified</status>
      <modifiedWord/>
      <trackRevisions>false</trackRevisions>
    </reviewItem>
    <reviewItem>
      <errorID>a452f3db-02b6-4646-bacb-0c9b7862f0f1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268884F2</paraID>
      <start>228</start>
      <end>229</end>
      <status>unmodified</status>
      <modifiedWord/>
      <trackRevisions>false</trackRevisions>
    </reviewItem>
    <reviewItem>
      <errorID>89b26f53-8128-4f52-a138-a3c9075c9248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36C9ADB0</paraID>
      <start>51</start>
      <end>52</end>
      <status>unmodified</status>
      <modifiedWord/>
      <trackRevisions>false</trackRevisions>
    </reviewItem>
    <reviewItem>
      <errorID>d65152b1-500c-49e9-b034-1eb501b0c175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36C9ADB0</paraID>
      <start>123</start>
      <end>124</end>
      <status>unmodified</status>
      <modifiedWord/>
      <trackRevisions>false</trackRevisions>
    </reviewItem>
    <reviewItem>
      <errorID>4b88a90d-8d2b-455b-a4e1-cfb3bc18d64e</errorID>
      <errorWord>统-</errorWord>
      <group>L1_Word</group>
      <groupName>字词问题</groupName>
      <ability>L2_Typo</ability>
      <abilityName>字词错误</abilityName>
      <candidateList>
        <item>统一</item>
      </candidateList>
      <explain>❶〈动〉部分联成整体；分歧归于一致：～体｜～祖国｜大家的意见逐渐～了。❷〈形〉一致的；整体的；单一的：～的意见｜～调配｜～领导。</explain>
      <paraID>17973EF7</paraID>
      <start>9</start>
      <end>11</end>
      <status>unmodified</status>
      <modifiedWord/>
      <trackRevisions>false</trackRevisions>
    </reviewItem>
    <reviewItem>
      <errorID>d5af1084-82e5-4175-9788-88dfc3c3644f</errorID>
      <errorWord>统-</errorWord>
      <group>L1_Word</group>
      <groupName>字词问题</groupName>
      <ability>L2_Typo</ability>
      <abilityName>字词错误</abilityName>
      <candidateList>
        <item>统一</item>
      </candidateList>
      <explain>❶〈动〉部分联成整体；分歧归于一致：～体｜～祖国｜大家的意见逐渐～了。❷〈形〉一致的；整体的；单一的：～的意见｜～调配｜～领导。</explain>
      <paraID>236513CF</paraID>
      <start>6</start>
      <end>8</end>
      <status>unmodified</status>
      <modifiedWord/>
      <trackRevisions>false</trackRevisions>
    </reviewItem>
    <reviewItem>
      <errorID>fae55bae-bbcf-4c1f-87b4-d78b6be465a3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236513CF</paraID>
      <start>130</start>
      <end>131</end>
      <status>unmodified</status>
      <modifiedWord/>
      <trackRevisions>false</trackRevisions>
    </reviewItem>
    <reviewItem>
      <errorID>7561b2d9-0951-4ade-a892-670dc99af3dc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236513CF</paraID>
      <start>136</start>
      <end>137</end>
      <status>unmodified</status>
      <modifiedWord/>
      <trackRevisions>false</trackRevisions>
    </reviewItem>
    <reviewItem>
      <errorID>19dcd59e-71b2-4a45-a967-1cfecb40ec8e</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 B0E2086</paraID>
      <start>7</start>
      <end>9</end>
      <status>unmodified</status>
      <modifiedWord/>
      <trackRevisions>false</trackRevisions>
    </reviewItem>
    <reviewItem>
      <errorID>9a145e12-8c1c-43b5-b3b2-755800418321</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286E8FCD</paraID>
      <start>4</start>
      <end>6</end>
      <status>unmodified</status>
      <modifiedWord/>
      <trackRevisions>false</trackRevisions>
    </reviewItem>
    <reviewItem>
      <errorID>8f42672e-0c12-44ff-9046-09d4fc0a22e1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286E8FCD</paraID>
      <start>109</start>
      <end>110</end>
      <status>unmodified</status>
      <modifiedWord/>
      <trackRevisions>false</trackRevisions>
    </reviewItem>
    <reviewItem>
      <errorID>28d936a0-b32a-4b69-bd48-be0ade8ce7ff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286E8FCD</paraID>
      <start>117</start>
      <end>118</end>
      <status>unmodified</status>
      <modifiedWord/>
      <trackRevisions>false</trackRevisions>
    </reviewItem>
    <reviewItem>
      <errorID>56675ffd-59a2-4a19-a4b3-ddd6111e326e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286E8FCD</paraID>
      <start>140</start>
      <end>141</end>
      <status>unmodified</status>
      <modifiedWord/>
      <trackRevisions>false</trackRevisions>
    </reviewItem>
    <reviewItem>
      <errorID>2d36a92e-0bc9-40bd-9d66-860f4e44ced5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79E69259</paraID>
      <start>164</start>
      <end>165</end>
      <status>unmodified</status>
      <modifiedWord/>
      <trackRevisions>false</trackRevisions>
    </reviewItem>
    <reviewItem>
      <errorID>661f667b-f14c-4740-8cd5-fe76af448308</errorID>
      <errorWord>年</errorWord>
      <group>L1_Word</group>
      <groupName>字词问题</groupName>
      <ability>L2_Typo</ability>
      <abilityName>字词错误</abilityName>
      <candidateList>
        <item>年度</item>
      </candidateList>
      <explain/>
      <paraID>10971D51</paraID>
      <start>0</start>
      <end>1</end>
      <status>unmodified</status>
      <modifiedWord/>
      <trackRevisions>false</trackRevisions>
    </reviewItem>
    <reviewItem>
      <errorID>531b8b2f-9e65-467c-be7c-275a64fd80e0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7FFD5973</paraID>
      <start>15</start>
      <end>16</end>
      <status>unmodified</status>
      <modifiedWord/>
      <trackRevisions>false</trackRevisions>
    </reviewItem>
    <reviewItem>
      <errorID>10138acd-3179-4d77-abab-5697505b7698</errorID>
      <errorWord>监测方法</errorWord>
      <group>L1_Word</group>
      <groupName>字词问题</groupName>
      <ability>L2_Typo</ability>
      <abilityName>字词错误</abilityName>
      <candidateList>
        <item>检测方法</item>
      </candidateList>
      <explain/>
      <paraID>6355026B</paraID>
      <start>6</start>
      <end>10</end>
      <status>unmodified</status>
      <modifiedWord/>
      <trackRevisions>false</trackRevisions>
    </reviewItem>
    <reviewItem>
      <errorID>eb4dd14c-9a30-4053-8a87-78c66f0669af</errorID>
      <errorWord>六价铬</errorWord>
      <group>L1_Other</group>
      <groupName>其他问题</groupName>
      <ability>L2_UserTypo</ability>
      <abilityName>自定义错误</abilityName>
      <candidateList>
        <item>铬（六价）</item>
      </candidateList>
      <explain>来自自定义错词库。</explain>
      <paraID>48EF2953</paraID>
      <start>79</start>
      <end>82</end>
      <status>unmodified</status>
      <modifiedWord/>
      <trackRevisions>false</trackRevisions>
    </reviewItem>
    <reviewItem>
      <errorID>c946a8d9-ac13-4c40-9c20-cac1a17904a8</errorID>
      <errorWord>＋</errorWord>
      <group>L1_Format</group>
      <groupName>格式问题</groupName>
      <ability>L2_HalfPunc</ability>
      <abilityName>全半角检查</abilityName>
      <candidateList>
        <item>+</item>
      </candidateList>
      <explain>文本全半角错误。</explain>
      <paraID>4A69153C</paraID>
      <start>5</start>
      <end>6</end>
      <status>unmodified</status>
      <modifiedWord/>
      <trackRevisions>false</trackRevisions>
    </reviewItem>
    <reviewItem>
      <errorID>aa11b386-9b30-4d1b-bee2-2daad7f33bfe</errorID>
      <errorWord>六价铬</errorWord>
      <group>L1_Other</group>
      <groupName>其他问题</groupName>
      <ability>L2_UserTypo</ability>
      <abilityName>自定义错误</abilityName>
      <candidateList>
        <item>铬（六价）</item>
      </candidateList>
      <explain>来自自定义错词库。</explain>
      <paraID>3CCEECC2</paraID>
      <start>0</start>
      <end>3</end>
      <status>unmodified</status>
      <modifiedWord/>
      <trackRevisions>false</trackRevisions>
    </reviewItem>
    <reviewItem>
      <errorID>c120570b-c256-41ad-bda8-091d30373554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6A069D06</paraID>
      <start>0</start>
      <end>2</end>
      <status>unmodified</status>
      <modifiedWord/>
      <trackRevisions>false</trackRevisions>
    </reviewItem>
    <reviewItem>
      <errorID>b6efb28d-082c-4be5-ba95-7473976fe705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62844508</paraID>
      <start>0</start>
      <end>2</end>
      <status>unmodified</status>
      <modifiedWord/>
      <trackRevisions>false</trackRevisions>
    </reviewItem>
    <reviewItem>
      <errorID>0227675f-9792-4d3f-9c11-68528717dc1e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8DDDD0A</paraID>
      <start>0</start>
      <end>2</end>
      <status>unmodified</status>
      <modifiedWord/>
      <trackRevisions>false</trackRevisions>
    </reviewItem>
    <reviewItem>
      <errorID>8d69cb76-ba72-41bd-9870-446ac85c0079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557321</paraID>
      <start>0</start>
      <end>2</end>
      <status>unmodified</status>
      <modifiedWord/>
      <trackRevisions>false</trackRevisions>
    </reviewItem>
    <reviewItem>
      <errorID>e8d8400e-2364-49c4-8fa9-9929076a201f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575B0B33</paraID>
      <start>0</start>
      <end>2</end>
      <status>unmodified</status>
      <modifiedWord/>
      <trackRevisions>false</trackRevisions>
    </reviewItem>
    <reviewItem>
      <errorID>b234f6c8-ee6b-4035-aad0-d1367a694a6c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6056D926</paraID>
      <start>0</start>
      <end>2</end>
      <status>unmodified</status>
      <modifiedWord/>
      <trackRevisions>false</trackRevisions>
    </reviewItem>
    <reviewItem>
      <errorID>06927999-8e69-4301-93a5-27edb4ac35ed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32F01A17</paraID>
      <start>0</start>
      <end>2</end>
      <status>unmodified</status>
      <modifiedWord/>
      <trackRevisions>false</trackRevisions>
    </reviewItem>
    <reviewItem>
      <errorID>09e1772c-2da9-4fdc-9427-adf1b1e3c0ac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6BDF3E6</paraID>
      <start>0</start>
      <end>2</end>
      <status>unmodified</status>
      <modifiedWord/>
      <trackRevisions>false</trackRevisions>
    </reviewItem>
    <reviewItem>
      <errorID>99d0f0ec-60f8-4e00-a73f-8a013b1b009f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7F1BA1AE</paraID>
      <start>0</start>
      <end>2</end>
      <status>unmodified</status>
      <modifiedWord/>
      <trackRevisions>false</trackRevisions>
    </reviewItem>
    <reviewItem>
      <errorID>1572483a-c5c8-4545-9d51-0b2676848fbb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4195DA74</paraID>
      <start>0</start>
      <end>2</end>
      <status>unmodified</status>
      <modifiedWord/>
      <trackRevisions>false</trackRevisions>
    </reviewItem>
    <reviewItem>
      <errorID>48689199-1f94-4684-84e9-d05d05392bfa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3DC9D60C</paraID>
      <start>0</start>
      <end>2</end>
      <status>unmodified</status>
      <modifiedWord/>
      <trackRevisions>false</trackRevisions>
    </reviewItem>
    <reviewItem>
      <errorID>3b3b61eb-6d41-4131-b340-4eeef398313f</errorID>
      <errorWord>六价铬</errorWord>
      <group>L1_Other</group>
      <groupName>其他问题</groupName>
      <ability>L2_UserTypo</ability>
      <abilityName>自定义错误</abilityName>
      <candidateList>
        <item>铬（六价）</item>
      </candidateList>
      <explain>来自自定义错词库。</explain>
      <paraID>4189113E</paraID>
      <start>0</start>
      <end>3</end>
      <status>unmodified</status>
      <modifiedWord/>
      <trackRevisions>false</trackRevisions>
    </reviewItem>
    <reviewItem>
      <errorID>820eea6b-ec96-40cf-b283-e2dc55510b26</errorID>
      <errorWord>六价铬</errorWord>
      <group>L1_Other</group>
      <groupName>其他问题</groupName>
      <ability>L2_UserTypo</ability>
      <abilityName>自定义错误</abilityName>
      <candidateList>
        <item>铬（六价）</item>
      </candidateList>
      <explain>来自自定义错词库。</explain>
      <paraID>6FAC73DE</paraID>
      <start>0</start>
      <end>3</end>
      <status>unmodified</status>
      <modifiedWord/>
      <trackRevisions>false</trackRevisions>
    </reviewItem>
    <reviewItem>
      <errorID>db0843d3-0805-4f5b-b342-b6203d1bc24b</errorID>
      <errorWord>&gt;</errorWord>
      <group>L1_Punc</group>
      <groupName>标点问题</groupName>
      <ability>L2_Punc</ability>
      <abilityName>标点符号检查</abilityName>
      <candidateList/>
      <explain/>
      <paraID>19A79EA3</paraID>
      <start>0</start>
      <end>1</end>
      <status>unmodified</status>
      <modifiedWord/>
      <trackRevisions>false</trackRevisions>
    </reviewItem>
    <reviewItem>
      <errorID>ac4dfea2-c136-465e-b8c2-4b00ae6f1f6d</errorID>
      <errorWord>六价铬</errorWord>
      <group>L1_Other</group>
      <groupName>其他问题</groupName>
      <ability>L2_UserTypo</ability>
      <abilityName>自定义错误</abilityName>
      <candidateList>
        <item>铬（六价）</item>
      </candidateList>
      <explain>来自自定义错词库。</explain>
      <paraID>32BBEC23</paraID>
      <start>0</start>
      <end>3</end>
      <status>unmodified</status>
      <modifiedWord/>
      <trackRevisions>false</trackRevisions>
    </reviewItem>
    <reviewItem>
      <errorID>0a05f36d-5310-440d-9f72-52c1c9c7bc49</errorID>
      <errorWord>六价铬</errorWord>
      <group>L1_Other</group>
      <groupName>其他问题</groupName>
      <ability>L2_UserTypo</ability>
      <abilityName>自定义错误</abilityName>
      <candidateList>
        <item>铬（六价）</item>
      </candidateList>
      <explain>来自自定义错词库。</explain>
      <paraID>12DCDC1C</paraID>
      <start>35</start>
      <end>38</end>
      <status>unmodified</status>
      <modifiedWord/>
      <trackRevisions>false</trackRevisions>
    </reviewItem>
    <reviewItem>
      <errorID>ce0db4e5-3331-4bfa-9810-b5523e0148d5</errorID>
      <errorWord>六价铬</errorWord>
      <group>L1_Other</group>
      <groupName>其他问题</groupName>
      <ability>L2_UserTypo</ability>
      <abilityName>自定义错误</abilityName>
      <candidateList>
        <item>铬（六价）</item>
      </candidateList>
      <explain>来自自定义错词库。</explain>
      <paraID>3E3AD741</paraID>
      <start>98</start>
      <end>101</end>
      <status>unmodified</status>
      <modifiedWord/>
      <trackRevisions>false</trackRevisions>
    </reviewItem>
    <reviewItem>
      <errorID>9c6c6442-4144-4962-ae08-33df116664b0</errorID>
      <errorWord>六价铬</errorWord>
      <group>L1_Other</group>
      <groupName>其他问题</groupName>
      <ability>L2_UserTypo</ability>
      <abilityName>自定义错误</abilityName>
      <candidateList>
        <item>铬（六价）</item>
      </candidateList>
      <explain>来自自定义错词库。</explain>
      <paraID>7C721FE9</paraID>
      <start>0</start>
      <end>3</end>
      <status>unmodified</status>
      <modifiedWord/>
      <trackRevisions>false</trackRevisions>
    </reviewItem>
    <reviewItem>
      <errorID>6c03318b-98af-449d-b3cf-2a2fc947e079</errorID>
      <errorWord>六价铬</errorWord>
      <group>L1_Other</group>
      <groupName>其他问题</groupName>
      <ability>L2_UserTypo</ability>
      <abilityName>自定义错误</abilityName>
      <candidateList>
        <item>铬（六价）</item>
      </candidateList>
      <explain>来自自定义错词库。</explain>
      <paraID> 628546C</paraID>
      <start>0</start>
      <end>3</end>
      <status>unmodified</status>
      <modifiedWord/>
      <trackRevisions>false</trackRevisions>
    </reviewItem>
    <reviewItem>
      <errorID>4f928156-204d-4bd5-9782-bdb6e54c037e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17F7648E</paraID>
      <start>35</start>
      <end>36</end>
      <status>unmodified</status>
      <modifiedWord/>
      <trackRevisions>false</trackRevisions>
    </reviewItem>
    <reviewItem>
      <errorID>80e042ac-b8cf-4937-9d1a-04cb1e7e1efe</errorID>
      <errorWord>新疆自治区</errorWord>
      <group>L1_Sensitive</group>
      <groupName>敏感问题</groupName>
      <ability>L2_UserSensitive</ability>
      <abilityName>自定义敏感词</abilityName>
      <candidateList/>
      <explain>来自自定义敏感词库。</explain>
      <paraID>17F7648E</paraID>
      <start>94</start>
      <end>99</end>
      <status>unmodified</status>
      <modifiedWord/>
      <trackRevisions>false</trackRevisions>
    </reviewItem>
    <reviewItem>
      <errorID>e07b2628-4804-41e3-a6eb-c4955b340f88</errorID>
      <errorWord>主要以风力侵蚀为主</errorWord>
      <group>L1_Word</group>
      <groupName>字词问题</groupName>
      <ability>L2_Typo</ability>
      <abilityName>字词错误</abilityName>
      <candidateList>
        <item>以风力侵蚀为主</item>
      </candidateList>
      <explain/>
      <paraID>17F7648E</paraID>
      <start>151</start>
      <end>160</end>
      <status>unmodified</status>
      <modifiedWord/>
      <trackRevisions>false</trackRevisions>
    </reviewItem>
    <reviewItem>
      <errorID>26b6be8d-9726-4346-bcc0-c9ba17cd71ff</errorID>
      <errorWord>监测仪器</errorWord>
      <group>L1_Word</group>
      <groupName>字词问题</groupName>
      <ability>L2_Typo</ability>
      <abilityName>字词错误</abilityName>
      <candidateList>
        <item>检测仪器</item>
      </candidateList>
      <explain/>
      <paraID> 513FBBF</paraID>
      <start>0</start>
      <end>4</end>
      <status>unmodified</status>
      <modifiedWord/>
      <trackRevisions>false</trackRevisions>
    </reviewItem>
    <reviewItem>
      <errorID>09ff05a1-269e-4732-bd14-ab4f2415bf9a</errorID>
      <errorWord>监测仪器</errorWord>
      <group>L1_Word</group>
      <groupName>字词问题</groupName>
      <ability>L2_Typo</ability>
      <abilityName>字词错误</abilityName>
      <candidateList>
        <item>检测仪器</item>
      </candidateList>
      <explain/>
      <paraID>70A50C33</paraID>
      <start>11</start>
      <end>15</end>
      <status>unmodified</status>
      <modifiedWord/>
      <trackRevisions>false</trackRevisions>
    </reviewItem>
    <reviewItem>
      <errorID>f69b2f62-ca02-4065-82d8-e79939f5ab63</errorID>
      <errorWord>产业</errorWord>
      <group>L1_Word</group>
      <groupName>字词问题</groupName>
      <ability>L2_Typo</ability>
      <abilityName>字词错误</abilityName>
      <candidateList>
        <item>产</item>
      </candidateList>
      <explain/>
      <paraID> 1D3B901</paraID>
      <start>32</start>
      <end>34</end>
      <status>unmodified</status>
      <modifiedWord/>
      <trackRevisions>false</trackRevisions>
    </reviewItem>
    <reviewItem>
      <errorID>b4e6d234-cf83-4ff8-8174-7494c7a53622</errorID>
      <errorWord>故施工</errorWord>
      <group>L1_Word</group>
      <groupName>字词问题</groupName>
      <ability>L2_Typo</ability>
      <abilityName>字词错误</abilityName>
      <candidateList>
        <item>施工</item>
      </candidateList>
      <explain>〈动〉按照设计的规格和要求建筑房屋、桥梁、道路、水利工程等。</explain>
      <paraID>12D0148F</paraID>
      <start>50</start>
      <end>53</end>
      <status>unmodified</status>
      <modifiedWord/>
      <trackRevisions>false</trackRevisions>
    </reviewItem>
    <reviewItem>
      <errorID>6ffeee31-2c5f-4534-97ea-c9430b7eb95c</errorID>
      <errorWord>“</errorWord>
      <group>L1_Punc</group>
      <groupName>标点问题</groupName>
      <ability>L2_Punc</ability>
      <abilityName>标点符号检查</abilityName>
      <candidateList/>
      <explain/>
      <paraID>20B6C90A</paraID>
      <start>41</start>
      <end>42</end>
      <status>unmodified</status>
      <modifiedWord/>
      <trackRevisions>false</trackRevisions>
    </reviewItem>
    <reviewItem>
      <errorID>edc635d0-7840-45bb-a6a6-c7782205373d</errorID>
      <errorWord>水平衡</errorWord>
      <group>L1_Word</group>
      <groupName>字词问题</groupName>
      <ability>L2_Typo</ability>
      <abilityName>字词错误</abilityName>
      <candidateList>
        <item>平衡</item>
      </candidateList>
      <explain/>
      <paraID>6BDD039A</paraID>
      <start>140</start>
      <end>143</end>
      <status>unmodified</status>
      <modifiedWord/>
      <trackRevisions>false</trackRevisions>
    </reviewItem>
    <reviewItem>
      <errorID>46150f74-c6d8-46fe-8d9e-b9a3777b9be7</errorID>
      <errorWord>到现</errorWord>
      <group>L1_Word</group>
      <groupName>字词问题</groupName>
      <ability>L2_Typo</ability>
      <abilityName>字词错误</abilityName>
      <candidateList>
        <item>发现</item>
      </candidateList>
      <explain/>
      <paraID>714BAFA9</paraID>
      <start>201</start>
      <end>203</end>
      <status>unmodified</status>
      <modifiedWord/>
      <trackRevisions>false</trackRevisions>
    </reviewItem>
    <reviewItem>
      <errorID>7e5d5711-1d01-4828-aef2-0d63d33c1576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20BDDC5C</paraID>
      <start>50</start>
      <end>51</end>
      <status>unmodified</status>
      <modifiedWord/>
      <trackRevisions>false</trackRevisions>
    </reviewItem>
    <reviewItem>
      <errorID>88901e70-b026-4a24-b959-13f3d1f45b02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20BDDC5C</paraID>
      <start>72</start>
      <end>73</end>
      <status>unmodified</status>
      <modifiedWord/>
      <trackRevisions>false</trackRevisions>
    </reviewItem>
    <reviewItem>
      <errorID>06fa97d2-fbdf-4a36-a561-1cc0518bc325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20BDDC5C</paraID>
      <start>97</start>
      <end>98</end>
      <status>unmodified</status>
      <modifiedWord/>
      <trackRevisions>false</trackRevisions>
    </reviewItem>
    <reviewItem>
      <errorID>698f7453-0da6-460e-be1e-cd327f242cee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20BDDC5C</paraID>
      <start>125</start>
      <end>126</end>
      <status>unmodified</status>
      <modifiedWord/>
      <trackRevisions>false</trackRevisions>
    </reviewItem>
    <reviewItem>
      <errorID>c62f0da7-5c70-43f5-ac7f-a4fc81f04db7</errorID>
      <errorWord>有如</errorWord>
      <group>L1_Word</group>
      <groupName>字词问题</groupName>
      <ability>L2_Typo</ability>
      <abilityName>字词错误</abilityName>
      <candidateList>
        <item>有</item>
      </candidateList>
      <explain>〈书〉同“又”▲：三十～八年。</explain>
      <paraID>672205C2</paraID>
      <start>34</start>
      <end>36</end>
      <status>unmodified</status>
      <modifiedWord/>
      <trackRevisions>false</trackRevisions>
    </reviewItem>
    <reviewItem>
      <errorID>6e92fec1-80e3-4e0a-9424-77f44fed95cf</errorID>
      <errorWord>(</errorWord>
      <group>L1_Format</group>
      <groupName>格式问题</groupName>
      <ability>L2_HalfPunc</ability>
      <abilityName>全半角检查</abilityName>
      <candidateList>
        <item>（</item>
      </candidateList>
      <explain>文本全半角错误。</explain>
      <paraID>25999E97</paraID>
      <start>5</start>
      <end>6</end>
      <status>unmodified</status>
      <modifiedWord/>
      <trackRevisions>false</trackRevisions>
    </reviewItem>
    <reviewItem>
      <errorID>99b0932b-3f3e-47fb-aa99-c13ae561be0e</errorID>
      <errorWord>)</errorWord>
      <group>L1_Format</group>
      <groupName>格式问题</groupName>
      <ability>L2_HalfPunc</ability>
      <abilityName>全半角检查</abilityName>
      <candidateList>
        <item>）</item>
      </candidateList>
      <explain>文本全半角错误。</explain>
      <paraID>25999E97</paraID>
      <start>10</start>
      <end>11</end>
      <status>unmodified</status>
      <modifiedWord/>
      <trackRevisions>false</trackRevisions>
    </reviewItem>
    <reviewItem>
      <errorID>adaa5951-9620-4517-a2b8-e3f356cf38a1</errorID>
      <errorWord>(</errorWord>
      <group>L1_Format</group>
      <groupName>格式问题</groupName>
      <ability>L2_HalfPunc</ability>
      <abilityName>全半角检查</abilityName>
      <candidateList>
        <item>（</item>
      </candidateList>
      <explain>文本全半角错误。</explain>
      <paraID>784314CA</paraID>
      <start>6</start>
      <end>7</end>
      <status>unmodified</status>
      <modifiedWord/>
      <trackRevisions>false</trackRevisions>
    </reviewItem>
    <reviewItem>
      <errorID>7c6c0cd8-8d6d-4bed-bbda-44f5c050fd12</errorID>
      <errorWord>)</errorWord>
      <group>L1_Format</group>
      <groupName>格式问题</groupName>
      <ability>L2_HalfPunc</ability>
      <abilityName>全半角检查</abilityName>
      <candidateList>
        <item>）</item>
      </candidateList>
      <explain>文本全半角错误。</explain>
      <paraID>784314CA</paraID>
      <start>8</start>
      <end>9</end>
      <status>unmodified</status>
      <modifiedWord/>
      <trackRevisions>false</trackRevisions>
    </reviewItem>
    <reviewItem>
      <errorID>63e3b9b2-c56b-43fa-ae7d-ec1eb45a03b9</errorID>
      <errorWord>电积液</errorWord>
      <group>L1_Word</group>
      <groupName>字词问题</groupName>
      <ability>L2_Typo</ability>
      <abilityName>字词错误</abilityName>
      <candidateList>
        <item>电解液</item>
      </candidateList>
      <explain/>
      <paraID>180CC7F3</paraID>
      <start>0</start>
      <end>3</end>
      <status>unmodified</status>
      <modifiedWord/>
      <trackRevisions>false</trackRevisions>
    </reviewItem>
    <reviewItem>
      <errorID>a60b95f3-c875-4c5b-982c-d5e15f81e1d8</errorID>
      <errorWord>电积液</errorWord>
      <group>L1_Word</group>
      <groupName>字词问题</groupName>
      <ability>L2_Typo</ability>
      <abilityName>字词错误</abilityName>
      <candidateList>
        <item>电解液</item>
      </candidateList>
      <explain>存在发音相近字词的误用。</explain>
      <paraID>736DA7AD</paraID>
      <start>81</start>
      <end>84</end>
      <status>unmodified</status>
      <modifiedWord/>
      <trackRevisions>false</trackRevisions>
    </reviewItem>
    <reviewItem>
      <errorID>a44fe440-bccd-4988-8f49-4b98a50e8cb4</errorID>
      <errorWord>电积液</errorWord>
      <group>L1_Word</group>
      <groupName>字词问题</groupName>
      <ability>L2_Typo</ability>
      <abilityName>字词错误</abilityName>
      <candidateList>
        <item>电解液</item>
      </candidateList>
      <explain/>
      <paraID>31214807</paraID>
      <start>114</start>
      <end>117</end>
      <status>unmodified</status>
      <modifiedWord/>
      <trackRevisions>false</trackRevisions>
    </reviewItem>
    <reviewItem>
      <errorID>bc4c5feb-59c0-4e4d-8cfc-c4ca2b21d5bd</errorID>
      <errorWord>六价铬</errorWord>
      <group>L1_Other</group>
      <groupName>其他问题</groupName>
      <ability>L2_UserTypo</ability>
      <abilityName>自定义错误</abilityName>
      <candidateList>
        <item>铬（六价）</item>
      </candidateList>
      <explain>来自自定义错词库。</explain>
      <paraID>68115E78</paraID>
      <start>12</start>
      <end>15</end>
      <status>unmodified</status>
      <modifiedWord/>
      <trackRevisions>false</trackRevisions>
    </reviewItem>
    <reviewItem>
      <errorID>6a3e7e31-5246-49b1-9611-04b067633603</errorID>
      <errorWord>~</errorWord>
      <group>L1_Format</group>
      <groupName>格式问题</groupName>
      <ability>L2_HalfPunc</ability>
      <abilityName>全半角检查</abilityName>
      <candidateList>
        <item>～</item>
      </candidateList>
      <explain>文本全半角错误。</explain>
      <paraID>5E451CAF</paraID>
      <start>10</start>
      <end>11</end>
      <status>unmodified</status>
      <modifiedWord/>
      <trackRevisions>false</trackRevisions>
    </reviewItem>
    <reviewItem>
      <errorID>c24e09bf-f7fd-4cc5-b470-79e482a18650</errorID>
      <errorWord>~</errorWord>
      <group>L1_Format</group>
      <groupName>格式问题</groupName>
      <ability>L2_HalfPunc</ability>
      <abilityName>全半角检查</abilityName>
      <candidateList>
        <item>～</item>
      </candidateList>
      <explain>文本全半角错误。</explain>
      <paraID>5E451CAF</paraID>
      <start>19</start>
      <end>20</end>
      <status>unmodified</status>
      <modifiedWord/>
      <trackRevisions>false</trackRevisions>
    </reviewItem>
    <reviewItem>
      <errorID>40524b55-e69d-49c1-9544-5571fb09da6f</errorID>
      <errorWord>~</errorWord>
      <group>L1_Format</group>
      <groupName>格式问题</groupName>
      <ability>L2_HalfPunc</ability>
      <abilityName>全半角检查</abilityName>
      <candidateList>
        <item>～</item>
      </candidateList>
      <explain>文本全半角错误。</explain>
      <paraID>56560A0F</paraID>
      <start>33</start>
      <end>34</end>
      <status>unmodified</status>
      <modifiedWord/>
      <trackRevisions>false</trackRevisions>
    </reviewItem>
    <reviewItem>
      <errorID>d45b5066-8aab-4179-941e-658417497052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2B21D1A</paraID>
      <start>0</start>
      <end>2</end>
      <status>unmodified</status>
      <modifiedWord/>
      <trackRevisions>false</trackRevisions>
    </reviewItem>
    <reviewItem>
      <errorID>9fc9a837-2a9a-4105-aac5-1bd06654d433</errorID>
      <errorWord>电积液</errorWord>
      <group>L1_Word</group>
      <groupName>字词问题</groupName>
      <ability>L2_Typo</ability>
      <abilityName>字词错误</abilityName>
      <candidateList>
        <item>电解液</item>
      </candidateList>
      <explain/>
      <paraID>4ACCD114</paraID>
      <start>17</start>
      <end>20</end>
      <status>unmodified</status>
      <modifiedWord/>
      <trackRevisions>false</trackRevisions>
    </reviewItem>
    <reviewItem>
      <errorID>f1fd90c4-a119-42c0-bf6c-69c103cbb02c</errorID>
      <errorWord>(</errorWord>
      <group>L1_Format</group>
      <groupName>格式问题</groupName>
      <ability>L2_HalfPunc</ability>
      <abilityName>全半角检查</abilityName>
      <candidateList>
        <item>（</item>
      </candidateList>
      <explain>文本全半角错误。</explain>
      <paraID>10CFE9CC</paraID>
      <start>16</start>
      <end>17</end>
      <status>unmodified</status>
      <modifiedWord/>
      <trackRevisions>false</trackRevisions>
    </reviewItem>
    <reviewItem>
      <errorID>ada64d0f-d049-474f-8e70-700c9a8b0821</errorID>
      <errorWord>)</errorWord>
      <group>L1_Format</group>
      <groupName>格式问题</groupName>
      <ability>L2_HalfPunc</ability>
      <abilityName>全半角检查</abilityName>
      <candidateList>
        <item>）</item>
      </candidateList>
      <explain>文本全半角错误。</explain>
      <paraID>10CFE9CC</paraID>
      <start>29</start>
      <end>30</end>
      <status>unmodified</status>
      <modifiedWord/>
      <trackRevisions>false</trackRevisions>
    </reviewItem>
    <reviewItem>
      <errorID>8a9f2962-e41c-4ea1-aa31-7eae2342a3dd</errorID>
      <errorWord>电积液</errorWord>
      <group>L1_Word</group>
      <groupName>字词问题</groupName>
      <ability>L2_Typo</ability>
      <abilityName>字词错误</abilityName>
      <candidateList>
        <item>电解液</item>
      </candidateList>
      <explain>存在发音相近字词的误用。</explain>
      <paraID>3F34F73A</paraID>
      <start>72</start>
      <end>75</end>
      <status>unmodified</status>
      <modifiedWord/>
      <trackRevisions>false</trackRevisions>
    </reviewItem>
    <reviewItem>
      <errorID>73d63101-2920-4c15-b59e-2b1ae1c70dd9</errorID>
      <errorWord>临近</errorWord>
      <group>L1_Word</group>
      <groupName>字词问题</groupName>
      <ability>L2_Typo</ability>
      <abilityName>字词错误</abilityName>
      <candidateList>
        <item>邻近</item>
      </candidateList>
      <explain>存在发音相同字词的误用。</explain>
      <paraID>7A289192</paraID>
      <start>36</start>
      <end>38</end>
      <status>unmodified</status>
      <modifiedWord/>
      <trackRevisions>false</trackRevisions>
    </reviewItem>
    <reviewItem>
      <errorID>518f5390-8e4a-4065-99fd-9f87c162bc0f</errorID>
      <errorWord>程</errorWord>
      <group>L1_Word</group>
      <groupName>字词问题</groupName>
      <ability>L2_Typo</ability>
      <abilityName>字词错误</abilityName>
      <candidateList>
        <item>程中</item>
      </candidateList>
      <explain/>
      <paraID>79686C2F</paraID>
      <start>48</start>
      <end>49</end>
      <status>unmodified</status>
      <modifiedWord/>
      <trackRevisions>false</trackRevisions>
    </reviewItem>
    <reviewItem>
      <errorID>b9e3032b-f07f-4271-b0cf-6cc511977a20</errorID>
      <errorWord>程</errorWord>
      <group>L1_Word</group>
      <groupName>字词问题</groupName>
      <ability>L2_Typo</ability>
      <abilityName>字词错误</abilityName>
      <candidateList>
        <item>程中</item>
      </candidateList>
      <explain/>
      <paraID>69162549</paraID>
      <start>16</start>
      <end>17</end>
      <status>unmodified</status>
      <modifiedWord/>
      <trackRevisions>false</trackRevisions>
    </reviewItem>
    <reviewItem>
      <errorID>ca8e94ed-330c-40e1-aa11-606087163d8d</errorID>
      <errorWord>程</errorWord>
      <group>L1_Word</group>
      <groupName>字词问题</groupName>
      <ability>L2_Typo</ability>
      <abilityName>字词错误</abilityName>
      <candidateList>
        <item>程中</item>
      </candidateList>
      <explain/>
      <paraID>1368A27C</paraID>
      <start>27</start>
      <end>28</end>
      <status>unmodified</status>
      <modifiedWord/>
      <trackRevisions>false</trackRevisions>
    </reviewItem>
    <reviewItem>
      <errorID>937f4cce-d60f-4c99-a389-734f659d1a7b</errorID>
      <errorWord>渗漏监测</errorWord>
      <group>L1_Word</group>
      <groupName>字词问题</groupName>
      <ability>L2_Typo</ability>
      <abilityName>字词错误</abilityName>
      <candidateList>
        <item>渗漏检测</item>
      </candidateList>
      <explain/>
      <paraID>7CA11BA0</paraID>
      <start>9</start>
      <end>13</end>
      <status>unmodified</status>
      <modifiedWord/>
      <trackRevisions>false</trackRevisions>
    </reviewItem>
    <reviewItem>
      <errorID>4f3cfbfe-4e95-4140-9e1b-e78ec66ffbea</errorID>
      <errorWord>转输</errorWord>
      <group>L1_Word</group>
      <groupName>字词问题</groupName>
      <ability>L2_Typo</ability>
      <abilityName>字词错误</abilityName>
      <candidateList>
        <item>传输</item>
      </candidateList>
      <explain>存在发音相同字词的误用。</explain>
      <paraID>16E43E99</paraID>
      <start>10</start>
      <end>12</end>
      <status>unmodified</status>
      <modifiedWord/>
      <trackRevisions>false</trackRevisions>
    </reviewItem>
    <reviewItem>
      <errorID>691a6b30-c07e-4250-80cd-6290f0fc977a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31ECA417</paraID>
      <start>42</start>
      <end>43</end>
      <status>unmodified</status>
      <modifiedWord/>
      <trackRevisions>false</trackRevisions>
    </reviewItem>
    <reviewItem>
      <errorID>8507f8cb-bf00-4698-b112-44e3ffc3767f</errorID>
      <errorWord>电积液</errorWord>
      <group>L1_Word</group>
      <groupName>字词问题</groupName>
      <ability>L2_Typo</ability>
      <abilityName>字词错误</abilityName>
      <candidateList>
        <item>电解液</item>
      </candidateList>
      <explain>存在发音相近字词的误用。</explain>
      <paraID>6B50A49F</paraID>
      <start>20</start>
      <end>23</end>
      <status>unmodified</status>
      <modifiedWord/>
      <trackRevisions>false</trackRevisions>
    </reviewItem>
    <reviewItem>
      <errorID>5ef276ab-e520-4d5d-a736-f5a27248799a</errorID>
      <errorWord>电积液</errorWord>
      <group>L1_Word</group>
      <groupName>字词问题</groupName>
      <ability>L2_Typo</ability>
      <abilityName>字词错误</abilityName>
      <candidateList>
        <item>电解液</item>
      </candidateList>
      <explain/>
      <paraID>5B19D756</paraID>
      <start>7</start>
      <end>10</end>
      <status>unmodified</status>
      <modifiedWord/>
      <trackRevisions>false</trackRevisions>
    </reviewItem>
    <reviewItem>
      <errorID>e5fac3ca-bcb9-477f-a427-0489d18ba47a</errorID>
      <errorWord>电积液</errorWord>
      <group>L1_Word</group>
      <groupName>字词问题</groupName>
      <ability>L2_Typo</ability>
      <abilityName>字词错误</abilityName>
      <candidateList>
        <item>电解液</item>
      </candidateList>
      <explain/>
      <paraID>5425AF89</paraID>
      <start>15</start>
      <end>18</end>
      <status>unmodified</status>
      <modifiedWord/>
      <trackRevisions>false</trackRevisions>
    </reviewItem>
    <reviewItem>
      <errorID>7367219c-0d81-4efc-b87f-7628ef2d74fd</errorID>
      <errorWord>（</errorWord>
      <group>L1_Punc</group>
      <groupName>标点问题</groupName>
      <ability>L2_Punc</ability>
      <abilityName>标点符号检查</abilityName>
      <candidateList/>
      <explain/>
      <paraID>15C57AFA</paraID>
      <start>52</start>
      <end>53</end>
      <status>unmodified</status>
      <modifiedWord/>
      <trackRevisions>false</trackRevisions>
    </reviewItem>
    <reviewItem>
      <errorID>bf386882-3dc1-4dd5-b4a5-e3861d33e836</errorID>
      <errorWord>（</errorWord>
      <group>L1_Punc</group>
      <groupName>标点问题</groupName>
      <ability>L2_Punc</ability>
      <abilityName>标点符号检查</abilityName>
      <candidateList/>
      <explain/>
      <paraID>15C57AFA</paraID>
      <start>58</start>
      <end>59</end>
      <status>unmodified</status>
      <modifiedWord/>
      <trackRevisions>false</trackRevisions>
    </reviewItem>
    <reviewItem>
      <errorID>9efed8bd-70be-4c0a-b2f6-20844b2303fe</errorID>
      <errorWord>加入到</errorWord>
      <group>L1_Word</group>
      <groupName>字词问题</groupName>
      <ability>L2_Typo</ability>
      <abilityName>字词错误</abilityName>
      <candidateList>
        <item>加入</item>
      </candidateList>
      <explain>〈动〉❶加上；掺进去：～食糖少许。❷参加进去：～工会｜～足球队。</explain>
      <paraID>786D2350</paraID>
      <start>66</start>
      <end>69</end>
      <status>unmodified</status>
      <modifiedWord/>
      <trackRevisions>false</trackRevisions>
    </reviewItem>
    <reviewItem>
      <errorID>4fb05295-9ecb-4d48-bf38-f3d0eebf7a3e</errorID>
      <errorWord>加入到</errorWord>
      <group>L1_Word</group>
      <groupName>字词问题</groupName>
      <ability>L2_Typo</ability>
      <abilityName>字词错误</abilityName>
      <candidateList>
        <item>加入</item>
      </candidateList>
      <explain>〈动〉❶加上；掺进去：～食糖少许。❷参加进去：～工会｜～足球队。</explain>
      <paraID>47739DE3</paraID>
      <start>69</start>
      <end>72</end>
      <status>unmodified</status>
      <modifiedWord/>
      <trackRevisions>false</trackRevisions>
    </reviewItem>
    <reviewItem>
      <errorID>892ac7d9-0b20-4961-9e1f-9ced7add3d4f</errorID>
      <errorWord>及选</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13DF8AD4</paraID>
      <start>38</start>
      <end>40</end>
      <status>unmodified</status>
      <modifiedWord/>
      <trackRevisions>false</trackRevisions>
    </reviewItem>
    <reviewItem>
      <errorID>c3e95715-9f4c-468e-800d-2fc6a3925794</errorID>
      <errorWord>-</errorWord>
      <group>L1_Format</group>
      <groupName>格式问题</groupName>
      <ability>L2_HalfPunc</ability>
      <abilityName>全半角检查</abilityName>
      <candidateList>
        <item>－</item>
      </candidateList>
      <explain>文本全半角错误。</explain>
      <paraID> 4C5C758</paraID>
      <start>21</start>
      <end>22</end>
      <status>unmodified</status>
      <modifiedWord/>
      <trackRevisions>false</trackRevisions>
    </reviewItem>
    <reviewItem>
      <errorID>aa306cb4-073f-486e-89a9-13eae2bfc4bb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1FD5DB26</paraID>
      <start>25</start>
      <end>26</end>
      <status>unmodified</status>
      <modifiedWord/>
      <trackRevisions>false</trackRevisions>
    </reviewItem>
    <reviewItem>
      <errorID>32ce986a-8313-4cdc-8d09-8854510ad12c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5E9A3FB4</paraID>
      <start>72</start>
      <end>73</end>
      <status>unmodified</status>
      <modifiedWord/>
      <trackRevisions>false</trackRevisions>
    </reviewItem>
    <reviewItem>
      <errorID>3aa3cc7c-4b1d-4e4a-baf7-7f21950b9ded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5E9A3FB4</paraID>
      <start>115</start>
      <end>116</end>
      <status>unmodified</status>
      <modifiedWord/>
      <trackRevisions>false</trackRevisions>
    </reviewItem>
    <reviewItem>
      <errorID>f4db1087-35bb-426f-9007-42111e084901</errorID>
      <errorWord>六价铬</errorWord>
      <group>L1_Other</group>
      <groupName>其他问题</groupName>
      <ability>L2_UserTypo</ability>
      <abilityName>自定义错误</abilityName>
      <candidateList>
        <item>铬（六价）</item>
      </candidateList>
      <explain>来自自定义错词库。</explain>
      <paraID> DD45FA4</paraID>
      <start>105</start>
      <end>108</end>
      <status>unmodified</status>
      <modifiedWord/>
      <trackRevisions>false</trackRevisions>
    </reviewItem>
    <reviewItem>
      <errorID>79258870-7e03-46fd-b642-6fc12799fbaa</errorID>
      <errorWord>采取的</errorWord>
      <group>L1_Word</group>
      <groupName>字词问题</groupName>
      <ability>L2_Typo</ability>
      <abilityName>字词错误</abilityName>
      <candidateList>
        <item>采取</item>
      </candidateList>
      <explain>〈动〉❶选择施行（某种方针、政策、措施、手段、形式、态度等）：～守势｜～紧急措施。❷取：～指纹。</explain>
      <paraID>2CB2C8A1</paraID>
      <start>27</start>
      <end>30</end>
      <status>unmodified</status>
      <modifiedWord/>
      <trackRevisions>false</trackRevisions>
    </reviewItem>
    <reviewItem>
      <errorID>71740a1c-341d-4c01-b586-10365f36de2c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27C46E3B</paraID>
      <start>20</start>
      <end>21</end>
      <status>unmodified</status>
      <modifiedWord/>
      <trackRevisions>false</trackRevisions>
    </reviewItem>
    <reviewItem>
      <errorID>d2460fb1-c663-4d51-be09-f115002898ce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27C46E3B</paraID>
      <start>64</start>
      <end>65</end>
      <status>unmodified</status>
      <modifiedWord/>
      <trackRevisions>false</trackRevisions>
    </reviewItem>
    <reviewItem>
      <errorID>7f675fe8-f79d-4a48-b945-1d945a9a68e5</errorID>
      <errorWord>库</errorWord>
      <group>L1_Word</group>
      <groupName>字词问题</groupName>
      <ability>L2_Typo</ability>
      <abilityName>字词错误</abilityName>
      <candidateList>
        <item>库数</item>
      </candidateList>
      <explain/>
      <paraID>29FD5A31</paraID>
      <start>182</start>
      <end>183</end>
      <status>unmodified</status>
      <modifiedWord/>
      <trackRevisions>false</trackRevisions>
    </reviewItem>
    <reviewItem>
      <errorID>68186237-cfd2-4754-88f0-a2e523bd46b2</errorID>
      <errorWord>置</errorWord>
      <group>L1_Word</group>
      <groupName>字词问题</groupName>
      <ability>L2_Typo</ability>
      <abilityName>字词错误</abilityName>
      <candidateList>
        <item>置数</item>
      </candidateList>
      <explain/>
      <paraID>29FD5A31</paraID>
      <start>598</start>
      <end>599</end>
      <status>unmodified</status>
      <modifiedWord/>
      <trackRevisions>false</trackRevisions>
    </reviewItem>
    <reviewItem>
      <errorID>5f51599f-0f39-42bb-b7c4-140634f7df79</errorID>
      <errorWord>土壤污染防渗</errorWord>
      <group>L1_Knowledge</group>
      <groupName>知识性问题</groupName>
      <ability>L2_Term</ability>
      <abilityName>专业术语</abilityName>
      <candidateList>
        <item>土壤污染防治</item>
      </candidateList>
      <explain/>
      <paraID>7266CC09</paraID>
      <start>5</start>
      <end>11</end>
      <status>unmodified</status>
      <modifiedWord/>
      <trackRevisions>false</trackRevisions>
    </reviewItem>
    <reviewItem>
      <errorID>49d5059d-140e-4e3e-9e6d-a16f054f4760</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4624A9E3</paraID>
      <start>16</start>
      <end>18</end>
      <status>unmodified</status>
      <modifiedWord/>
      <trackRevisions>false</trackRevisions>
    </reviewItem>
    <reviewItem>
      <errorID>ba242b8a-a862-4702-8ce2-98f67bd7f0f0</errorID>
      <errorWord>监测</errorWord>
      <group>L1_Word</group>
      <groupName>字词问题</groupName>
      <ability>L2_Typo</ability>
      <abilityName>字词错误</abilityName>
      <candidateList>
        <item>检测</item>
      </candidateList>
      <explain/>
      <paraID> B8DC300</paraID>
      <start>31</start>
      <end>33</end>
      <status>unmodified</status>
      <modifiedWord/>
      <trackRevisions>false</trackRevisions>
    </reviewItem>
    <reviewItem>
      <errorID>7ce39e3e-1ac4-4c22-a8be-be177dc37336</errorID>
      <errorWord>&gt;</errorWord>
      <group>L1_Punc</group>
      <groupName>标点问题</groupName>
      <ability>L2_Punc</ability>
      <abilityName>标点符号检查</abilityName>
      <candidateList/>
      <explain/>
      <paraID>299D2277</paraID>
      <start>0</start>
      <end>1</end>
      <status>unmodified</status>
      <modifiedWord/>
      <trackRevisions>false</trackRevisions>
    </reviewItem>
    <reviewItem>
      <errorID>535ba3ea-9f32-48cb-b7b8-f564bf9857eb</errorID>
      <errorWord>&gt;</errorWord>
      <group>L1_Punc</group>
      <groupName>标点问题</groupName>
      <ability>L2_Punc</ability>
      <abilityName>标点符号检查</abilityName>
      <candidateList/>
      <explain/>
      <paraID>132BD168</paraID>
      <start>0</start>
      <end>1</end>
      <status>unmodified</status>
      <modifiedWord/>
      <trackRevisions>false</trackRevisions>
    </reviewItem>
    <reviewItem>
      <errorID>340e813e-e8c6-488c-8b57-fd41041198b4</errorID>
      <errorWord>&gt;</errorWord>
      <group>L1_Punc</group>
      <groupName>标点问题</groupName>
      <ability>L2_Punc</ability>
      <abilityName>标点符号检查</abilityName>
      <candidateList/>
      <explain/>
      <paraID>52011C9C</paraID>
      <start>0</start>
      <end>1</end>
      <status>unmodified</status>
      <modifiedWord/>
      <trackRevisions>false</trackRevisions>
    </reviewItem>
    <reviewItem>
      <errorID>3138eacc-9d6d-4f87-a6f5-282d63c7891a</errorID>
      <errorWord>自动监测系统</errorWord>
      <group>L1_Knowledge</group>
      <groupName>知识性问题</groupName>
      <ability>L2_Term</ability>
      <abilityName>专业术语</abilityName>
      <candidateList>
        <item>自动检测系统</item>
      </candidateList>
      <explain/>
      <paraID> C028DF2</paraID>
      <start>2</start>
      <end>8</end>
      <status>unmodified</status>
      <modifiedWord/>
      <trackRevisions>false</trackRevisions>
    </reviewItem>
    <reviewItem>
      <errorID>0eead2fd-da32-4498-820d-23476926dd19</errorID>
      <errorWord>依</errorWord>
      <group>L1_Word</group>
      <groupName>字词问题</groupName>
      <ability>L2_Typo</ability>
      <abilityName>字词错误</abilityName>
      <candidateList>
        <item>依据</item>
      </candidateList>
      <explain/>
      <paraID>7F90EA5E</paraID>
      <start>20</start>
      <end>21</end>
      <status>unmodified</status>
      <modifiedWord/>
      <trackRevisions>false</trackRevisions>
    </reviewItem>
    <reviewItem>
      <errorID>f2b967b9-7696-4d3f-8960-6a40658e8efa</errorID>
      <errorWord>《</errorWord>
      <group>L1_Punc</group>
      <groupName>标点问题</groupName>
      <ability>L2_Punc</ability>
      <abilityName>标点符号检查</abilityName>
      <candidateList/>
      <explain/>
      <paraID>56A5D297</paraID>
      <start>0</start>
      <end>1</end>
      <status>unmodified</status>
      <modifiedWord/>
      <trackRevisions>false</trackRevisions>
    </reviewItem>
    <reviewItem>
      <errorID>684dd3c3-e0fc-44d4-9cfb-6f9cb7fd025a</errorID>
      <errorWord>连续性生产</errorWord>
      <group>L1_Knowledge</group>
      <groupName>知识性问题</groupName>
      <ability>L2_Term</ability>
      <abilityName>专业术语</abilityName>
      <candidateList>
        <item>连续型生产</item>
      </candidateList>
      <explain/>
      <paraID>22AC2E00</paraID>
      <start>54</start>
      <end>59</end>
      <status>unmodified</status>
      <modifiedWord/>
      <trackRevisions>false</trackRevisions>
    </reviewItem>
    <reviewItem>
      <errorID>a3f27dac-3fe5-42b8-831f-8e8292d6ef6c</errorID>
      <errorWord>电积液</errorWord>
      <group>L1_Word</group>
      <groupName>字词问题</groupName>
      <ability>L2_Typo</ability>
      <abilityName>字词错误</abilityName>
      <candidateList>
        <item>电解液</item>
      </candidateList>
      <explain>存在发音相近字词的误用。</explain>
      <paraID>741AA74E</paraID>
      <start>81</start>
      <end>84</end>
      <status>unmodified</status>
      <modifiedWord/>
      <trackRevisions>false</trackRevisions>
    </reviewItem>
    <reviewItem>
      <errorID>44644f72-2000-44b9-9bcc-b439223977da</errorID>
      <errorWord>加入到</errorWord>
      <group>L1_Word</group>
      <groupName>字词问题</groupName>
      <ability>L2_Typo</ability>
      <abilityName>字词错误</abilityName>
      <candidateList>
        <item>加入</item>
      </candidateList>
      <explain>〈动〉❶加上；掺进去：～食糖少许。❷参加进去：～工会｜～足球队。</explain>
      <paraID> A379A9E</paraID>
      <start>115</start>
      <end>118</end>
      <status>unmodified</status>
      <modifiedWord/>
      <trackRevisions>false</trackRevisions>
    </reviewItem>
    <reviewItem>
      <errorID>3552c530-d57f-4952-b343-d79fc0719789</errorID>
      <errorWord>加入到</errorWord>
      <group>L1_Word</group>
      <groupName>字词问题</groupName>
      <ability>L2_Typo</ability>
      <abilityName>字词错误</abilityName>
      <candidateList>
        <item>加入</item>
      </candidateList>
      <explain>〈动〉❶加上；掺进去：～食糖少许。❷参加进去：～工会｜～足球队。</explain>
      <paraID>45B1A7A3</paraID>
      <start>372</start>
      <end>375</end>
      <status>unmodified</status>
      <modifiedWord/>
      <trackRevisions>false</trackRevisions>
    </reviewItem>
    <reviewItem>
      <errorID>b30e7fc8-3980-45c2-b0d3-5d0efd9a9030</errorID>
      <errorWord>-</errorWord>
      <group>L1_Format</group>
      <groupName>格式问题</groupName>
      <ability>L2_HalfPunc</ability>
      <abilityName>全半角检查</abilityName>
      <candidateList>
        <item>－</item>
      </candidateList>
      <explain>文本全半角错误。</explain>
      <paraID>2F1B3E55</paraID>
      <start>21</start>
      <end>22</end>
      <status>unmodified</status>
      <modifiedWord/>
      <trackRevisions>false</trackRevisions>
    </reviewItem>
    <reviewItem>
      <errorID>c033cbc4-46d5-4058-9d07-e6fbb296e30b</errorID>
      <errorWord>上线</errorWord>
      <group>L1_Word</group>
      <groupName>字词问题</groupName>
      <ability>L2_Typo</ability>
      <abilityName>字词错误</abilityName>
      <candidateList>
        <item>上限</item>
      </candidateList>
      <explain/>
      <paraID>64A9D18D</paraID>
      <start>24</start>
      <end>26</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258199-e9e7-43d3-b47a-06820bf3892a}">
  <ds:schemaRefs/>
</ds:datastoreItem>
</file>

<file path=customXml/itemProps3.xml><?xml version="1.0" encoding="utf-8"?>
<ds:datastoreItem xmlns:ds="http://schemas.openxmlformats.org/officeDocument/2006/customXml" ds:itemID="{BBCEA27A-C66D-43F6-A1B0-41D772AE8E18}">
  <ds:schemaRefs/>
</ds:datastoreItem>
</file>

<file path=docProps/app.xml><?xml version="1.0" encoding="utf-8"?>
<Properties xmlns="http://schemas.openxmlformats.org/officeDocument/2006/extended-properties" xmlns:vt="http://schemas.openxmlformats.org/officeDocument/2006/docPropsVTypes">
  <Template>Normal</Template>
  <Pages>191</Pages>
  <Words>7052</Words>
  <Characters>7473</Characters>
  <Lines>1903</Lines>
  <Paragraphs>535</Paragraphs>
  <TotalTime>222</TotalTime>
  <ScaleCrop>false</ScaleCrop>
  <LinksUpToDate>false</LinksUpToDate>
  <CharactersWithSpaces>7710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2023-11-12T17:37:00Z</dcterms:created>
  <dc:creator>Administrator</dc:creator>
  <cp:lastModifiedBy>管理员</cp:lastModifiedBy>
  <cp:lastPrinted>2021-05-10T02:47:00Z</cp:lastPrinted>
  <dcterms:modified xsi:type="dcterms:W3CDTF">2025-12-10T10:42:18Z</dcterms:modified>
  <cp:revision>206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36FEB63B762B4B7FBBFC8268374EAC5D_13</vt:lpwstr>
  </property>
  <property fmtid="{D5CDD505-2E9C-101B-9397-08002B2CF9AE}" pid="4" name="KSOTemplateDocerSaveRecord">
    <vt:lpwstr>eyJoZGlkIjoiOGI4Njk3MTc0MGM2YzQ5OWNiODI1MWRlZmYyYTAyZmEiLCJ1c2VySWQiOiIzMDMxMzA4NDYifQ==</vt:lpwstr>
  </property>
</Properties>
</file>